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E4114">
      <w:pPr>
        <w:rPr>
          <w:rFonts w:ascii="Times New Roman" w:hAnsi="Times New Roman" w:eastAsia="仿宋_GB2312" w:cs="仿宋_GB2312"/>
          <w:color w:val="auto"/>
          <w:sz w:val="36"/>
          <w:szCs w:val="36"/>
        </w:rPr>
      </w:pPr>
    </w:p>
    <w:p w14:paraId="270C299C">
      <w:pPr>
        <w:rPr>
          <w:rFonts w:ascii="Times New Roman" w:hAnsi="Times New Roman" w:eastAsia="仿宋_GB2312" w:cs="仿宋_GB2312"/>
          <w:color w:val="auto"/>
          <w:sz w:val="36"/>
          <w:szCs w:val="36"/>
        </w:rPr>
      </w:pPr>
    </w:p>
    <w:p w14:paraId="33B477CB">
      <w:pPr>
        <w:rPr>
          <w:rFonts w:ascii="Times New Roman" w:hAnsi="Times New Roman" w:eastAsia="仿宋_GB2312" w:cs="仿宋_GB2312"/>
          <w:color w:val="auto"/>
          <w:sz w:val="36"/>
          <w:szCs w:val="36"/>
        </w:rPr>
      </w:pPr>
    </w:p>
    <w:p w14:paraId="483A6901">
      <w:pPr>
        <w:rPr>
          <w:rFonts w:ascii="Times New Roman" w:hAnsi="Times New Roman" w:eastAsia="仿宋_GB2312" w:cs="仿宋_GB2312"/>
          <w:color w:val="auto"/>
          <w:sz w:val="36"/>
          <w:szCs w:val="36"/>
        </w:rPr>
      </w:pPr>
    </w:p>
    <w:p w14:paraId="1F7DCBAA">
      <w:pPr>
        <w:adjustRightInd w:val="0"/>
        <w:snapToGrid w:val="0"/>
        <w:jc w:val="center"/>
        <w:outlineLvl w:val="0"/>
        <w:rPr>
          <w:rFonts w:hint="eastAsia" w:ascii="Times New Roman" w:hAnsi="Times New Roman" w:eastAsia="方正小标宋_GBK"/>
          <w:bCs/>
          <w:color w:val="auto"/>
          <w:sz w:val="72"/>
          <w:szCs w:val="72"/>
        </w:rPr>
      </w:pPr>
      <w:r>
        <w:rPr>
          <w:rFonts w:hint="eastAsia" w:ascii="宋体" w:hAnsi="宋体" w:eastAsia="宋体" w:cs="宋体"/>
          <w:b w:val="0"/>
          <w:bCs/>
          <w:color w:val="auto"/>
          <w:sz w:val="72"/>
          <w:szCs w:val="72"/>
        </w:rPr>
        <w:t>建设项目环境影响报告表</w:t>
      </w:r>
    </w:p>
    <w:p w14:paraId="2A4BE74B">
      <w:pPr>
        <w:adjustRightInd w:val="0"/>
        <w:snapToGrid w:val="0"/>
        <w:spacing w:before="192" w:beforeLines="80"/>
        <w:jc w:val="center"/>
        <w:rPr>
          <w:rFonts w:ascii="Times New Roman" w:hAnsi="Times New Roman" w:eastAsia="华文仿宋" w:cs="华文仿宋"/>
          <w:color w:val="auto"/>
          <w:kern w:val="44"/>
          <w:sz w:val="44"/>
          <w:szCs w:val="44"/>
        </w:rPr>
      </w:pPr>
      <w:r>
        <w:rPr>
          <w:rFonts w:hint="eastAsia" w:ascii="Times New Roman" w:hAnsi="Times New Roman" w:eastAsia="楷体_GB2312"/>
          <w:bCs/>
          <w:color w:val="auto"/>
          <w:sz w:val="48"/>
          <w:szCs w:val="48"/>
        </w:rPr>
        <w:t>（污染影响类）</w:t>
      </w:r>
    </w:p>
    <w:p w14:paraId="5EB86169">
      <w:pPr>
        <w:jc w:val="center"/>
        <w:rPr>
          <w:rFonts w:ascii="Times New Roman" w:hAnsi="Times New Roman" w:eastAsia="仿宋"/>
          <w:color w:val="auto"/>
          <w:sz w:val="52"/>
          <w:szCs w:val="52"/>
        </w:rPr>
      </w:pPr>
    </w:p>
    <w:p w14:paraId="183C0A51">
      <w:pPr>
        <w:ind w:firstLine="1040"/>
        <w:rPr>
          <w:rFonts w:ascii="Times New Roman" w:hAnsi="Times New Roman" w:eastAsia="仿宋"/>
          <w:color w:val="auto"/>
          <w:sz w:val="44"/>
          <w:szCs w:val="44"/>
        </w:rPr>
      </w:pPr>
    </w:p>
    <w:p w14:paraId="3B8871C6">
      <w:pPr>
        <w:ind w:firstLine="1040"/>
        <w:rPr>
          <w:rFonts w:ascii="Times New Roman" w:hAnsi="Times New Roman" w:eastAsia="仿宋"/>
          <w:color w:val="auto"/>
          <w:sz w:val="44"/>
          <w:szCs w:val="44"/>
        </w:rPr>
      </w:pPr>
    </w:p>
    <w:p w14:paraId="1A8F9734">
      <w:pPr>
        <w:ind w:firstLine="1040"/>
        <w:rPr>
          <w:rFonts w:ascii="Times New Roman" w:hAnsi="Times New Roman" w:eastAsia="仿宋"/>
          <w:color w:val="auto"/>
          <w:sz w:val="44"/>
          <w:szCs w:val="44"/>
        </w:rPr>
      </w:pPr>
    </w:p>
    <w:p w14:paraId="7140AC06">
      <w:pPr>
        <w:ind w:firstLine="1040"/>
        <w:rPr>
          <w:rFonts w:ascii="Times New Roman" w:hAnsi="Times New Roman" w:eastAsia="仿宋"/>
          <w:color w:val="auto"/>
          <w:sz w:val="44"/>
          <w:szCs w:val="44"/>
        </w:rPr>
      </w:pPr>
    </w:p>
    <w:p w14:paraId="74420621">
      <w:pPr>
        <w:adjustRightInd w:val="0"/>
        <w:snapToGrid w:val="0"/>
        <w:spacing w:line="288" w:lineRule="auto"/>
        <w:ind w:left="718" w:leftChars="342" w:firstLine="0" w:firstLineChars="0"/>
        <w:rPr>
          <w:rFonts w:hint="default" w:ascii="Times New Roman" w:hAnsi="Times New Roman" w:eastAsia="仿宋" w:cs="仿宋"/>
          <w:color w:val="auto"/>
          <w:sz w:val="36"/>
          <w:szCs w:val="36"/>
          <w:u w:val="single"/>
          <w:lang w:val="en-US"/>
        </w:rPr>
      </w:pPr>
      <w:r>
        <w:rPr>
          <w:rFonts w:hint="eastAsia" w:ascii="Times New Roman" w:hAnsi="Times New Roman" w:eastAsia="仿宋_GB2312"/>
          <w:color w:val="auto"/>
          <w:sz w:val="36"/>
          <w:szCs w:val="36"/>
        </w:rPr>
        <w:t>项目名称：</w:t>
      </w:r>
      <w:r>
        <w:rPr>
          <w:rFonts w:hint="eastAsia" w:eastAsia="仿宋_GB2312"/>
          <w:color w:val="auto"/>
          <w:sz w:val="36"/>
          <w:szCs w:val="36"/>
          <w:u w:val="single"/>
          <w:lang w:val="en-US" w:eastAsia="zh-CN"/>
        </w:rPr>
        <w:t xml:space="preserve">      铝合金精密制造</w:t>
      </w:r>
      <w:r>
        <w:rPr>
          <w:rFonts w:hint="eastAsia" w:eastAsia="仿宋" w:cs="仿宋"/>
          <w:color w:val="auto"/>
          <w:sz w:val="36"/>
          <w:szCs w:val="36"/>
          <w:u w:val="single"/>
          <w:lang w:eastAsia="zh-CN"/>
        </w:rPr>
        <w:t>项目</w:t>
      </w:r>
      <w:r>
        <w:rPr>
          <w:rFonts w:hint="eastAsia" w:eastAsia="仿宋" w:cs="仿宋"/>
          <w:color w:val="auto"/>
          <w:sz w:val="36"/>
          <w:szCs w:val="36"/>
          <w:u w:val="single"/>
          <w:lang w:val="en-US" w:eastAsia="zh-CN"/>
        </w:rPr>
        <w:t xml:space="preserve">     </w:t>
      </w:r>
    </w:p>
    <w:p w14:paraId="354C19C5">
      <w:pPr>
        <w:adjustRightInd w:val="0"/>
        <w:snapToGrid w:val="0"/>
        <w:spacing w:line="288" w:lineRule="auto"/>
        <w:ind w:firstLine="720" w:firstLineChars="200"/>
        <w:rPr>
          <w:rFonts w:hint="eastAsia" w:ascii="Times New Roman" w:hAnsi="Times New Roman" w:eastAsia="仿宋" w:cs="仿宋"/>
          <w:color w:val="auto"/>
          <w:sz w:val="36"/>
          <w:szCs w:val="36"/>
          <w:u w:val="single"/>
          <w:lang w:eastAsia="zh-CN"/>
        </w:rPr>
      </w:pPr>
      <w:r>
        <w:rPr>
          <w:rFonts w:hint="eastAsia" w:ascii="Times New Roman" w:hAnsi="Times New Roman" w:eastAsia="仿宋" w:cs="仿宋"/>
          <w:color w:val="auto"/>
          <w:sz w:val="36"/>
          <w:szCs w:val="36"/>
        </w:rPr>
        <w:t>建设单位（盖章）：</w:t>
      </w:r>
      <w:r>
        <w:rPr>
          <w:rFonts w:hint="eastAsia" w:eastAsia="仿宋" w:cs="仿宋"/>
          <w:color w:val="auto"/>
          <w:sz w:val="36"/>
          <w:szCs w:val="36"/>
          <w:u w:val="single"/>
          <w:lang w:val="en-US" w:eastAsia="zh-CN"/>
        </w:rPr>
        <w:t>如皋市迪普机械科技</w:t>
      </w:r>
      <w:r>
        <w:rPr>
          <w:rFonts w:hint="eastAsia" w:eastAsia="仿宋" w:cs="仿宋"/>
          <w:color w:val="auto"/>
          <w:sz w:val="36"/>
          <w:szCs w:val="36"/>
          <w:u w:val="single"/>
          <w:lang w:eastAsia="zh-CN"/>
        </w:rPr>
        <w:t>有限公司</w:t>
      </w:r>
    </w:p>
    <w:p w14:paraId="5466F0CD">
      <w:pPr>
        <w:adjustRightInd w:val="0"/>
        <w:snapToGrid w:val="0"/>
        <w:spacing w:line="288" w:lineRule="auto"/>
        <w:ind w:firstLine="720" w:firstLineChars="200"/>
        <w:rPr>
          <w:rFonts w:hint="eastAsia" w:ascii="Times New Roman" w:hAnsi="Times New Roman" w:eastAsia="仿宋_GB2312"/>
          <w:color w:val="auto"/>
          <w:sz w:val="36"/>
          <w:szCs w:val="36"/>
          <w:u w:val="single"/>
        </w:rPr>
      </w:pPr>
      <w:r>
        <w:rPr>
          <w:rFonts w:hint="eastAsia" w:ascii="Times New Roman" w:hAnsi="Times New Roman" w:eastAsia="仿宋" w:cs="仿宋"/>
          <w:color w:val="auto"/>
          <w:sz w:val="36"/>
          <w:szCs w:val="36"/>
        </w:rPr>
        <w:t>编制日期：</w:t>
      </w:r>
      <w:r>
        <w:rPr>
          <w:rFonts w:hint="eastAsia" w:ascii="Times New Roman" w:hAnsi="Times New Roman" w:eastAsia="仿宋" w:cs="仿宋"/>
          <w:color w:val="auto"/>
          <w:sz w:val="36"/>
          <w:szCs w:val="36"/>
          <w:u w:val="single"/>
        </w:rPr>
        <w:t xml:space="preserve">      </w:t>
      </w:r>
      <w:r>
        <w:rPr>
          <w:rFonts w:hint="eastAsia" w:ascii="Times New Roman" w:hAnsi="Times New Roman" w:eastAsia="仿宋"/>
          <w:color w:val="auto"/>
          <w:sz w:val="36"/>
          <w:szCs w:val="36"/>
          <w:u w:val="single"/>
        </w:rPr>
        <w:t xml:space="preserve"> 202</w:t>
      </w:r>
      <w:r>
        <w:rPr>
          <w:rFonts w:hint="eastAsia" w:eastAsia="仿宋"/>
          <w:color w:val="auto"/>
          <w:sz w:val="36"/>
          <w:szCs w:val="36"/>
          <w:u w:val="single"/>
          <w:lang w:val="en-US" w:eastAsia="zh-CN"/>
        </w:rPr>
        <w:t>5</w:t>
      </w:r>
      <w:r>
        <w:rPr>
          <w:rFonts w:hint="eastAsia" w:ascii="Times New Roman" w:hAnsi="Times New Roman" w:eastAsia="仿宋"/>
          <w:color w:val="auto"/>
          <w:sz w:val="36"/>
          <w:szCs w:val="36"/>
          <w:u w:val="single"/>
        </w:rPr>
        <w:t>年</w:t>
      </w:r>
      <w:r>
        <w:rPr>
          <w:rFonts w:hint="eastAsia" w:eastAsia="仿宋"/>
          <w:color w:val="auto"/>
          <w:sz w:val="36"/>
          <w:szCs w:val="36"/>
          <w:u w:val="single"/>
          <w:lang w:val="en-US" w:eastAsia="zh-CN"/>
        </w:rPr>
        <w:t>4</w:t>
      </w:r>
      <w:r>
        <w:rPr>
          <w:rFonts w:hint="eastAsia" w:ascii="Times New Roman" w:hAnsi="Times New Roman" w:eastAsia="仿宋"/>
          <w:color w:val="auto"/>
          <w:sz w:val="36"/>
          <w:szCs w:val="36"/>
          <w:u w:val="single"/>
        </w:rPr>
        <w:t>月</w:t>
      </w:r>
      <w:r>
        <w:rPr>
          <w:rFonts w:ascii="Times New Roman" w:hAnsi="Times New Roman" w:eastAsia="仿宋_GB2312"/>
          <w:color w:val="auto"/>
          <w:sz w:val="36"/>
          <w:szCs w:val="36"/>
          <w:u w:val="single"/>
        </w:rPr>
        <w:t xml:space="preserve">             </w:t>
      </w:r>
    </w:p>
    <w:p w14:paraId="7771EC36">
      <w:pPr>
        <w:adjustRightInd w:val="0"/>
        <w:snapToGrid w:val="0"/>
        <w:spacing w:line="288" w:lineRule="auto"/>
        <w:ind w:firstLine="1040"/>
        <w:rPr>
          <w:rFonts w:ascii="Times New Roman" w:hAnsi="Times New Roman" w:eastAsia="仿宋_GB2312"/>
          <w:color w:val="auto"/>
          <w:sz w:val="36"/>
          <w:szCs w:val="36"/>
          <w:u w:val="single"/>
        </w:rPr>
      </w:pPr>
      <w:bookmarkStart w:id="0" w:name="_Hlk57884087"/>
    </w:p>
    <w:p w14:paraId="4C948002">
      <w:pPr>
        <w:adjustRightInd w:val="0"/>
        <w:snapToGrid w:val="0"/>
        <w:spacing w:line="288" w:lineRule="auto"/>
        <w:ind w:firstLine="1040"/>
        <w:rPr>
          <w:rFonts w:ascii="Times New Roman" w:hAnsi="Times New Roman" w:eastAsia="仿宋_GB2312"/>
          <w:color w:val="auto"/>
          <w:sz w:val="36"/>
          <w:szCs w:val="36"/>
        </w:rPr>
      </w:pPr>
    </w:p>
    <w:p w14:paraId="107A921E">
      <w:pPr>
        <w:adjustRightInd w:val="0"/>
        <w:snapToGrid w:val="0"/>
        <w:spacing w:line="288" w:lineRule="auto"/>
        <w:ind w:firstLine="1040"/>
        <w:rPr>
          <w:rFonts w:ascii="Times New Roman" w:hAnsi="Times New Roman" w:eastAsia="仿宋_GB2312"/>
          <w:color w:val="auto"/>
          <w:sz w:val="36"/>
          <w:szCs w:val="36"/>
        </w:rPr>
      </w:pPr>
    </w:p>
    <w:p w14:paraId="5465F33A">
      <w:pPr>
        <w:adjustRightInd w:val="0"/>
        <w:snapToGrid w:val="0"/>
        <w:spacing w:line="288" w:lineRule="auto"/>
        <w:ind w:firstLine="1040"/>
        <w:rPr>
          <w:rFonts w:hint="eastAsia" w:ascii="Times New Roman" w:hAnsi="Times New Roman" w:eastAsia="仿宋_GB2312"/>
          <w:color w:val="auto"/>
          <w:sz w:val="36"/>
          <w:szCs w:val="36"/>
        </w:rPr>
      </w:pPr>
    </w:p>
    <w:p w14:paraId="1E7F46EF">
      <w:pPr>
        <w:pStyle w:val="6"/>
        <w:rPr>
          <w:rFonts w:hint="eastAsia" w:ascii="Times New Roman" w:hAnsi="Times New Roman" w:eastAsia="仿宋_GB2312"/>
          <w:color w:val="auto"/>
          <w:sz w:val="36"/>
          <w:szCs w:val="36"/>
        </w:rPr>
      </w:pPr>
    </w:p>
    <w:p w14:paraId="79F2D798">
      <w:pPr>
        <w:rPr>
          <w:rFonts w:hint="eastAsia"/>
          <w:color w:val="auto"/>
        </w:rPr>
      </w:pPr>
    </w:p>
    <w:p w14:paraId="77305DB6">
      <w:pPr>
        <w:pStyle w:val="6"/>
        <w:rPr>
          <w:rFonts w:hint="eastAsia"/>
          <w:color w:val="auto"/>
        </w:rPr>
      </w:pPr>
    </w:p>
    <w:p w14:paraId="552BA6ED">
      <w:pPr>
        <w:rPr>
          <w:rFonts w:hint="eastAsia"/>
          <w:color w:val="auto"/>
        </w:rPr>
      </w:pPr>
    </w:p>
    <w:p w14:paraId="205285BF">
      <w:pPr>
        <w:adjustRightInd w:val="0"/>
        <w:snapToGrid w:val="0"/>
        <w:spacing w:line="288" w:lineRule="auto"/>
        <w:ind w:firstLine="1040"/>
        <w:rPr>
          <w:rFonts w:hint="eastAsia" w:ascii="Times New Roman" w:hAnsi="Times New Roman" w:eastAsia="仿宋_GB2312"/>
          <w:color w:val="auto"/>
          <w:sz w:val="36"/>
          <w:szCs w:val="36"/>
        </w:rPr>
      </w:pPr>
    </w:p>
    <w:bookmarkEnd w:id="0"/>
    <w:p w14:paraId="2B6D578F">
      <w:pPr>
        <w:adjustRightInd w:val="0"/>
        <w:snapToGrid w:val="0"/>
        <w:spacing w:line="288" w:lineRule="auto"/>
        <w:jc w:val="center"/>
        <w:rPr>
          <w:rFonts w:hint="eastAsia" w:ascii="Times New Roman" w:hAnsi="Times New Roman" w:eastAsia="楷体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Times New Roman" w:hAnsi="Times New Roman" w:eastAsia="楷体_GB2312"/>
          <w:color w:val="auto"/>
          <w:sz w:val="36"/>
          <w:szCs w:val="36"/>
        </w:rPr>
        <w:t>中华人民共和国生态环境部制</w:t>
      </w:r>
    </w:p>
    <w:p w14:paraId="1750A621">
      <w:pPr>
        <w:pStyle w:val="22"/>
        <w:jc w:val="center"/>
        <w:outlineLvl w:val="0"/>
        <w:rPr>
          <w:rFonts w:hint="eastAsia" w:ascii="Times New Roman" w:hAnsi="Times New Roman" w:eastAsia="黑体"/>
          <w:snapToGrid w:val="0"/>
          <w:color w:val="auto"/>
          <w:sz w:val="30"/>
          <w:szCs w:val="30"/>
        </w:rPr>
      </w:pPr>
    </w:p>
    <w:p w14:paraId="54910771">
      <w:pPr>
        <w:pStyle w:val="22"/>
        <w:jc w:val="center"/>
        <w:outlineLvl w:val="0"/>
        <w:rPr>
          <w:rFonts w:hint="eastAsia" w:ascii="Times New Roman" w:hAnsi="Times New Roman" w:eastAsia="黑体"/>
          <w:snapToGrid w:val="0"/>
          <w:color w:val="auto"/>
          <w:sz w:val="30"/>
          <w:szCs w:val="30"/>
        </w:rPr>
      </w:pPr>
    </w:p>
    <w:p w14:paraId="3A662D2F">
      <w:pPr>
        <w:pStyle w:val="22"/>
        <w:jc w:val="center"/>
        <w:outlineLvl w:val="0"/>
        <w:rPr>
          <w:rFonts w:hint="eastAsia" w:ascii="Times New Roman" w:hAnsi="Times New Roman" w:eastAsia="黑体"/>
          <w:snapToGrid w:val="0"/>
          <w:color w:val="auto"/>
          <w:sz w:val="30"/>
          <w:szCs w:val="30"/>
        </w:rPr>
      </w:pPr>
    </w:p>
    <w:p w14:paraId="46041C87">
      <w:pPr>
        <w:pStyle w:val="22"/>
        <w:jc w:val="center"/>
        <w:outlineLvl w:val="0"/>
        <w:rPr>
          <w:rFonts w:hint="eastAsia" w:ascii="Times New Roman" w:hAnsi="Times New Roman" w:eastAsia="黑体"/>
          <w:snapToGrid w:val="0"/>
          <w:color w:val="auto"/>
          <w:sz w:val="30"/>
          <w:szCs w:val="30"/>
        </w:rPr>
      </w:pPr>
    </w:p>
    <w:p w14:paraId="6E882D0B">
      <w:pPr>
        <w:pStyle w:val="22"/>
        <w:jc w:val="center"/>
        <w:outlineLvl w:val="0"/>
        <w:rPr>
          <w:rFonts w:hint="eastAsia" w:ascii="Times New Roman" w:hAnsi="Times New Roman" w:eastAsia="黑体"/>
          <w:snapToGrid w:val="0"/>
          <w:color w:val="auto"/>
          <w:sz w:val="30"/>
          <w:szCs w:val="30"/>
        </w:rPr>
      </w:pPr>
    </w:p>
    <w:p w14:paraId="157411B2">
      <w:pPr>
        <w:pStyle w:val="22"/>
        <w:jc w:val="center"/>
        <w:outlineLvl w:val="0"/>
        <w:rPr>
          <w:rFonts w:hint="eastAsia" w:ascii="Times New Roman" w:hAnsi="Times New Roman" w:eastAsia="黑体"/>
          <w:snapToGrid w:val="0"/>
          <w:color w:val="auto"/>
          <w:sz w:val="30"/>
          <w:szCs w:val="30"/>
        </w:rPr>
      </w:pPr>
    </w:p>
    <w:p w14:paraId="46EA1037">
      <w:pPr>
        <w:pStyle w:val="22"/>
        <w:jc w:val="center"/>
        <w:outlineLvl w:val="0"/>
        <w:rPr>
          <w:rFonts w:hint="eastAsia" w:ascii="Times New Roman" w:hAnsi="Times New Roman" w:eastAsia="黑体"/>
          <w:snapToGrid w:val="0"/>
          <w:color w:val="auto"/>
          <w:sz w:val="30"/>
          <w:szCs w:val="30"/>
        </w:rPr>
      </w:pPr>
    </w:p>
    <w:p w14:paraId="4CA56769">
      <w:pPr>
        <w:pStyle w:val="22"/>
        <w:jc w:val="center"/>
        <w:outlineLvl w:val="0"/>
        <w:rPr>
          <w:rFonts w:hint="eastAsia" w:ascii="Times New Roman" w:hAnsi="Times New Roman" w:eastAsia="黑体"/>
          <w:snapToGrid w:val="0"/>
          <w:color w:val="auto"/>
          <w:sz w:val="30"/>
          <w:szCs w:val="30"/>
        </w:rPr>
      </w:pPr>
    </w:p>
    <w:p w14:paraId="3B0CEA9D">
      <w:pPr>
        <w:pStyle w:val="22"/>
        <w:jc w:val="center"/>
        <w:outlineLvl w:val="0"/>
        <w:rPr>
          <w:rFonts w:hint="eastAsia" w:ascii="Times New Roman" w:hAnsi="Times New Roman" w:eastAsia="黑体"/>
          <w:snapToGrid w:val="0"/>
          <w:color w:val="auto"/>
          <w:sz w:val="30"/>
          <w:szCs w:val="30"/>
        </w:rPr>
      </w:pPr>
    </w:p>
    <w:p w14:paraId="210A7734">
      <w:pPr>
        <w:pStyle w:val="22"/>
        <w:jc w:val="center"/>
        <w:outlineLvl w:val="0"/>
        <w:rPr>
          <w:rFonts w:hint="eastAsia" w:ascii="Times New Roman" w:hAnsi="Times New Roman" w:eastAsia="黑体"/>
          <w:snapToGrid w:val="0"/>
          <w:color w:val="auto"/>
          <w:sz w:val="30"/>
          <w:szCs w:val="30"/>
        </w:rPr>
      </w:pPr>
    </w:p>
    <w:p w14:paraId="40772663">
      <w:pPr>
        <w:pStyle w:val="22"/>
        <w:jc w:val="center"/>
        <w:outlineLvl w:val="0"/>
        <w:rPr>
          <w:rFonts w:hint="eastAsia" w:ascii="Times New Roman" w:hAnsi="Times New Roman" w:eastAsia="黑体"/>
          <w:snapToGrid w:val="0"/>
          <w:color w:val="auto"/>
          <w:sz w:val="30"/>
          <w:szCs w:val="30"/>
        </w:rPr>
      </w:pPr>
    </w:p>
    <w:p w14:paraId="397EBB63">
      <w:pPr>
        <w:pStyle w:val="22"/>
        <w:jc w:val="center"/>
        <w:outlineLvl w:val="0"/>
        <w:rPr>
          <w:rFonts w:hint="eastAsia" w:ascii="Times New Roman" w:hAnsi="Times New Roman" w:eastAsia="黑体"/>
          <w:snapToGrid w:val="0"/>
          <w:color w:val="auto"/>
          <w:sz w:val="30"/>
          <w:szCs w:val="30"/>
        </w:rPr>
      </w:pPr>
    </w:p>
    <w:p w14:paraId="23D9A447">
      <w:pPr>
        <w:pStyle w:val="22"/>
        <w:jc w:val="center"/>
        <w:outlineLvl w:val="0"/>
        <w:rPr>
          <w:rFonts w:hint="eastAsia" w:ascii="Times New Roman" w:hAnsi="Times New Roman" w:eastAsia="黑体"/>
          <w:snapToGrid w:val="0"/>
          <w:color w:val="auto"/>
          <w:sz w:val="30"/>
          <w:szCs w:val="30"/>
        </w:rPr>
      </w:pPr>
    </w:p>
    <w:p w14:paraId="61D12331">
      <w:pPr>
        <w:pStyle w:val="22"/>
        <w:jc w:val="center"/>
        <w:outlineLvl w:val="0"/>
        <w:rPr>
          <w:rFonts w:hint="eastAsia" w:ascii="Times New Roman" w:hAnsi="Times New Roman" w:eastAsia="黑体"/>
          <w:snapToGrid w:val="0"/>
          <w:color w:val="auto"/>
          <w:sz w:val="30"/>
          <w:szCs w:val="30"/>
        </w:rPr>
      </w:pPr>
    </w:p>
    <w:p w14:paraId="53672B97">
      <w:pPr>
        <w:pStyle w:val="22"/>
        <w:jc w:val="center"/>
        <w:outlineLvl w:val="0"/>
        <w:rPr>
          <w:rFonts w:hint="eastAsia" w:ascii="Times New Roman" w:hAnsi="Times New Roman" w:eastAsia="黑体"/>
          <w:snapToGrid w:val="0"/>
          <w:color w:val="auto"/>
          <w:sz w:val="30"/>
          <w:szCs w:val="30"/>
        </w:rPr>
      </w:pPr>
    </w:p>
    <w:p w14:paraId="53D92B31">
      <w:pPr>
        <w:pStyle w:val="22"/>
        <w:jc w:val="center"/>
        <w:outlineLvl w:val="0"/>
        <w:rPr>
          <w:rFonts w:hint="eastAsia" w:ascii="Times New Roman" w:hAnsi="Times New Roman" w:eastAsia="黑体"/>
          <w:snapToGrid w:val="0"/>
          <w:color w:val="auto"/>
          <w:sz w:val="30"/>
          <w:szCs w:val="30"/>
        </w:rPr>
      </w:pPr>
    </w:p>
    <w:p w14:paraId="71870553">
      <w:pPr>
        <w:pStyle w:val="22"/>
        <w:jc w:val="center"/>
        <w:outlineLvl w:val="0"/>
        <w:rPr>
          <w:rFonts w:hint="eastAsia" w:ascii="Times New Roman" w:hAnsi="Times New Roman" w:eastAsia="黑体"/>
          <w:snapToGrid w:val="0"/>
          <w:color w:val="auto"/>
          <w:sz w:val="30"/>
          <w:szCs w:val="30"/>
        </w:rPr>
      </w:pPr>
    </w:p>
    <w:p w14:paraId="071AF257">
      <w:pPr>
        <w:pStyle w:val="22"/>
        <w:jc w:val="center"/>
        <w:outlineLvl w:val="0"/>
        <w:rPr>
          <w:rFonts w:hint="eastAsia" w:ascii="Times New Roman" w:hAnsi="Times New Roman" w:eastAsia="黑体"/>
          <w:snapToGrid w:val="0"/>
          <w:color w:val="auto"/>
          <w:sz w:val="30"/>
          <w:szCs w:val="30"/>
        </w:rPr>
      </w:pPr>
    </w:p>
    <w:p w14:paraId="28DCC201">
      <w:pPr>
        <w:pStyle w:val="22"/>
        <w:jc w:val="center"/>
        <w:outlineLvl w:val="0"/>
        <w:rPr>
          <w:rFonts w:hint="eastAsia" w:ascii="Times New Roman" w:hAnsi="Times New Roman" w:eastAsia="黑体"/>
          <w:snapToGrid w:val="0"/>
          <w:color w:val="auto"/>
          <w:sz w:val="30"/>
          <w:szCs w:val="30"/>
        </w:rPr>
      </w:pPr>
    </w:p>
    <w:p w14:paraId="319BA7FC">
      <w:pPr>
        <w:pStyle w:val="22"/>
        <w:jc w:val="center"/>
        <w:outlineLvl w:val="0"/>
        <w:rPr>
          <w:rFonts w:hint="eastAsia" w:ascii="Times New Roman" w:hAnsi="Times New Roman" w:eastAsia="黑体"/>
          <w:snapToGrid w:val="0"/>
          <w:color w:val="auto"/>
          <w:sz w:val="30"/>
          <w:szCs w:val="30"/>
        </w:rPr>
      </w:pPr>
    </w:p>
    <w:p w14:paraId="7BD86B92">
      <w:pPr>
        <w:pStyle w:val="22"/>
        <w:jc w:val="center"/>
        <w:outlineLvl w:val="0"/>
        <w:rPr>
          <w:rFonts w:hint="eastAsia" w:ascii="Times New Roman" w:hAnsi="Times New Roman" w:eastAsia="黑体"/>
          <w:snapToGrid w:val="0"/>
          <w:color w:val="auto"/>
          <w:sz w:val="30"/>
          <w:szCs w:val="30"/>
        </w:rPr>
      </w:pPr>
    </w:p>
    <w:p w14:paraId="5C943873">
      <w:pPr>
        <w:pStyle w:val="22"/>
        <w:jc w:val="center"/>
        <w:outlineLvl w:val="0"/>
        <w:rPr>
          <w:rFonts w:hint="eastAsia" w:ascii="Times New Roman" w:hAnsi="Times New Roman" w:eastAsia="黑体"/>
          <w:snapToGrid w:val="0"/>
          <w:color w:val="auto"/>
          <w:sz w:val="30"/>
          <w:szCs w:val="30"/>
        </w:rPr>
      </w:pPr>
    </w:p>
    <w:p w14:paraId="6920CA8E">
      <w:pPr>
        <w:pStyle w:val="22"/>
        <w:jc w:val="center"/>
        <w:outlineLvl w:val="0"/>
        <w:rPr>
          <w:rFonts w:hint="eastAsia" w:ascii="Times New Roman" w:hAnsi="Times New Roman" w:eastAsia="黑体"/>
          <w:snapToGrid w:val="0"/>
          <w:color w:val="auto"/>
          <w:sz w:val="30"/>
          <w:szCs w:val="30"/>
        </w:rPr>
        <w:sectPr>
          <w:footerReference r:id="rId5"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5D59C2F7">
      <w:pPr>
        <w:pStyle w:val="22"/>
        <w:jc w:val="center"/>
        <w:outlineLvl w:val="0"/>
        <w:rPr>
          <w:rFonts w:hint="eastAsia"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一、建设项目基本情况</w:t>
      </w:r>
    </w:p>
    <w:tbl>
      <w:tblPr>
        <w:tblStyle w:val="25"/>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30"/>
        <w:gridCol w:w="2437"/>
        <w:gridCol w:w="2325"/>
        <w:gridCol w:w="2781"/>
      </w:tblGrid>
      <w:tr w14:paraId="4434B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43" w:type="pct"/>
            <w:noWrap w:val="0"/>
            <w:tcMar>
              <w:top w:w="16" w:type="dxa"/>
              <w:left w:w="16" w:type="dxa"/>
              <w:right w:w="16" w:type="dxa"/>
            </w:tcMar>
            <w:vAlign w:val="center"/>
          </w:tcPr>
          <w:p w14:paraId="764AF682">
            <w:pPr>
              <w:adjustRightInd w:val="0"/>
              <w:snapToGrid w:val="0"/>
              <w:jc w:val="center"/>
              <w:rPr>
                <w:rFonts w:ascii="Times New Roman" w:hAnsi="Times New Roman"/>
                <w:color w:val="auto"/>
                <w:szCs w:val="21"/>
              </w:rPr>
            </w:pPr>
            <w:r>
              <w:rPr>
                <w:rFonts w:ascii="Times New Roman" w:hAnsi="Times New Roman"/>
                <w:color w:val="auto"/>
                <w:szCs w:val="21"/>
              </w:rPr>
              <w:t>建设项目名称</w:t>
            </w:r>
          </w:p>
        </w:tc>
        <w:tc>
          <w:tcPr>
            <w:tcW w:w="4156" w:type="pct"/>
            <w:gridSpan w:val="3"/>
            <w:noWrap w:val="0"/>
            <w:vAlign w:val="center"/>
          </w:tcPr>
          <w:p w14:paraId="67B71FA5">
            <w:pPr>
              <w:adjustRightInd w:val="0"/>
              <w:snapToGrid w:val="0"/>
              <w:jc w:val="center"/>
              <w:rPr>
                <w:rFonts w:hint="eastAsia" w:ascii="Times New Roman" w:hAnsi="Times New Roman"/>
                <w:color w:val="auto"/>
                <w:szCs w:val="21"/>
                <w:lang w:eastAsia="zh-CN"/>
              </w:rPr>
            </w:pPr>
            <w:r>
              <w:rPr>
                <w:rFonts w:hint="eastAsia" w:ascii="Times New Roman" w:hAnsi="Times New Roman"/>
                <w:color w:val="auto"/>
                <w:szCs w:val="21"/>
                <w:lang w:val="en-US" w:eastAsia="zh-CN"/>
              </w:rPr>
              <w:t>铝合金精密制造</w:t>
            </w:r>
            <w:r>
              <w:rPr>
                <w:rFonts w:hint="eastAsia" w:ascii="Times New Roman" w:hAnsi="Times New Roman"/>
                <w:color w:val="auto"/>
                <w:szCs w:val="21"/>
                <w:lang w:eastAsia="zh-CN"/>
              </w:rPr>
              <w:t>项目</w:t>
            </w:r>
          </w:p>
        </w:tc>
      </w:tr>
      <w:tr w14:paraId="236C6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43" w:type="pct"/>
            <w:noWrap w:val="0"/>
            <w:tcMar>
              <w:top w:w="16" w:type="dxa"/>
              <w:left w:w="16" w:type="dxa"/>
              <w:right w:w="16" w:type="dxa"/>
            </w:tcMar>
            <w:vAlign w:val="center"/>
          </w:tcPr>
          <w:p w14:paraId="332A6608">
            <w:pPr>
              <w:adjustRightInd w:val="0"/>
              <w:snapToGrid w:val="0"/>
              <w:jc w:val="center"/>
              <w:rPr>
                <w:rFonts w:ascii="Times New Roman" w:hAnsi="Times New Roman"/>
                <w:color w:val="auto"/>
                <w:szCs w:val="21"/>
              </w:rPr>
            </w:pPr>
            <w:r>
              <w:rPr>
                <w:rFonts w:ascii="Times New Roman" w:hAnsi="Times New Roman"/>
                <w:color w:val="auto"/>
                <w:szCs w:val="21"/>
              </w:rPr>
              <w:t>项目代码</w:t>
            </w:r>
          </w:p>
        </w:tc>
        <w:tc>
          <w:tcPr>
            <w:tcW w:w="4156" w:type="pct"/>
            <w:gridSpan w:val="3"/>
            <w:noWrap w:val="0"/>
            <w:vAlign w:val="center"/>
          </w:tcPr>
          <w:p w14:paraId="224ABA04">
            <w:pPr>
              <w:adjustRightInd w:val="0"/>
              <w:snapToGrid w:val="0"/>
              <w:jc w:val="center"/>
              <w:rPr>
                <w:rFonts w:hint="default" w:ascii="Times New Roman" w:hAnsi="Times New Roman"/>
                <w:color w:val="auto"/>
                <w:szCs w:val="21"/>
                <w:lang w:val="en-US" w:eastAsia="zh-CN"/>
              </w:rPr>
            </w:pPr>
            <w:r>
              <w:rPr>
                <w:rFonts w:hint="eastAsia"/>
                <w:color w:val="auto"/>
                <w:szCs w:val="21"/>
                <w:lang w:val="en-US" w:eastAsia="zh-CN"/>
              </w:rPr>
              <w:t>2408-320654-89-01-728182</w:t>
            </w:r>
          </w:p>
        </w:tc>
      </w:tr>
      <w:tr w14:paraId="6E929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43" w:type="pct"/>
            <w:noWrap w:val="0"/>
            <w:tcMar>
              <w:top w:w="16" w:type="dxa"/>
              <w:left w:w="16" w:type="dxa"/>
              <w:right w:w="16" w:type="dxa"/>
            </w:tcMar>
            <w:vAlign w:val="center"/>
          </w:tcPr>
          <w:p w14:paraId="1474FC3F">
            <w:pPr>
              <w:adjustRightInd w:val="0"/>
              <w:snapToGrid w:val="0"/>
              <w:jc w:val="center"/>
              <w:rPr>
                <w:rFonts w:ascii="Times New Roman" w:hAnsi="Times New Roman"/>
                <w:color w:val="auto"/>
                <w:szCs w:val="21"/>
              </w:rPr>
            </w:pPr>
            <w:r>
              <w:rPr>
                <w:rFonts w:ascii="Times New Roman" w:hAnsi="Times New Roman"/>
                <w:color w:val="auto"/>
                <w:szCs w:val="21"/>
              </w:rPr>
              <w:t>建设单位联系人</w:t>
            </w:r>
          </w:p>
        </w:tc>
        <w:tc>
          <w:tcPr>
            <w:tcW w:w="1343" w:type="pct"/>
            <w:noWrap w:val="0"/>
            <w:vAlign w:val="center"/>
          </w:tcPr>
          <w:p w14:paraId="6D49292C">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王永冰</w:t>
            </w:r>
          </w:p>
        </w:tc>
        <w:tc>
          <w:tcPr>
            <w:tcW w:w="1281" w:type="pct"/>
            <w:noWrap w:val="0"/>
            <w:vAlign w:val="center"/>
          </w:tcPr>
          <w:p w14:paraId="367A265D">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联系方式</w:t>
            </w:r>
          </w:p>
        </w:tc>
        <w:tc>
          <w:tcPr>
            <w:tcW w:w="1532" w:type="pct"/>
            <w:noWrap w:val="0"/>
            <w:vAlign w:val="center"/>
          </w:tcPr>
          <w:p w14:paraId="44AAE93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18262518211</w:t>
            </w:r>
          </w:p>
        </w:tc>
      </w:tr>
      <w:tr w14:paraId="147AB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43" w:type="pct"/>
            <w:noWrap w:val="0"/>
            <w:tcMar>
              <w:top w:w="16" w:type="dxa"/>
              <w:left w:w="16" w:type="dxa"/>
              <w:right w:w="16" w:type="dxa"/>
            </w:tcMar>
            <w:vAlign w:val="center"/>
          </w:tcPr>
          <w:p w14:paraId="7E2E8D53">
            <w:pPr>
              <w:adjustRightInd w:val="0"/>
              <w:snapToGrid w:val="0"/>
              <w:jc w:val="center"/>
              <w:rPr>
                <w:rFonts w:ascii="Times New Roman" w:hAnsi="Times New Roman"/>
                <w:color w:val="auto"/>
                <w:szCs w:val="21"/>
              </w:rPr>
            </w:pPr>
            <w:r>
              <w:rPr>
                <w:rFonts w:ascii="Times New Roman" w:hAnsi="Times New Roman"/>
                <w:color w:val="auto"/>
                <w:szCs w:val="21"/>
              </w:rPr>
              <w:t>建设地点</w:t>
            </w:r>
          </w:p>
        </w:tc>
        <w:tc>
          <w:tcPr>
            <w:tcW w:w="4156" w:type="pct"/>
            <w:gridSpan w:val="3"/>
            <w:noWrap w:val="0"/>
            <w:vAlign w:val="center"/>
          </w:tcPr>
          <w:p w14:paraId="0671BA5C">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eastAsia="zh-CN"/>
              </w:rPr>
              <w:t>如皋市城北街道陆姚</w:t>
            </w:r>
            <w:r>
              <w:rPr>
                <w:rFonts w:hint="eastAsia"/>
                <w:color w:val="auto"/>
                <w:szCs w:val="21"/>
                <w:lang w:val="en-US" w:eastAsia="zh-CN"/>
              </w:rPr>
              <w:t>社区25组188号</w:t>
            </w:r>
          </w:p>
        </w:tc>
      </w:tr>
      <w:tr w14:paraId="43B5C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843" w:type="pct"/>
            <w:noWrap w:val="0"/>
            <w:tcMar>
              <w:top w:w="16" w:type="dxa"/>
              <w:left w:w="16" w:type="dxa"/>
              <w:right w:w="16" w:type="dxa"/>
            </w:tcMar>
            <w:vAlign w:val="center"/>
          </w:tcPr>
          <w:p w14:paraId="381BD159">
            <w:pPr>
              <w:adjustRightInd w:val="0"/>
              <w:snapToGrid w:val="0"/>
              <w:jc w:val="center"/>
              <w:rPr>
                <w:rFonts w:ascii="Times New Roman" w:hAnsi="Times New Roman"/>
                <w:color w:val="auto"/>
                <w:szCs w:val="21"/>
              </w:rPr>
            </w:pPr>
            <w:r>
              <w:rPr>
                <w:rFonts w:ascii="Times New Roman" w:hAnsi="Times New Roman"/>
                <w:color w:val="auto"/>
                <w:szCs w:val="21"/>
              </w:rPr>
              <w:t>地理坐标</w:t>
            </w:r>
          </w:p>
        </w:tc>
        <w:tc>
          <w:tcPr>
            <w:tcW w:w="4156" w:type="pct"/>
            <w:gridSpan w:val="3"/>
            <w:noWrap w:val="0"/>
            <w:vAlign w:val="center"/>
          </w:tcPr>
          <w:p w14:paraId="18B88C1D">
            <w:pPr>
              <w:jc w:val="center"/>
              <w:rPr>
                <w:rFonts w:ascii="Times New Roman" w:hAnsi="Times New Roman"/>
                <w:color w:val="auto"/>
                <w:szCs w:val="21"/>
              </w:rPr>
            </w:pPr>
            <w:r>
              <w:rPr>
                <w:rFonts w:ascii="Times New Roman" w:hAnsi="Times New Roman"/>
                <w:color w:val="auto"/>
                <w:szCs w:val="21"/>
              </w:rPr>
              <w:t>（东经：</w:t>
            </w:r>
            <w:r>
              <w:rPr>
                <w:rFonts w:ascii="Times New Roman" w:hAnsi="Times New Roman"/>
                <w:color w:val="auto"/>
                <w:szCs w:val="21"/>
                <w:u w:val="single"/>
              </w:rPr>
              <w:t>120</w:t>
            </w:r>
            <w:r>
              <w:rPr>
                <w:rFonts w:ascii="Times New Roman" w:hAnsi="Times New Roman"/>
                <w:color w:val="auto"/>
                <w:szCs w:val="21"/>
              </w:rPr>
              <w:t>度</w:t>
            </w:r>
            <w:r>
              <w:rPr>
                <w:rFonts w:hint="eastAsia"/>
                <w:color w:val="auto"/>
                <w:szCs w:val="21"/>
                <w:u w:val="single"/>
                <w:lang w:val="en-US" w:eastAsia="zh-CN"/>
              </w:rPr>
              <w:t>29</w:t>
            </w:r>
            <w:r>
              <w:rPr>
                <w:rFonts w:ascii="Times New Roman" w:hAnsi="Times New Roman"/>
                <w:color w:val="auto"/>
                <w:szCs w:val="21"/>
              </w:rPr>
              <w:t>分</w:t>
            </w:r>
            <w:r>
              <w:rPr>
                <w:rFonts w:hint="eastAsia"/>
                <w:color w:val="auto"/>
                <w:szCs w:val="21"/>
                <w:u w:val="single"/>
                <w:lang w:val="en-US" w:eastAsia="zh-CN"/>
              </w:rPr>
              <w:t>59.593</w:t>
            </w:r>
            <w:r>
              <w:rPr>
                <w:rFonts w:ascii="Times New Roman" w:hAnsi="Times New Roman"/>
                <w:color w:val="auto"/>
                <w:szCs w:val="21"/>
              </w:rPr>
              <w:t>秒，北纬：</w:t>
            </w:r>
            <w:r>
              <w:rPr>
                <w:rFonts w:ascii="Times New Roman" w:hAnsi="Times New Roman"/>
                <w:color w:val="auto"/>
                <w:szCs w:val="21"/>
                <w:u w:val="single"/>
              </w:rPr>
              <w:t>32</w:t>
            </w:r>
            <w:r>
              <w:rPr>
                <w:rFonts w:ascii="Times New Roman" w:hAnsi="Times New Roman"/>
                <w:color w:val="auto"/>
                <w:szCs w:val="21"/>
              </w:rPr>
              <w:t>度</w:t>
            </w:r>
            <w:r>
              <w:rPr>
                <w:rFonts w:ascii="Times New Roman" w:hAnsi="Times New Roman"/>
                <w:color w:val="auto"/>
                <w:szCs w:val="21"/>
                <w:u w:val="single"/>
              </w:rPr>
              <w:t>2</w:t>
            </w:r>
            <w:r>
              <w:rPr>
                <w:rFonts w:hint="eastAsia"/>
                <w:color w:val="auto"/>
                <w:szCs w:val="21"/>
                <w:u w:val="single"/>
                <w:lang w:val="en-US" w:eastAsia="zh-CN"/>
              </w:rPr>
              <w:t>0</w:t>
            </w:r>
            <w:r>
              <w:rPr>
                <w:rFonts w:ascii="Times New Roman" w:hAnsi="Times New Roman"/>
                <w:color w:val="auto"/>
                <w:szCs w:val="21"/>
              </w:rPr>
              <w:t>分</w:t>
            </w:r>
            <w:r>
              <w:rPr>
                <w:rFonts w:hint="eastAsia"/>
                <w:color w:val="auto"/>
                <w:szCs w:val="21"/>
                <w:u w:val="single"/>
                <w:lang w:val="en-US" w:eastAsia="zh-CN"/>
              </w:rPr>
              <w:t>42.730</w:t>
            </w:r>
            <w:r>
              <w:rPr>
                <w:rFonts w:ascii="Times New Roman" w:hAnsi="Times New Roman"/>
                <w:color w:val="auto"/>
                <w:szCs w:val="21"/>
              </w:rPr>
              <w:t>秒）</w:t>
            </w:r>
          </w:p>
        </w:tc>
      </w:tr>
      <w:tr w14:paraId="29ECF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8" w:hRule="atLeast"/>
          <w:jc w:val="center"/>
        </w:trPr>
        <w:tc>
          <w:tcPr>
            <w:tcW w:w="843" w:type="pct"/>
            <w:noWrap w:val="0"/>
            <w:tcMar>
              <w:top w:w="16" w:type="dxa"/>
              <w:left w:w="16" w:type="dxa"/>
              <w:right w:w="16" w:type="dxa"/>
            </w:tcMar>
            <w:vAlign w:val="center"/>
          </w:tcPr>
          <w:p w14:paraId="36132868">
            <w:pPr>
              <w:adjustRightInd w:val="0"/>
              <w:snapToGrid w:val="0"/>
              <w:jc w:val="center"/>
              <w:rPr>
                <w:rFonts w:ascii="Times New Roman" w:hAnsi="Times New Roman"/>
                <w:color w:val="auto"/>
                <w:szCs w:val="21"/>
              </w:rPr>
            </w:pPr>
            <w:r>
              <w:rPr>
                <w:rFonts w:ascii="Times New Roman" w:hAnsi="Times New Roman"/>
                <w:color w:val="auto"/>
                <w:szCs w:val="21"/>
              </w:rPr>
              <w:t>国民经济</w:t>
            </w:r>
          </w:p>
          <w:p w14:paraId="76DD7AD1">
            <w:pPr>
              <w:adjustRightInd w:val="0"/>
              <w:snapToGrid w:val="0"/>
              <w:jc w:val="center"/>
              <w:rPr>
                <w:rFonts w:ascii="Times New Roman" w:hAnsi="Times New Roman"/>
                <w:color w:val="auto"/>
                <w:szCs w:val="21"/>
              </w:rPr>
            </w:pPr>
            <w:r>
              <w:rPr>
                <w:rFonts w:ascii="Times New Roman" w:hAnsi="Times New Roman"/>
                <w:color w:val="auto"/>
                <w:szCs w:val="21"/>
              </w:rPr>
              <w:t>行业类别</w:t>
            </w:r>
          </w:p>
        </w:tc>
        <w:tc>
          <w:tcPr>
            <w:tcW w:w="1343" w:type="pct"/>
            <w:noWrap w:val="0"/>
            <w:vAlign w:val="center"/>
          </w:tcPr>
          <w:p w14:paraId="53F6E31A">
            <w:pPr>
              <w:adjustRightInd w:val="0"/>
              <w:snapToGrid w:val="0"/>
              <w:jc w:val="center"/>
              <w:rPr>
                <w:rFonts w:hint="default" w:ascii="Times New Roman" w:hAnsi="Times New Roman" w:eastAsia="宋体"/>
                <w:color w:val="auto"/>
                <w:szCs w:val="21"/>
                <w:lang w:val="en-US" w:eastAsia="zh-CN"/>
              </w:rPr>
            </w:pPr>
            <w:r>
              <w:rPr>
                <w:color w:val="auto"/>
                <w:szCs w:val="21"/>
              </w:rPr>
              <w:t>C3392</w:t>
            </w:r>
            <w:r>
              <w:rPr>
                <w:rFonts w:hint="eastAsia"/>
                <w:color w:val="auto"/>
                <w:szCs w:val="21"/>
              </w:rPr>
              <w:t>有色金属铸造</w:t>
            </w:r>
          </w:p>
        </w:tc>
        <w:tc>
          <w:tcPr>
            <w:tcW w:w="1281" w:type="pct"/>
            <w:noWrap w:val="0"/>
            <w:vAlign w:val="center"/>
          </w:tcPr>
          <w:p w14:paraId="0F5A8CDF">
            <w:pPr>
              <w:adjustRightInd w:val="0"/>
              <w:snapToGrid w:val="0"/>
              <w:jc w:val="center"/>
              <w:rPr>
                <w:color w:val="auto"/>
              </w:rPr>
            </w:pPr>
            <w:r>
              <w:rPr>
                <w:color w:val="auto"/>
              </w:rPr>
              <w:t>建设项目</w:t>
            </w:r>
          </w:p>
          <w:p w14:paraId="760AD3B7">
            <w:pPr>
              <w:adjustRightInd w:val="0"/>
              <w:snapToGrid w:val="0"/>
              <w:jc w:val="center"/>
              <w:rPr>
                <w:rFonts w:hint="eastAsia" w:ascii="Times New Roman" w:hAnsi="Times New Roman" w:cs="Times New Roman"/>
                <w:color w:val="auto"/>
                <w:szCs w:val="21"/>
                <w:lang w:eastAsia="zh-CN"/>
              </w:rPr>
            </w:pPr>
            <w:r>
              <w:rPr>
                <w:color w:val="auto"/>
              </w:rPr>
              <w:t>行业类别</w:t>
            </w:r>
          </w:p>
        </w:tc>
        <w:tc>
          <w:tcPr>
            <w:tcW w:w="1532" w:type="pct"/>
            <w:noWrap w:val="0"/>
            <w:vAlign w:val="center"/>
          </w:tcPr>
          <w:p w14:paraId="121FA261">
            <w:pPr>
              <w:autoSpaceDE w:val="0"/>
              <w:autoSpaceDN w:val="0"/>
              <w:adjustRightInd w:val="0"/>
              <w:jc w:val="center"/>
              <w:rPr>
                <w:color w:val="auto"/>
                <w:szCs w:val="21"/>
              </w:rPr>
            </w:pPr>
            <w:r>
              <w:rPr>
                <w:rFonts w:hint="eastAsia"/>
                <w:color w:val="auto"/>
                <w:szCs w:val="21"/>
              </w:rPr>
              <w:t>三十、金属制品业33</w:t>
            </w:r>
          </w:p>
          <w:p w14:paraId="1D59DDC4">
            <w:pPr>
              <w:autoSpaceDE w:val="0"/>
              <w:autoSpaceDN w:val="0"/>
              <w:adjustRightInd w:val="0"/>
              <w:jc w:val="center"/>
              <w:rPr>
                <w:rFonts w:hint="default" w:ascii="Times New Roman" w:hAnsi="Times New Roman" w:cs="Times New Roman"/>
                <w:color w:val="auto"/>
                <w:szCs w:val="21"/>
                <w:lang w:val="en-US" w:eastAsia="zh-CN"/>
              </w:rPr>
            </w:pPr>
            <w:r>
              <w:rPr>
                <w:color w:val="auto"/>
                <w:szCs w:val="21"/>
              </w:rPr>
              <w:t>68.</w:t>
            </w:r>
            <w:r>
              <w:rPr>
                <w:rFonts w:hint="eastAsia"/>
                <w:color w:val="auto"/>
                <w:szCs w:val="21"/>
              </w:rPr>
              <w:t>铸造及其他金属制品制造 339（其他）</w:t>
            </w:r>
          </w:p>
        </w:tc>
      </w:tr>
      <w:tr w14:paraId="19F02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25" w:hRule="atLeast"/>
          <w:jc w:val="center"/>
        </w:trPr>
        <w:tc>
          <w:tcPr>
            <w:tcW w:w="843" w:type="pct"/>
            <w:noWrap w:val="0"/>
            <w:tcMar>
              <w:top w:w="16" w:type="dxa"/>
              <w:left w:w="16" w:type="dxa"/>
              <w:right w:w="16" w:type="dxa"/>
            </w:tcMar>
            <w:vAlign w:val="center"/>
          </w:tcPr>
          <w:p w14:paraId="1214F268">
            <w:pPr>
              <w:adjustRightInd w:val="0"/>
              <w:snapToGrid w:val="0"/>
              <w:jc w:val="center"/>
              <w:rPr>
                <w:rFonts w:ascii="Times New Roman" w:hAnsi="Times New Roman"/>
                <w:color w:val="auto"/>
                <w:szCs w:val="21"/>
              </w:rPr>
            </w:pPr>
            <w:r>
              <w:rPr>
                <w:rFonts w:ascii="Times New Roman" w:hAnsi="Times New Roman"/>
                <w:color w:val="auto"/>
                <w:szCs w:val="21"/>
              </w:rPr>
              <w:t>建设性质</w:t>
            </w:r>
          </w:p>
        </w:tc>
        <w:tc>
          <w:tcPr>
            <w:tcW w:w="1343" w:type="pct"/>
            <w:noWrap w:val="0"/>
            <w:vAlign w:val="center"/>
          </w:tcPr>
          <w:p w14:paraId="7115917D">
            <w:pPr>
              <w:jc w:val="left"/>
              <w:rPr>
                <w:rFonts w:ascii="Times New Roman" w:hAnsi="Times New Roman"/>
                <w:color w:val="auto"/>
                <w:szCs w:val="21"/>
              </w:rPr>
            </w:pPr>
            <w:r>
              <w:rPr>
                <w:rFonts w:ascii="Times New Roman" w:hAnsi="Times New Roman"/>
                <w:color w:val="auto"/>
                <w:szCs w:val="21"/>
              </w:rPr>
              <w:t>☑新建（迁建）</w:t>
            </w:r>
          </w:p>
          <w:p w14:paraId="2DA239DC">
            <w:pPr>
              <w:jc w:val="left"/>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改建</w:t>
            </w:r>
          </w:p>
          <w:p w14:paraId="06948C13">
            <w:pPr>
              <w:jc w:val="left"/>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扩建</w:t>
            </w:r>
          </w:p>
          <w:p w14:paraId="350022A4">
            <w:pPr>
              <w:jc w:val="left"/>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技术改造</w:t>
            </w:r>
          </w:p>
        </w:tc>
        <w:tc>
          <w:tcPr>
            <w:tcW w:w="1281" w:type="pct"/>
            <w:noWrap w:val="0"/>
            <w:vAlign w:val="center"/>
          </w:tcPr>
          <w:p w14:paraId="06CADE0F">
            <w:pPr>
              <w:adjustRightInd w:val="0"/>
              <w:snapToGrid w:val="0"/>
              <w:jc w:val="center"/>
              <w:rPr>
                <w:rFonts w:ascii="Times New Roman" w:hAnsi="Times New Roman"/>
                <w:color w:val="auto"/>
                <w:szCs w:val="21"/>
              </w:rPr>
            </w:pPr>
            <w:r>
              <w:rPr>
                <w:rFonts w:ascii="Times New Roman" w:hAnsi="Times New Roman"/>
                <w:color w:val="auto"/>
                <w:szCs w:val="21"/>
              </w:rPr>
              <w:t>建设项目</w:t>
            </w:r>
          </w:p>
          <w:p w14:paraId="15D1E7F2">
            <w:pPr>
              <w:adjustRightInd w:val="0"/>
              <w:snapToGrid w:val="0"/>
              <w:jc w:val="center"/>
              <w:rPr>
                <w:rFonts w:ascii="Times New Roman" w:hAnsi="Times New Roman"/>
                <w:color w:val="auto"/>
                <w:szCs w:val="21"/>
              </w:rPr>
            </w:pPr>
            <w:r>
              <w:rPr>
                <w:rFonts w:ascii="Times New Roman" w:hAnsi="Times New Roman"/>
                <w:color w:val="auto"/>
                <w:szCs w:val="21"/>
              </w:rPr>
              <w:t>申报情形</w:t>
            </w:r>
          </w:p>
        </w:tc>
        <w:tc>
          <w:tcPr>
            <w:tcW w:w="1532" w:type="pct"/>
            <w:noWrap w:val="0"/>
            <w:vAlign w:val="center"/>
          </w:tcPr>
          <w:p w14:paraId="377DE104">
            <w:pPr>
              <w:jc w:val="left"/>
              <w:rPr>
                <w:rFonts w:ascii="Times New Roman" w:hAnsi="Times New Roman"/>
                <w:color w:val="auto"/>
                <w:szCs w:val="21"/>
              </w:rPr>
            </w:pPr>
            <w:r>
              <w:rPr>
                <w:rFonts w:ascii="Times New Roman" w:hAnsi="Times New Roman"/>
                <w:color w:val="auto"/>
                <w:szCs w:val="21"/>
              </w:rPr>
              <w:t xml:space="preserve">☑首次申报项目             </w:t>
            </w:r>
          </w:p>
          <w:p w14:paraId="3734BC27">
            <w:pPr>
              <w:jc w:val="left"/>
              <w:rPr>
                <w:rFonts w:ascii="Times New Roman" w:hAnsi="Times New Roman"/>
                <w:color w:val="auto"/>
                <w:szCs w:val="21"/>
              </w:rPr>
            </w:pPr>
            <w:r>
              <w:rPr>
                <w:rFonts w:hint="eastAsia" w:ascii="Times New Roman" w:hAnsi="Times New Roman"/>
                <w:color w:val="auto"/>
                <w:szCs w:val="21"/>
              </w:rPr>
              <w:sym w:font="Wingdings 2" w:char="00A3"/>
            </w:r>
            <w:r>
              <w:rPr>
                <w:rFonts w:ascii="Times New Roman" w:hAnsi="Times New Roman"/>
                <w:color w:val="auto"/>
                <w:szCs w:val="21"/>
              </w:rPr>
              <w:t>不予批准后再次申报项目</w:t>
            </w:r>
          </w:p>
          <w:p w14:paraId="6F58F629">
            <w:pPr>
              <w:jc w:val="left"/>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 xml:space="preserve">超五年重新审核项目     </w:t>
            </w:r>
          </w:p>
          <w:p w14:paraId="63E1562B">
            <w:pPr>
              <w:jc w:val="left"/>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重大变动重新报批项目</w:t>
            </w:r>
          </w:p>
        </w:tc>
      </w:tr>
      <w:tr w14:paraId="11C75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2" w:hRule="atLeast"/>
          <w:jc w:val="center"/>
        </w:trPr>
        <w:tc>
          <w:tcPr>
            <w:tcW w:w="843" w:type="pct"/>
            <w:noWrap w:val="0"/>
            <w:tcMar>
              <w:top w:w="16" w:type="dxa"/>
              <w:left w:w="16" w:type="dxa"/>
              <w:right w:w="16" w:type="dxa"/>
            </w:tcMar>
            <w:vAlign w:val="center"/>
          </w:tcPr>
          <w:p w14:paraId="1D3E0FF3">
            <w:pPr>
              <w:adjustRightInd w:val="0"/>
              <w:snapToGrid w:val="0"/>
              <w:jc w:val="center"/>
              <w:rPr>
                <w:rFonts w:ascii="Times New Roman" w:hAnsi="Times New Roman"/>
                <w:color w:val="auto"/>
                <w:sz w:val="21"/>
                <w:szCs w:val="21"/>
              </w:rPr>
            </w:pPr>
            <w:r>
              <w:rPr>
                <w:rFonts w:ascii="Times New Roman" w:hAnsi="Times New Roman"/>
                <w:color w:val="auto"/>
                <w:sz w:val="21"/>
                <w:szCs w:val="21"/>
              </w:rPr>
              <w:t>项目审批（核准/</w:t>
            </w:r>
          </w:p>
          <w:p w14:paraId="34A8F530">
            <w:pPr>
              <w:adjustRightInd w:val="0"/>
              <w:snapToGrid w:val="0"/>
              <w:jc w:val="center"/>
              <w:rPr>
                <w:rFonts w:ascii="Times New Roman" w:hAnsi="Times New Roman"/>
                <w:color w:val="auto"/>
                <w:sz w:val="21"/>
                <w:szCs w:val="21"/>
              </w:rPr>
            </w:pPr>
            <w:r>
              <w:rPr>
                <w:rFonts w:ascii="Times New Roman" w:hAnsi="Times New Roman"/>
                <w:color w:val="auto"/>
                <w:sz w:val="21"/>
                <w:szCs w:val="21"/>
              </w:rPr>
              <w:t>备案）部门（选填）</w:t>
            </w:r>
          </w:p>
        </w:tc>
        <w:tc>
          <w:tcPr>
            <w:tcW w:w="1343" w:type="pct"/>
            <w:noWrap w:val="0"/>
            <w:vAlign w:val="center"/>
          </w:tcPr>
          <w:p w14:paraId="5239D8FE">
            <w:pPr>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如皋经济技术开发区行政审批局投资审批科</w:t>
            </w:r>
          </w:p>
        </w:tc>
        <w:tc>
          <w:tcPr>
            <w:tcW w:w="1281" w:type="pct"/>
            <w:noWrap w:val="0"/>
            <w:vAlign w:val="center"/>
          </w:tcPr>
          <w:p w14:paraId="4DC71FDC">
            <w:pPr>
              <w:adjustRightInd w:val="0"/>
              <w:snapToGrid w:val="0"/>
              <w:jc w:val="center"/>
              <w:rPr>
                <w:rFonts w:ascii="Times New Roman" w:hAnsi="Times New Roman"/>
                <w:color w:val="auto"/>
                <w:szCs w:val="21"/>
              </w:rPr>
            </w:pPr>
            <w:r>
              <w:rPr>
                <w:rFonts w:ascii="Times New Roman" w:hAnsi="Times New Roman"/>
                <w:color w:val="auto"/>
                <w:szCs w:val="21"/>
              </w:rPr>
              <w:t>项目审批（核准/</w:t>
            </w:r>
          </w:p>
          <w:p w14:paraId="1910811B">
            <w:pPr>
              <w:adjustRightInd w:val="0"/>
              <w:snapToGrid w:val="0"/>
              <w:jc w:val="center"/>
              <w:rPr>
                <w:rFonts w:ascii="Times New Roman" w:hAnsi="Times New Roman"/>
                <w:color w:val="auto"/>
                <w:szCs w:val="21"/>
              </w:rPr>
            </w:pPr>
            <w:r>
              <w:rPr>
                <w:rFonts w:ascii="Times New Roman" w:hAnsi="Times New Roman"/>
                <w:color w:val="auto"/>
                <w:szCs w:val="21"/>
              </w:rPr>
              <w:t>备案）文号（选填）</w:t>
            </w:r>
          </w:p>
        </w:tc>
        <w:tc>
          <w:tcPr>
            <w:tcW w:w="1532" w:type="pct"/>
            <w:noWrap w:val="0"/>
            <w:vAlign w:val="center"/>
          </w:tcPr>
          <w:p w14:paraId="640596C2">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皋数据（开）备</w:t>
            </w:r>
            <w:r>
              <w:rPr>
                <w:rFonts w:hint="default" w:ascii="Times New Roman" w:hAnsi="Times New Roman" w:eastAsia="宋体"/>
                <w:color w:val="auto"/>
                <w:szCs w:val="21"/>
                <w:lang w:val="en-US" w:eastAsia="zh-CN"/>
              </w:rPr>
              <w:t>〔202</w:t>
            </w:r>
            <w:r>
              <w:rPr>
                <w:rFonts w:hint="eastAsia"/>
                <w:color w:val="auto"/>
                <w:szCs w:val="21"/>
                <w:lang w:val="en-US" w:eastAsia="zh-CN"/>
              </w:rPr>
              <w:t>4</w:t>
            </w:r>
            <w:r>
              <w:rPr>
                <w:rFonts w:hint="default" w:ascii="Times New Roman" w:hAnsi="Times New Roman" w:eastAsia="宋体"/>
                <w:color w:val="auto"/>
                <w:szCs w:val="21"/>
                <w:lang w:val="en-US" w:eastAsia="zh-CN"/>
              </w:rPr>
              <w:t>〕</w:t>
            </w:r>
            <w:r>
              <w:rPr>
                <w:rFonts w:hint="eastAsia"/>
                <w:color w:val="auto"/>
                <w:szCs w:val="21"/>
                <w:lang w:val="en-US" w:eastAsia="zh-CN"/>
              </w:rPr>
              <w:t>2</w:t>
            </w:r>
            <w:r>
              <w:rPr>
                <w:rFonts w:hint="default" w:ascii="Times New Roman" w:hAnsi="Times New Roman" w:eastAsia="宋体"/>
                <w:color w:val="auto"/>
                <w:szCs w:val="21"/>
                <w:lang w:val="en-US" w:eastAsia="zh-CN"/>
              </w:rPr>
              <w:t>号</w:t>
            </w:r>
          </w:p>
        </w:tc>
      </w:tr>
      <w:tr w14:paraId="5A3BD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843" w:type="pct"/>
            <w:noWrap w:val="0"/>
            <w:tcMar>
              <w:top w:w="16" w:type="dxa"/>
              <w:left w:w="16" w:type="dxa"/>
              <w:right w:w="16" w:type="dxa"/>
            </w:tcMar>
            <w:vAlign w:val="center"/>
          </w:tcPr>
          <w:p w14:paraId="631B4822">
            <w:pPr>
              <w:adjustRightInd w:val="0"/>
              <w:snapToGrid w:val="0"/>
              <w:jc w:val="center"/>
              <w:rPr>
                <w:rFonts w:ascii="Times New Roman" w:hAnsi="Times New Roman"/>
                <w:color w:val="auto"/>
                <w:szCs w:val="21"/>
              </w:rPr>
            </w:pPr>
            <w:r>
              <w:rPr>
                <w:rFonts w:ascii="Times New Roman" w:hAnsi="Times New Roman"/>
                <w:color w:val="auto"/>
                <w:szCs w:val="21"/>
              </w:rPr>
              <w:t>总投资（万元）</w:t>
            </w:r>
          </w:p>
        </w:tc>
        <w:tc>
          <w:tcPr>
            <w:tcW w:w="1343" w:type="pct"/>
            <w:noWrap w:val="0"/>
            <w:vAlign w:val="center"/>
          </w:tcPr>
          <w:p w14:paraId="56334A48">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5000</w:t>
            </w:r>
          </w:p>
        </w:tc>
        <w:tc>
          <w:tcPr>
            <w:tcW w:w="1281" w:type="pct"/>
            <w:noWrap w:val="0"/>
            <w:tcMar>
              <w:top w:w="16" w:type="dxa"/>
              <w:left w:w="16" w:type="dxa"/>
              <w:right w:w="16" w:type="dxa"/>
            </w:tcMar>
            <w:vAlign w:val="center"/>
          </w:tcPr>
          <w:p w14:paraId="3A3DE128">
            <w:pPr>
              <w:adjustRightInd w:val="0"/>
              <w:snapToGrid w:val="0"/>
              <w:jc w:val="center"/>
              <w:rPr>
                <w:rFonts w:ascii="Times New Roman" w:hAnsi="Times New Roman"/>
                <w:color w:val="auto"/>
                <w:szCs w:val="21"/>
              </w:rPr>
            </w:pPr>
            <w:r>
              <w:rPr>
                <w:rFonts w:ascii="Times New Roman" w:hAnsi="Times New Roman"/>
                <w:color w:val="auto"/>
                <w:szCs w:val="21"/>
              </w:rPr>
              <w:t>环保投资（万元）</w:t>
            </w:r>
          </w:p>
        </w:tc>
        <w:tc>
          <w:tcPr>
            <w:tcW w:w="1532" w:type="pct"/>
            <w:noWrap w:val="0"/>
            <w:vAlign w:val="center"/>
          </w:tcPr>
          <w:p w14:paraId="35CECD93">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 xml:space="preserve">60  </w:t>
            </w:r>
          </w:p>
        </w:tc>
      </w:tr>
      <w:tr w14:paraId="4CE16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843" w:type="pct"/>
            <w:noWrap w:val="0"/>
            <w:tcMar>
              <w:top w:w="16" w:type="dxa"/>
              <w:left w:w="16" w:type="dxa"/>
              <w:right w:w="16" w:type="dxa"/>
            </w:tcMar>
            <w:vAlign w:val="center"/>
          </w:tcPr>
          <w:p w14:paraId="66AED2D6">
            <w:pPr>
              <w:adjustRightInd w:val="0"/>
              <w:snapToGrid w:val="0"/>
              <w:jc w:val="center"/>
              <w:rPr>
                <w:rFonts w:ascii="Times New Roman" w:hAnsi="Times New Roman"/>
                <w:color w:val="auto"/>
                <w:szCs w:val="21"/>
              </w:rPr>
            </w:pPr>
            <w:r>
              <w:rPr>
                <w:rFonts w:ascii="Times New Roman" w:hAnsi="Times New Roman"/>
                <w:color w:val="auto"/>
                <w:szCs w:val="21"/>
              </w:rPr>
              <w:t>环保投资占比（%）</w:t>
            </w:r>
          </w:p>
        </w:tc>
        <w:tc>
          <w:tcPr>
            <w:tcW w:w="1343" w:type="pct"/>
            <w:noWrap w:val="0"/>
            <w:vAlign w:val="center"/>
          </w:tcPr>
          <w:p w14:paraId="3D2C0C6E">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1.2</w:t>
            </w:r>
          </w:p>
        </w:tc>
        <w:tc>
          <w:tcPr>
            <w:tcW w:w="1281" w:type="pct"/>
            <w:noWrap w:val="0"/>
            <w:tcMar>
              <w:top w:w="16" w:type="dxa"/>
              <w:left w:w="16" w:type="dxa"/>
              <w:right w:w="16" w:type="dxa"/>
            </w:tcMar>
            <w:vAlign w:val="center"/>
          </w:tcPr>
          <w:p w14:paraId="16F11B94">
            <w:pPr>
              <w:adjustRightInd w:val="0"/>
              <w:snapToGrid w:val="0"/>
              <w:jc w:val="center"/>
              <w:rPr>
                <w:rFonts w:ascii="Times New Roman" w:hAnsi="Times New Roman"/>
                <w:color w:val="auto"/>
                <w:szCs w:val="21"/>
              </w:rPr>
            </w:pPr>
            <w:r>
              <w:rPr>
                <w:rFonts w:ascii="Times New Roman" w:hAnsi="Times New Roman"/>
                <w:color w:val="auto"/>
                <w:szCs w:val="21"/>
              </w:rPr>
              <w:t>施工工期</w:t>
            </w:r>
          </w:p>
        </w:tc>
        <w:tc>
          <w:tcPr>
            <w:tcW w:w="1532" w:type="pct"/>
            <w:noWrap w:val="0"/>
            <w:vAlign w:val="center"/>
          </w:tcPr>
          <w:p w14:paraId="4F410B97">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3个月</w:t>
            </w:r>
          </w:p>
        </w:tc>
      </w:tr>
      <w:tr w14:paraId="178B1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843" w:type="pct"/>
            <w:noWrap w:val="0"/>
            <w:tcMar>
              <w:top w:w="16" w:type="dxa"/>
              <w:left w:w="16" w:type="dxa"/>
              <w:right w:w="16" w:type="dxa"/>
            </w:tcMar>
            <w:vAlign w:val="center"/>
          </w:tcPr>
          <w:p w14:paraId="57608C92">
            <w:pPr>
              <w:adjustRightInd w:val="0"/>
              <w:snapToGrid w:val="0"/>
              <w:jc w:val="center"/>
              <w:rPr>
                <w:rFonts w:ascii="Times New Roman" w:hAnsi="Times New Roman"/>
                <w:color w:val="auto"/>
                <w:szCs w:val="21"/>
              </w:rPr>
            </w:pPr>
            <w:r>
              <w:rPr>
                <w:rFonts w:ascii="Times New Roman" w:hAnsi="Times New Roman"/>
                <w:color w:val="auto"/>
                <w:szCs w:val="21"/>
              </w:rPr>
              <w:t>是否开工建设</w:t>
            </w:r>
          </w:p>
        </w:tc>
        <w:tc>
          <w:tcPr>
            <w:tcW w:w="1343" w:type="pct"/>
            <w:noWrap w:val="0"/>
            <w:vAlign w:val="center"/>
          </w:tcPr>
          <w:p w14:paraId="2D1A7F25">
            <w:pPr>
              <w:adjustRightInd w:val="0"/>
              <w:snapToGrid w:val="0"/>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否</w:t>
            </w:r>
          </w:p>
          <w:p w14:paraId="03317E1C">
            <w:pPr>
              <w:adjustRightInd w:val="0"/>
              <w:snapToGrid w:val="0"/>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是：</w:t>
            </w:r>
            <w:r>
              <w:rPr>
                <w:rFonts w:ascii="Times New Roman" w:hAnsi="Times New Roman"/>
                <w:color w:val="auto"/>
                <w:szCs w:val="21"/>
                <w:u w:val="single"/>
              </w:rPr>
              <w:t xml:space="preserve">             </w:t>
            </w:r>
          </w:p>
        </w:tc>
        <w:tc>
          <w:tcPr>
            <w:tcW w:w="1281" w:type="pct"/>
            <w:noWrap w:val="0"/>
            <w:tcMar>
              <w:top w:w="16" w:type="dxa"/>
              <w:left w:w="16" w:type="dxa"/>
              <w:right w:w="16" w:type="dxa"/>
            </w:tcMar>
            <w:vAlign w:val="center"/>
          </w:tcPr>
          <w:p w14:paraId="7410762E">
            <w:pPr>
              <w:adjustRightInd w:val="0"/>
              <w:snapToGrid w:val="0"/>
              <w:jc w:val="center"/>
              <w:rPr>
                <w:rFonts w:ascii="Times New Roman" w:hAnsi="Times New Roman"/>
                <w:color w:val="auto"/>
                <w:spacing w:val="-6"/>
                <w:szCs w:val="21"/>
              </w:rPr>
            </w:pPr>
            <w:r>
              <w:rPr>
                <w:rFonts w:ascii="Times New Roman" w:hAnsi="Times New Roman"/>
                <w:color w:val="auto"/>
                <w:spacing w:val="-6"/>
                <w:szCs w:val="21"/>
              </w:rPr>
              <w:t>用地（用海）</w:t>
            </w:r>
          </w:p>
          <w:p w14:paraId="1F79BF7D">
            <w:pPr>
              <w:adjustRightInd w:val="0"/>
              <w:snapToGrid w:val="0"/>
              <w:jc w:val="center"/>
              <w:rPr>
                <w:rFonts w:ascii="Times New Roman" w:hAnsi="Times New Roman"/>
                <w:color w:val="auto"/>
                <w:szCs w:val="21"/>
              </w:rPr>
            </w:pPr>
            <w:r>
              <w:rPr>
                <w:rFonts w:ascii="Times New Roman" w:hAnsi="Times New Roman"/>
                <w:color w:val="auto"/>
                <w:spacing w:val="-6"/>
                <w:szCs w:val="21"/>
              </w:rPr>
              <w:t>面积（m</w:t>
            </w:r>
            <w:r>
              <w:rPr>
                <w:rFonts w:ascii="Times New Roman" w:hAnsi="Times New Roman"/>
                <w:color w:val="auto"/>
                <w:spacing w:val="-6"/>
                <w:szCs w:val="21"/>
                <w:vertAlign w:val="superscript"/>
              </w:rPr>
              <w:t>2</w:t>
            </w:r>
            <w:r>
              <w:rPr>
                <w:rFonts w:ascii="Times New Roman" w:hAnsi="Times New Roman"/>
                <w:color w:val="auto"/>
                <w:spacing w:val="-6"/>
                <w:szCs w:val="21"/>
              </w:rPr>
              <w:t>）</w:t>
            </w:r>
          </w:p>
        </w:tc>
        <w:tc>
          <w:tcPr>
            <w:tcW w:w="1532" w:type="pct"/>
            <w:noWrap w:val="0"/>
            <w:vAlign w:val="center"/>
          </w:tcPr>
          <w:p w14:paraId="1D1ADF3D">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1315</w:t>
            </w:r>
          </w:p>
        </w:tc>
      </w:tr>
      <w:tr w14:paraId="18560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843" w:type="pct"/>
            <w:noWrap w:val="0"/>
            <w:vAlign w:val="center"/>
          </w:tcPr>
          <w:p w14:paraId="03268F4E">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专项评价设置情况</w:t>
            </w:r>
          </w:p>
        </w:tc>
        <w:tc>
          <w:tcPr>
            <w:tcW w:w="4156" w:type="pct"/>
            <w:gridSpan w:val="3"/>
            <w:noWrap w:val="0"/>
            <w:vAlign w:val="center"/>
          </w:tcPr>
          <w:p w14:paraId="0DE913A1">
            <w:pPr>
              <w:autoSpaceDE w:val="0"/>
              <w:autoSpaceDN w:val="0"/>
              <w:adjustRightInd w:val="0"/>
              <w:snapToGrid w:val="0"/>
              <w:jc w:val="center"/>
              <w:rPr>
                <w:rFonts w:ascii="Times New Roman" w:hAnsi="Times New Roman"/>
                <w:color w:val="auto"/>
                <w:kern w:val="0"/>
                <w:szCs w:val="21"/>
              </w:rPr>
            </w:pPr>
            <w:r>
              <w:rPr>
                <w:color w:val="auto"/>
                <w:kern w:val="0"/>
                <w:szCs w:val="21"/>
              </w:rPr>
              <w:t>根据建设项目环境影响报告表编制技术指南（污染影响类）（试行）表1专项评价设置原则表，本项目废气污染物排放涉及甲醛排放且厂界外500m范围有涉及环境空气保护目标，因此本项目进行大气专项评价</w:t>
            </w:r>
          </w:p>
        </w:tc>
      </w:tr>
      <w:tr w14:paraId="22A6E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43" w:type="pct"/>
            <w:noWrap w:val="0"/>
            <w:vAlign w:val="center"/>
          </w:tcPr>
          <w:p w14:paraId="4A5CC648">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规划情况</w:t>
            </w:r>
          </w:p>
        </w:tc>
        <w:tc>
          <w:tcPr>
            <w:tcW w:w="4156" w:type="pct"/>
            <w:gridSpan w:val="3"/>
            <w:noWrap w:val="0"/>
            <w:vAlign w:val="center"/>
          </w:tcPr>
          <w:p w14:paraId="36DC0120">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规划名称：如皋市国土空间总体规划（2021~2035年） </w:t>
            </w:r>
          </w:p>
          <w:p w14:paraId="5EED8743">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审批机关：江苏省人民政府 </w:t>
            </w:r>
          </w:p>
          <w:p w14:paraId="444D0222">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审批文件名称及文号：2023年11月13日，江苏省人民政府发布《省政府关于南通市海门区、如东县、启东市、如皋市、海安市国土空间总体规划（2021~2035年）的批复》（苏政复〔2023〕43号）</w:t>
            </w:r>
          </w:p>
        </w:tc>
      </w:tr>
      <w:tr w14:paraId="5CC90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43" w:type="pct"/>
            <w:noWrap w:val="0"/>
            <w:vAlign w:val="center"/>
          </w:tcPr>
          <w:p w14:paraId="14797976">
            <w:pPr>
              <w:adjustRightInd w:val="0"/>
              <w:snapToGrid w:val="0"/>
              <w:jc w:val="center"/>
              <w:rPr>
                <w:rFonts w:ascii="Times New Roman" w:hAnsi="Times New Roman"/>
                <w:color w:val="auto"/>
                <w:szCs w:val="21"/>
              </w:rPr>
            </w:pPr>
            <w:r>
              <w:rPr>
                <w:rFonts w:ascii="Times New Roman" w:hAnsi="Times New Roman"/>
                <w:color w:val="auto"/>
                <w:szCs w:val="21"/>
              </w:rPr>
              <w:t>规划环境影响</w:t>
            </w:r>
          </w:p>
          <w:p w14:paraId="3BC00032">
            <w:pPr>
              <w:adjustRightInd w:val="0"/>
              <w:snapToGrid w:val="0"/>
              <w:jc w:val="center"/>
              <w:rPr>
                <w:rFonts w:ascii="Times New Roman" w:hAnsi="Times New Roman"/>
                <w:color w:val="auto"/>
                <w:kern w:val="0"/>
                <w:szCs w:val="21"/>
              </w:rPr>
            </w:pPr>
            <w:r>
              <w:rPr>
                <w:rFonts w:ascii="Times New Roman" w:hAnsi="Times New Roman"/>
                <w:color w:val="auto"/>
                <w:szCs w:val="21"/>
              </w:rPr>
              <w:t>评价情况</w:t>
            </w:r>
          </w:p>
        </w:tc>
        <w:tc>
          <w:tcPr>
            <w:tcW w:w="4156" w:type="pct"/>
            <w:gridSpan w:val="3"/>
            <w:noWrap w:val="0"/>
            <w:vAlign w:val="center"/>
          </w:tcPr>
          <w:p w14:paraId="258EDFCB">
            <w:pPr>
              <w:autoSpaceDE w:val="0"/>
              <w:autoSpaceDN w:val="0"/>
              <w:adjustRightInd w:val="0"/>
              <w:snapToGrid w:val="0"/>
              <w:jc w:val="center"/>
              <w:rPr>
                <w:rFonts w:hint="eastAsia" w:ascii="Times New Roman" w:hAnsi="Times New Roman" w:eastAsia="宋体"/>
                <w:color w:val="auto"/>
                <w:kern w:val="0"/>
                <w:szCs w:val="21"/>
                <w:lang w:eastAsia="zh-CN"/>
              </w:rPr>
            </w:pPr>
            <w:r>
              <w:rPr>
                <w:rFonts w:hint="eastAsia"/>
                <w:color w:val="auto"/>
                <w:kern w:val="0"/>
                <w:szCs w:val="21"/>
                <w:lang w:val="en-US" w:eastAsia="zh-CN"/>
              </w:rPr>
              <w:t>无</w:t>
            </w:r>
          </w:p>
        </w:tc>
      </w:tr>
      <w:tr w14:paraId="32D2B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843" w:type="pct"/>
            <w:noWrap w:val="0"/>
            <w:vAlign w:val="center"/>
          </w:tcPr>
          <w:p w14:paraId="6D6FA4A1">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规划及规划环境影响评价符合性分析</w:t>
            </w:r>
          </w:p>
        </w:tc>
        <w:tc>
          <w:tcPr>
            <w:tcW w:w="4156" w:type="pct"/>
            <w:gridSpan w:val="3"/>
            <w:noWrap w:val="0"/>
            <w:vAlign w:val="center"/>
          </w:tcPr>
          <w:p w14:paraId="38283E9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Times New Roman" w:hAnsi="Times New Roman"/>
                <w:color w:val="auto"/>
                <w:kern w:val="0"/>
                <w:szCs w:val="21"/>
              </w:rPr>
            </w:pPr>
            <w:r>
              <w:rPr>
                <w:rFonts w:hint="eastAsia" w:ascii="Times New Roman" w:hAnsi="Times New Roman" w:eastAsia="宋体" w:cs="Times New Roman"/>
                <w:color w:val="auto"/>
                <w:kern w:val="0"/>
                <w:szCs w:val="21"/>
                <w:lang w:val="en-US" w:eastAsia="zh-CN"/>
              </w:rPr>
              <w:t xml:space="preserve">   本项目选址于如皋市城北街道陆姚社区25组188号，</w:t>
            </w:r>
            <w:r>
              <w:rPr>
                <w:rFonts w:hint="default" w:ascii="Times New Roman" w:hAnsi="Times New Roman" w:eastAsia="宋体" w:cs="Times New Roman"/>
                <w:color w:val="auto"/>
                <w:kern w:val="0"/>
                <w:szCs w:val="21"/>
                <w:lang w:val="en-US" w:eastAsia="zh-CN"/>
              </w:rPr>
              <w:t>对照《如皋市国土空间总体规划（2021~2035年）》市域国土空间规划分区图</w:t>
            </w:r>
            <w:r>
              <w:rPr>
                <w:rFonts w:hint="eastAsia" w:ascii="Times New Roman" w:hAnsi="Times New Roman" w:eastAsia="宋体" w:cs="Times New Roman"/>
                <w:color w:val="auto"/>
                <w:kern w:val="0"/>
                <w:szCs w:val="21"/>
                <w:lang w:val="en-US" w:eastAsia="zh-CN"/>
              </w:rPr>
              <w:t>（附图11）</w:t>
            </w:r>
            <w:r>
              <w:rPr>
                <w:rFonts w:hint="default" w:ascii="Times New Roman" w:hAnsi="Times New Roman" w:eastAsia="宋体" w:cs="Times New Roman"/>
                <w:color w:val="auto"/>
                <w:kern w:val="0"/>
                <w:szCs w:val="21"/>
                <w:lang w:val="en-US" w:eastAsia="zh-CN"/>
              </w:rPr>
              <w:t>，项目所在地为工业发展区</w:t>
            </w:r>
            <w:r>
              <w:rPr>
                <w:rFonts w:hint="eastAsia" w:cs="Times New Roman"/>
                <w:color w:val="auto"/>
                <w:kern w:val="0"/>
                <w:szCs w:val="21"/>
                <w:lang w:val="en-US" w:eastAsia="zh-CN"/>
              </w:rPr>
              <w:t>；对照附件14如皋市自然资源和规划局经济技术开发区分局所出的工业用地证明，项目地用途为工业用地，因此项目</w:t>
            </w:r>
            <w:r>
              <w:rPr>
                <w:rFonts w:hint="default" w:ascii="Times New Roman" w:hAnsi="Times New Roman" w:eastAsia="宋体" w:cs="Times New Roman"/>
                <w:color w:val="auto"/>
                <w:kern w:val="0"/>
                <w:szCs w:val="21"/>
                <w:lang w:val="en-US" w:eastAsia="zh-CN"/>
              </w:rPr>
              <w:t>符合如皋市城北街道土地利用规划及如皋市国土空间总体规划。</w:t>
            </w:r>
          </w:p>
          <w:p w14:paraId="6F75E8C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B3DAB1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482A3AF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62AED6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383603D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3567D21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B09EA7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434B62C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2EB787A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2F0016A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351453F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57407D3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12B9A0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77AFA88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799520C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0157B3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4FB29CF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72BEBE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5FD0BB2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F78FC8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59BEB8E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3A52265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4BA3E59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7AC5339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70F9C58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0019B7D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6E75CDD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189C734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Cs w:val="21"/>
              </w:rPr>
            </w:pPr>
          </w:p>
          <w:p w14:paraId="2C655326">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Times New Roman" w:hAnsi="Times New Roman"/>
                <w:color w:val="auto"/>
                <w:kern w:val="0"/>
                <w:szCs w:val="21"/>
              </w:rPr>
            </w:pPr>
          </w:p>
          <w:p w14:paraId="74E0C9D3">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Times New Roman" w:hAnsi="Times New Roman"/>
                <w:color w:val="auto"/>
                <w:kern w:val="0"/>
                <w:szCs w:val="21"/>
              </w:rPr>
            </w:pPr>
          </w:p>
          <w:p w14:paraId="2D2A71A3">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Times New Roman" w:hAnsi="Times New Roman"/>
                <w:color w:val="auto"/>
                <w:kern w:val="0"/>
                <w:szCs w:val="21"/>
              </w:rPr>
            </w:pPr>
          </w:p>
          <w:p w14:paraId="4CE5C70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Times New Roman" w:hAnsi="Times New Roman"/>
                <w:color w:val="auto"/>
                <w:kern w:val="0"/>
                <w:szCs w:val="21"/>
              </w:rPr>
            </w:pPr>
          </w:p>
        </w:tc>
      </w:tr>
      <w:tr w14:paraId="63C25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3" w:type="pct"/>
            <w:noWrap w:val="0"/>
            <w:vAlign w:val="center"/>
          </w:tcPr>
          <w:p w14:paraId="0700B884">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其他符合性分析</w:t>
            </w:r>
          </w:p>
        </w:tc>
        <w:tc>
          <w:tcPr>
            <w:tcW w:w="4156" w:type="pct"/>
            <w:gridSpan w:val="3"/>
            <w:noWrap w:val="0"/>
            <w:vAlign w:val="center"/>
          </w:tcPr>
          <w:p w14:paraId="714A65D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textAlignment w:val="auto"/>
              <w:rPr>
                <w:rFonts w:hint="eastAsia"/>
                <w:b/>
                <w:color w:val="auto"/>
                <w:szCs w:val="21"/>
                <w:lang w:val="en-US" w:eastAsia="zh-CN"/>
              </w:rPr>
            </w:pPr>
            <w:r>
              <w:rPr>
                <w:rFonts w:ascii="Times New Roman" w:hAnsi="Times New Roman"/>
                <w:b/>
                <w:color w:val="auto"/>
                <w:szCs w:val="21"/>
              </w:rPr>
              <w:t>产业政策</w:t>
            </w:r>
            <w:r>
              <w:rPr>
                <w:rFonts w:hint="eastAsia" w:ascii="Times New Roman" w:hAnsi="Times New Roman"/>
                <w:b/>
                <w:color w:val="auto"/>
                <w:szCs w:val="21"/>
              </w:rPr>
              <w:t>相符</w:t>
            </w:r>
            <w:r>
              <w:rPr>
                <w:rFonts w:ascii="Times New Roman" w:hAnsi="Times New Roman"/>
                <w:b/>
                <w:color w:val="auto"/>
                <w:szCs w:val="21"/>
              </w:rPr>
              <w:t>性分析</w:t>
            </w:r>
            <w:r>
              <w:rPr>
                <w:rFonts w:hint="eastAsia"/>
                <w:b/>
                <w:color w:val="auto"/>
                <w:szCs w:val="21"/>
                <w:lang w:val="en-US" w:eastAsia="zh-CN"/>
              </w:rPr>
              <w:t xml:space="preserve">    </w:t>
            </w:r>
          </w:p>
          <w:p w14:paraId="19477A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zCs w:val="21"/>
              </w:rPr>
            </w:pPr>
            <w:r>
              <w:rPr>
                <w:rFonts w:hint="eastAsia" w:ascii="Times New Roman" w:hAnsi="Times New Roman"/>
                <w:color w:val="auto"/>
                <w:szCs w:val="21"/>
              </w:rPr>
              <w:t>本项目为</w:t>
            </w:r>
            <w:r>
              <w:rPr>
                <w:color w:val="auto"/>
                <w:szCs w:val="21"/>
              </w:rPr>
              <w:t>C3392</w:t>
            </w:r>
            <w:r>
              <w:rPr>
                <w:rFonts w:hint="eastAsia"/>
                <w:color w:val="auto"/>
                <w:szCs w:val="21"/>
              </w:rPr>
              <w:t>有色金属铸造</w:t>
            </w:r>
            <w:r>
              <w:rPr>
                <w:rFonts w:hint="eastAsia" w:ascii="Times New Roman" w:hAnsi="Times New Roman"/>
                <w:color w:val="auto"/>
                <w:szCs w:val="21"/>
              </w:rPr>
              <w:t>，对照《产业结构调整指导目录（20</w:t>
            </w:r>
            <w:r>
              <w:rPr>
                <w:rFonts w:hint="eastAsia"/>
                <w:color w:val="auto"/>
                <w:szCs w:val="21"/>
                <w:lang w:val="en-US" w:eastAsia="zh-CN"/>
              </w:rPr>
              <w:t>24</w:t>
            </w:r>
            <w:r>
              <w:rPr>
                <w:rFonts w:hint="eastAsia" w:ascii="Times New Roman" w:hAnsi="Times New Roman"/>
                <w:color w:val="auto"/>
                <w:szCs w:val="21"/>
              </w:rPr>
              <w:t>年本）》，本项目不属于其中的鼓励类、限制类或淘汰类，为允许类项目。</w:t>
            </w:r>
            <w:r>
              <w:rPr>
                <w:color w:val="auto"/>
              </w:rPr>
              <w:t>同时对照《环境保护综合名录（2021年版）》及《江苏省“两高”项目管理目录</w:t>
            </w:r>
            <w:r>
              <w:rPr>
                <w:rFonts w:hint="eastAsia"/>
                <w:color w:val="auto"/>
                <w:lang w:eastAsia="zh-CN"/>
              </w:rPr>
              <w:t>（</w:t>
            </w:r>
            <w:r>
              <w:rPr>
                <w:rFonts w:hint="eastAsia"/>
                <w:color w:val="auto"/>
                <w:lang w:val="en-US" w:eastAsia="zh-CN"/>
              </w:rPr>
              <w:t>2024年版本</w:t>
            </w:r>
            <w:r>
              <w:rPr>
                <w:rFonts w:hint="eastAsia"/>
                <w:color w:val="auto"/>
                <w:lang w:eastAsia="zh-CN"/>
              </w:rPr>
              <w:t>）</w:t>
            </w:r>
            <w:r>
              <w:rPr>
                <w:color w:val="auto"/>
              </w:rPr>
              <w:t>》，本项目不在“高污染、高环境风险”产品名录内。</w:t>
            </w:r>
            <w:r>
              <w:rPr>
                <w:rFonts w:hint="eastAsia"/>
                <w:color w:val="auto"/>
                <w:szCs w:val="21"/>
              </w:rPr>
              <w:t>本项目经</w:t>
            </w:r>
            <w:r>
              <w:rPr>
                <w:rFonts w:hint="eastAsia"/>
                <w:color w:val="auto"/>
                <w:szCs w:val="21"/>
                <w:lang w:val="en-US" w:eastAsia="zh-CN"/>
              </w:rPr>
              <w:t>如皋市数据局</w:t>
            </w:r>
            <w:r>
              <w:rPr>
                <w:rFonts w:hint="eastAsia"/>
                <w:color w:val="auto"/>
                <w:szCs w:val="21"/>
              </w:rPr>
              <w:t>备案，备案号：</w:t>
            </w:r>
            <w:r>
              <w:rPr>
                <w:rFonts w:hint="eastAsia"/>
                <w:color w:val="auto"/>
                <w:szCs w:val="21"/>
                <w:lang w:val="en-US" w:eastAsia="zh-CN"/>
              </w:rPr>
              <w:t>皋数据（开）备</w:t>
            </w:r>
            <w:r>
              <w:rPr>
                <w:rFonts w:hint="default" w:ascii="Times New Roman" w:hAnsi="Times New Roman" w:eastAsia="宋体"/>
                <w:color w:val="auto"/>
                <w:szCs w:val="21"/>
                <w:lang w:val="en-US" w:eastAsia="zh-CN"/>
              </w:rPr>
              <w:t>〔202</w:t>
            </w:r>
            <w:r>
              <w:rPr>
                <w:rFonts w:hint="eastAsia"/>
                <w:color w:val="auto"/>
                <w:szCs w:val="21"/>
                <w:lang w:val="en-US" w:eastAsia="zh-CN"/>
              </w:rPr>
              <w:t>4</w:t>
            </w:r>
            <w:r>
              <w:rPr>
                <w:rFonts w:hint="default" w:ascii="Times New Roman" w:hAnsi="Times New Roman" w:eastAsia="宋体"/>
                <w:color w:val="auto"/>
                <w:szCs w:val="21"/>
                <w:lang w:val="en-US" w:eastAsia="zh-CN"/>
              </w:rPr>
              <w:t>〕</w:t>
            </w:r>
            <w:r>
              <w:rPr>
                <w:rFonts w:hint="eastAsia"/>
                <w:color w:val="auto"/>
                <w:szCs w:val="21"/>
                <w:lang w:val="en-US" w:eastAsia="zh-CN"/>
              </w:rPr>
              <w:t>2</w:t>
            </w:r>
            <w:r>
              <w:rPr>
                <w:rFonts w:hint="default" w:ascii="Times New Roman" w:hAnsi="Times New Roman" w:eastAsia="宋体"/>
                <w:color w:val="auto"/>
                <w:szCs w:val="21"/>
                <w:lang w:val="en-US" w:eastAsia="zh-CN"/>
              </w:rPr>
              <w:t>号</w:t>
            </w:r>
            <w:r>
              <w:rPr>
                <w:rFonts w:hint="eastAsia"/>
                <w:color w:val="auto"/>
                <w:szCs w:val="21"/>
              </w:rPr>
              <w:t>，</w:t>
            </w:r>
            <w:r>
              <w:rPr>
                <w:color w:val="auto"/>
                <w:szCs w:val="21"/>
              </w:rPr>
              <w:t>因此，本项目符合国家</w:t>
            </w:r>
            <w:r>
              <w:rPr>
                <w:rFonts w:hint="eastAsia"/>
                <w:color w:val="auto"/>
                <w:szCs w:val="21"/>
              </w:rPr>
              <w:t>和地方</w:t>
            </w:r>
            <w:r>
              <w:rPr>
                <w:color w:val="auto"/>
                <w:szCs w:val="21"/>
              </w:rPr>
              <w:t>产业政策</w:t>
            </w:r>
            <w:r>
              <w:rPr>
                <w:rFonts w:hint="eastAsia" w:ascii="Times New Roman" w:hAnsi="Times New Roman"/>
                <w:color w:val="auto"/>
                <w:szCs w:val="21"/>
              </w:rPr>
              <w:t>。</w:t>
            </w:r>
          </w:p>
          <w:p w14:paraId="451FEE6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
                <w:bCs/>
                <w:color w:val="auto"/>
                <w:kern w:val="0"/>
                <w:szCs w:val="21"/>
              </w:rPr>
            </w:pPr>
            <w:r>
              <w:rPr>
                <w:rFonts w:hint="eastAsia"/>
                <w:b/>
                <w:bCs/>
                <w:color w:val="auto"/>
                <w:szCs w:val="21"/>
                <w:lang w:val="en-US" w:eastAsia="zh-CN"/>
              </w:rPr>
              <w:t>2、</w:t>
            </w:r>
            <w:r>
              <w:rPr>
                <w:rFonts w:ascii="Times New Roman" w:hAnsi="Times New Roman"/>
                <w:b/>
                <w:bCs/>
                <w:color w:val="auto"/>
                <w:szCs w:val="21"/>
              </w:rPr>
              <w:t>选址及用地</w:t>
            </w:r>
            <w:r>
              <w:rPr>
                <w:rFonts w:ascii="Times New Roman" w:hAnsi="Times New Roman"/>
                <w:b/>
                <w:bCs/>
                <w:color w:val="auto"/>
                <w:kern w:val="0"/>
                <w:szCs w:val="21"/>
              </w:rPr>
              <w:t>规划</w:t>
            </w:r>
            <w:r>
              <w:rPr>
                <w:rFonts w:hint="eastAsia" w:ascii="Times New Roman" w:hAnsi="Times New Roman"/>
                <w:b/>
                <w:bCs/>
                <w:color w:val="auto"/>
                <w:szCs w:val="21"/>
              </w:rPr>
              <w:t>相符</w:t>
            </w:r>
            <w:r>
              <w:rPr>
                <w:rFonts w:ascii="Times New Roman" w:hAnsi="Times New Roman"/>
                <w:b/>
                <w:bCs/>
                <w:color w:val="auto"/>
                <w:szCs w:val="21"/>
              </w:rPr>
              <w:t>性分析</w:t>
            </w:r>
          </w:p>
          <w:p w14:paraId="5806B58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color w:val="auto"/>
                <w:szCs w:val="21"/>
              </w:rPr>
            </w:pPr>
            <w:r>
              <w:rPr>
                <w:rFonts w:hint="eastAsia" w:ascii="Times New Roman" w:hAnsi="Times New Roman"/>
                <w:color w:val="auto"/>
                <w:szCs w:val="21"/>
              </w:rPr>
              <w:t>建设项目位于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color w:val="auto"/>
                <w:szCs w:val="21"/>
                <w:lang w:eastAsia="zh-CN"/>
              </w:rPr>
              <w:t>，</w:t>
            </w:r>
            <w:r>
              <w:rPr>
                <w:rFonts w:hint="eastAsia"/>
                <w:color w:val="auto"/>
                <w:szCs w:val="21"/>
                <w:lang w:val="en-US" w:eastAsia="zh-CN"/>
              </w:rPr>
              <w:t>对照如皋市国土空间总体规划图，项目地为工业发展区，</w:t>
            </w:r>
            <w:r>
              <w:rPr>
                <w:rFonts w:hint="eastAsia"/>
                <w:color w:val="auto"/>
                <w:szCs w:val="21"/>
                <w:lang w:eastAsia="zh-CN"/>
              </w:rPr>
              <w:t>用地性质为工业用地（</w:t>
            </w:r>
            <w:r>
              <w:rPr>
                <w:rFonts w:hint="eastAsia"/>
                <w:color w:val="auto"/>
                <w:szCs w:val="21"/>
                <w:lang w:val="en-US" w:eastAsia="zh-CN"/>
              </w:rPr>
              <w:t>详见附图10如皋市国土空间总体规划图</w:t>
            </w:r>
            <w:r>
              <w:rPr>
                <w:rFonts w:hint="eastAsia"/>
                <w:color w:val="auto"/>
                <w:szCs w:val="21"/>
                <w:lang w:eastAsia="zh-CN"/>
              </w:rPr>
              <w:t>），</w:t>
            </w:r>
            <w:r>
              <w:rPr>
                <w:rFonts w:hint="eastAsia" w:cs="宋体"/>
                <w:color w:val="auto"/>
                <w:szCs w:val="21"/>
                <w:lang w:bidi="ar"/>
              </w:rPr>
              <w:t>不在永久基本农田、生态保护红线范围内</w:t>
            </w:r>
            <w:r>
              <w:rPr>
                <w:rFonts w:hint="eastAsia"/>
                <w:color w:val="auto"/>
                <w:szCs w:val="21"/>
                <w:lang w:eastAsia="zh-CN"/>
              </w:rPr>
              <w:t>。项目用地符合</w:t>
            </w:r>
            <w:r>
              <w:rPr>
                <w:rFonts w:hint="eastAsia" w:cs="宋体"/>
                <w:color w:val="auto"/>
                <w:szCs w:val="21"/>
                <w:lang w:bidi="ar"/>
              </w:rPr>
              <w:t>《如皋市国土空间总体规划（2021-2035年）》要求</w:t>
            </w:r>
            <w:r>
              <w:rPr>
                <w:rFonts w:hint="eastAsia"/>
                <w:color w:val="auto"/>
                <w:szCs w:val="21"/>
                <w:lang w:eastAsia="zh-CN"/>
              </w:rPr>
              <w:t>。</w:t>
            </w:r>
          </w:p>
          <w:p w14:paraId="7AE2138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
                <w:color w:val="auto"/>
                <w:kern w:val="0"/>
                <w:szCs w:val="21"/>
              </w:rPr>
            </w:pPr>
            <w:r>
              <w:rPr>
                <w:rFonts w:hint="eastAsia"/>
                <w:b/>
                <w:color w:val="auto"/>
                <w:szCs w:val="21"/>
                <w:lang w:val="en-US" w:eastAsia="zh-CN"/>
              </w:rPr>
              <w:t>3、</w:t>
            </w:r>
            <w:r>
              <w:rPr>
                <w:rFonts w:hint="eastAsia" w:ascii="Times New Roman" w:hAnsi="Times New Roman"/>
                <w:b/>
                <w:color w:val="auto"/>
                <w:szCs w:val="21"/>
              </w:rPr>
              <w:t>与</w:t>
            </w:r>
            <w:r>
              <w:rPr>
                <w:rFonts w:ascii="Times New Roman" w:hAnsi="Times New Roman"/>
                <w:b/>
                <w:color w:val="auto"/>
                <w:kern w:val="0"/>
                <w:szCs w:val="21"/>
              </w:rPr>
              <w:t>“三线一单”相</w:t>
            </w:r>
            <w:r>
              <w:rPr>
                <w:rFonts w:hint="eastAsia" w:ascii="Times New Roman" w:hAnsi="Times New Roman"/>
                <w:b/>
                <w:color w:val="auto"/>
                <w:kern w:val="0"/>
                <w:szCs w:val="21"/>
              </w:rPr>
              <w:t>符</w:t>
            </w:r>
            <w:r>
              <w:rPr>
                <w:rFonts w:ascii="Times New Roman" w:hAnsi="Times New Roman"/>
                <w:b/>
                <w:color w:val="auto"/>
                <w:kern w:val="0"/>
                <w:szCs w:val="21"/>
              </w:rPr>
              <w:t>性分析</w:t>
            </w:r>
          </w:p>
          <w:p w14:paraId="1D092E6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
                <w:color w:val="auto"/>
                <w:szCs w:val="21"/>
              </w:rPr>
            </w:pPr>
            <w:r>
              <w:rPr>
                <w:rFonts w:hint="eastAsia" w:ascii="Times New Roman" w:hAnsi="Times New Roman"/>
                <w:b/>
                <w:color w:val="auto"/>
                <w:szCs w:val="21"/>
              </w:rPr>
              <w:t>①</w:t>
            </w:r>
            <w:r>
              <w:rPr>
                <w:rFonts w:ascii="Times New Roman" w:hAnsi="Times New Roman"/>
                <w:b/>
                <w:color w:val="auto"/>
                <w:szCs w:val="21"/>
              </w:rPr>
              <w:t>与生态红线相符性分析</w:t>
            </w:r>
          </w:p>
          <w:p w14:paraId="280623D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olor w:val="auto"/>
                <w:szCs w:val="21"/>
              </w:rPr>
            </w:pPr>
            <w:r>
              <w:rPr>
                <w:rFonts w:hint="eastAsia"/>
                <w:color w:val="auto"/>
                <w:szCs w:val="21"/>
                <w:lang w:val="en-US" w:eastAsia="zh-CN"/>
              </w:rPr>
              <w:t>A、</w:t>
            </w:r>
            <w:r>
              <w:rPr>
                <w:rFonts w:hint="default" w:ascii="Times New Roman" w:hAnsi="Times New Roman"/>
                <w:color w:val="auto"/>
                <w:szCs w:val="21"/>
              </w:rPr>
              <w:t>对照《</w:t>
            </w:r>
            <w:r>
              <w:rPr>
                <w:rFonts w:hint="eastAsia"/>
                <w:color w:val="auto"/>
                <w:szCs w:val="21"/>
                <w:lang w:val="en-US" w:eastAsia="zh-CN"/>
              </w:rPr>
              <w:t>关于加强生态保护红线管理的通知</w:t>
            </w:r>
            <w:r>
              <w:rPr>
                <w:rFonts w:hint="default" w:ascii="Times New Roman" w:hAnsi="Times New Roman"/>
                <w:color w:val="auto"/>
                <w:szCs w:val="21"/>
              </w:rPr>
              <w:t>》（</w:t>
            </w:r>
            <w:r>
              <w:rPr>
                <w:rFonts w:hint="eastAsia"/>
                <w:color w:val="auto"/>
                <w:szCs w:val="21"/>
                <w:lang w:val="en-US" w:eastAsia="zh-CN"/>
              </w:rPr>
              <w:t>自然资</w:t>
            </w:r>
            <w:r>
              <w:rPr>
                <w:rFonts w:hint="default" w:ascii="Times New Roman" w:hAnsi="Times New Roman"/>
                <w:color w:val="auto"/>
                <w:szCs w:val="21"/>
              </w:rPr>
              <w:t>发〔20</w:t>
            </w:r>
            <w:r>
              <w:rPr>
                <w:rFonts w:hint="eastAsia"/>
                <w:color w:val="auto"/>
                <w:szCs w:val="21"/>
                <w:lang w:val="en-US" w:eastAsia="zh-CN"/>
              </w:rPr>
              <w:t>22</w:t>
            </w:r>
            <w:r>
              <w:rPr>
                <w:rFonts w:hint="default" w:ascii="Times New Roman" w:hAnsi="Times New Roman"/>
                <w:color w:val="auto"/>
                <w:szCs w:val="21"/>
              </w:rPr>
              <w:t>〕</w:t>
            </w:r>
            <w:r>
              <w:rPr>
                <w:rFonts w:hint="eastAsia"/>
                <w:color w:val="auto"/>
                <w:szCs w:val="21"/>
                <w:lang w:val="en-US" w:eastAsia="zh-CN"/>
              </w:rPr>
              <w:t>142</w:t>
            </w:r>
            <w:r>
              <w:rPr>
                <w:rFonts w:hint="default" w:ascii="Times New Roman" w:hAnsi="Times New Roman"/>
                <w:color w:val="auto"/>
                <w:szCs w:val="21"/>
              </w:rPr>
              <w:t>号）及《省政府关于调整取消部分集中式饮用水水源地保护区的通知》（苏政发〔2020〕82号），如皋市境内生态保护红线为长江长青沙饮用水水源保护区、长青沙水库应急水源地饮用水水源保护区、长江如皋段刀鲚国家级水产种质资源保护区。</w:t>
            </w:r>
            <w:r>
              <w:rPr>
                <w:rFonts w:hint="eastAsia"/>
                <w:color w:val="auto"/>
                <w:szCs w:val="21"/>
                <w:lang w:eastAsia="zh-CN"/>
              </w:rPr>
              <w:t>本项目位于如皋市城北街道陆姚社区25组188号，</w:t>
            </w:r>
            <w:r>
              <w:rPr>
                <w:rFonts w:hint="eastAsia"/>
                <w:color w:val="auto"/>
                <w:szCs w:val="21"/>
                <w:lang w:val="en-US" w:eastAsia="zh-CN"/>
              </w:rPr>
              <w:t>距离最近的为南侧</w:t>
            </w:r>
            <w:r>
              <w:rPr>
                <w:rFonts w:hint="default" w:ascii="Times New Roman" w:hAnsi="Times New Roman"/>
                <w:color w:val="auto"/>
                <w:szCs w:val="21"/>
              </w:rPr>
              <w:t>长青沙水库应急水源地饮用水水源保护区</w:t>
            </w:r>
            <w:r>
              <w:rPr>
                <w:rFonts w:hint="eastAsia"/>
                <w:color w:val="auto"/>
                <w:szCs w:val="21"/>
                <w:lang w:val="en-US" w:eastAsia="zh-CN"/>
              </w:rPr>
              <w:t>33km</w:t>
            </w:r>
            <w:r>
              <w:rPr>
                <w:rFonts w:hint="default" w:ascii="Times New Roman" w:hAnsi="Times New Roman"/>
                <w:color w:val="auto"/>
                <w:szCs w:val="21"/>
              </w:rPr>
              <w:t>，</w:t>
            </w:r>
            <w:r>
              <w:rPr>
                <w:rFonts w:hint="eastAsia" w:ascii="Times New Roman" w:hAnsi="Times New Roman"/>
                <w:color w:val="auto"/>
                <w:szCs w:val="21"/>
              </w:rPr>
              <w:t>不在生态红线</w:t>
            </w:r>
            <w:r>
              <w:rPr>
                <w:rFonts w:hint="eastAsia" w:ascii="Times New Roman" w:hAnsi="Times New Roman" w:cs="Times New Roman"/>
                <w:color w:val="auto"/>
                <w:szCs w:val="21"/>
              </w:rPr>
              <w:t>范围内</w:t>
            </w:r>
            <w:r>
              <w:rPr>
                <w:rFonts w:hint="default" w:ascii="Times New Roman" w:hAnsi="Times New Roman" w:cs="Times New Roman"/>
                <w:color w:val="auto"/>
                <w:szCs w:val="21"/>
              </w:rPr>
              <w:t>，不涉及上述区域</w:t>
            </w:r>
            <w:r>
              <w:rPr>
                <w:rFonts w:hint="default" w:ascii="Times New Roman" w:hAnsi="Times New Roman"/>
                <w:color w:val="auto"/>
                <w:szCs w:val="21"/>
              </w:rPr>
              <w:t>。</w:t>
            </w:r>
          </w:p>
          <w:p w14:paraId="112D31C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olor w:val="auto"/>
                <w:szCs w:val="21"/>
              </w:rPr>
            </w:pPr>
            <w:r>
              <w:rPr>
                <w:rFonts w:hint="eastAsia" w:ascii="Times New Roman" w:hAnsi="Times New Roman"/>
                <w:color w:val="auto"/>
                <w:szCs w:val="21"/>
                <w:lang w:val="en-US" w:eastAsia="zh-CN"/>
              </w:rPr>
              <w:t>B、</w:t>
            </w:r>
            <w:r>
              <w:rPr>
                <w:rFonts w:hint="default" w:ascii="Times New Roman" w:hAnsi="Times New Roman"/>
                <w:color w:val="auto"/>
                <w:szCs w:val="21"/>
              </w:rPr>
              <w:t>对照</w:t>
            </w:r>
            <w:r>
              <w:rPr>
                <w:rFonts w:hint="eastAsia" w:ascii="Times New Roman" w:hAnsi="Times New Roman"/>
                <w:color w:val="auto"/>
                <w:szCs w:val="21"/>
                <w:lang w:val="en-US" w:eastAsia="zh-CN"/>
              </w:rPr>
              <w:t>《省政府关于印发江苏省国土空间规划（2021-2035 年）的通知》（苏政发〔2023〕69 号）、《省政府关于南通市国土空间总体规划（2021－2035 年）的批复》（苏政复〔2023〕24 号）</w:t>
            </w:r>
            <w:r>
              <w:rPr>
                <w:rFonts w:hint="eastAsia"/>
                <w:color w:val="auto"/>
                <w:szCs w:val="21"/>
                <w:lang w:val="en-US" w:eastAsia="zh-CN"/>
              </w:rPr>
              <w:t>及</w:t>
            </w:r>
            <w:r>
              <w:rPr>
                <w:rFonts w:hint="eastAsia" w:ascii="Times New Roman" w:hAnsi="Times New Roman"/>
                <w:color w:val="auto"/>
                <w:szCs w:val="21"/>
                <w:lang w:val="en-US" w:eastAsia="zh-CN"/>
              </w:rPr>
              <w:t>《如皋市生态空间管控区域调整方案的复函》（苏自然资函〔2021〕1588 号）</w:t>
            </w:r>
            <w:r>
              <w:rPr>
                <w:rFonts w:hint="default" w:ascii="Times New Roman" w:hAnsi="Times New Roman"/>
                <w:color w:val="auto"/>
                <w:szCs w:val="21"/>
              </w:rPr>
              <w:t>，与本项目最近的生态空间保护区域为</w:t>
            </w:r>
            <w:r>
              <w:rPr>
                <w:rFonts w:hint="eastAsia" w:ascii="Times New Roman" w:hAnsi="Times New Roman"/>
                <w:color w:val="auto"/>
                <w:szCs w:val="21"/>
                <w:lang w:val="en-US" w:eastAsia="zh-CN"/>
              </w:rPr>
              <w:t xml:space="preserve">如海运河（如皋市）清水通道维护区 </w:t>
            </w:r>
            <w:r>
              <w:rPr>
                <w:rFonts w:hint="default" w:ascii="Times New Roman" w:hAnsi="Times New Roman"/>
                <w:color w:val="auto"/>
                <w:szCs w:val="21"/>
              </w:rPr>
              <w:t>。本项目距离</w:t>
            </w:r>
            <w:r>
              <w:rPr>
                <w:rFonts w:hint="eastAsia" w:ascii="Times New Roman" w:hAnsi="Times New Roman"/>
                <w:color w:val="auto"/>
                <w:szCs w:val="21"/>
                <w:lang w:val="en-US" w:eastAsia="zh-CN"/>
              </w:rPr>
              <w:t>如海运河（如皋市）清水</w:t>
            </w:r>
            <w:r>
              <w:rPr>
                <w:rFonts w:hint="eastAsia" w:ascii="Times New Roman" w:hAnsi="Times New Roman" w:cs="Times New Roman"/>
                <w:color w:val="auto"/>
                <w:szCs w:val="21"/>
                <w:lang w:val="en-US" w:eastAsia="zh-CN"/>
              </w:rPr>
              <w:t>通道维护区</w:t>
            </w: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0</w:t>
            </w:r>
            <w:r>
              <w:rPr>
                <w:rFonts w:hint="eastAsia"/>
                <w:color w:val="auto"/>
                <w:szCs w:val="21"/>
                <w:lang w:val="en-US" w:eastAsia="zh-CN"/>
              </w:rPr>
              <w:t>0</w:t>
            </w:r>
            <w:r>
              <w:rPr>
                <w:rFonts w:ascii="Times New Roman" w:hAnsi="Times New Roman"/>
                <w:color w:val="auto"/>
                <w:szCs w:val="21"/>
              </w:rPr>
              <w:t>米</w:t>
            </w:r>
            <w:r>
              <w:rPr>
                <w:rFonts w:hint="eastAsia"/>
                <w:color w:val="auto"/>
                <w:szCs w:val="21"/>
                <w:lang w:eastAsia="zh-CN"/>
              </w:rPr>
              <w:t>（</w:t>
            </w:r>
            <w:r>
              <w:rPr>
                <w:rFonts w:hint="eastAsia"/>
                <w:color w:val="auto"/>
                <w:szCs w:val="21"/>
                <w:lang w:val="en-US" w:eastAsia="zh-CN"/>
              </w:rPr>
              <w:t>距离如海运河1400m</w:t>
            </w:r>
            <w:r>
              <w:rPr>
                <w:rFonts w:hint="eastAsia"/>
                <w:color w:val="auto"/>
                <w:szCs w:val="21"/>
                <w:lang w:eastAsia="zh-CN"/>
              </w:rPr>
              <w:t>）</w:t>
            </w:r>
            <w:r>
              <w:rPr>
                <w:rFonts w:ascii="Times New Roman" w:hAnsi="Times New Roman"/>
                <w:color w:val="auto"/>
                <w:szCs w:val="21"/>
              </w:rPr>
              <w:t>，</w:t>
            </w:r>
            <w:r>
              <w:rPr>
                <w:rFonts w:hint="eastAsia" w:ascii="Times New Roman" w:hAnsi="Times New Roman"/>
                <w:color w:val="auto"/>
                <w:szCs w:val="21"/>
              </w:rPr>
              <w:t>不在其</w:t>
            </w:r>
            <w:r>
              <w:rPr>
                <w:rFonts w:ascii="Times New Roman" w:hAnsi="Times New Roman"/>
                <w:color w:val="auto"/>
                <w:szCs w:val="21"/>
              </w:rPr>
              <w:t>生态空间管控区域范围内。</w:t>
            </w:r>
            <w:r>
              <w:rPr>
                <w:rFonts w:hint="eastAsia" w:ascii="Times New Roman" w:hAnsi="Times New Roman"/>
                <w:color w:val="auto"/>
                <w:szCs w:val="21"/>
              </w:rPr>
              <w:t>本项目与</w:t>
            </w:r>
            <w:r>
              <w:rPr>
                <w:rFonts w:hint="eastAsia" w:ascii="Times New Roman" w:hAnsi="Times New Roman"/>
                <w:color w:val="auto"/>
                <w:szCs w:val="21"/>
                <w:lang w:val="en-US" w:eastAsia="zh-CN"/>
              </w:rPr>
              <w:t>《省政府关于印发江苏省国土空间规划（2021-2035 年）的通知》（苏政发〔2023〕69 号）、《省政府关于南通市国土空间总体规划（2021－2035 年）的批复》（苏政复〔2023〕24 号）</w:t>
            </w:r>
            <w:r>
              <w:rPr>
                <w:rFonts w:hint="eastAsia"/>
                <w:color w:val="auto"/>
                <w:szCs w:val="21"/>
                <w:lang w:val="en-US" w:eastAsia="zh-CN"/>
              </w:rPr>
              <w:t>及</w:t>
            </w:r>
            <w:r>
              <w:rPr>
                <w:rFonts w:hint="eastAsia" w:ascii="Times New Roman" w:hAnsi="Times New Roman"/>
                <w:color w:val="auto"/>
                <w:szCs w:val="21"/>
                <w:lang w:val="en-US" w:eastAsia="zh-CN"/>
              </w:rPr>
              <w:t>《如皋市生态空间管控区域调整方案的复函》（苏自然资函〔2021〕1588 号）</w:t>
            </w:r>
            <w:r>
              <w:rPr>
                <w:rFonts w:hint="eastAsia" w:ascii="Times New Roman" w:hAnsi="Times New Roman"/>
                <w:color w:val="auto"/>
                <w:szCs w:val="21"/>
              </w:rPr>
              <w:t>是相符的</w:t>
            </w:r>
            <w:r>
              <w:rPr>
                <w:rFonts w:ascii="Times New Roman" w:hAnsi="Times New Roman"/>
                <w:color w:val="auto"/>
                <w:szCs w:val="21"/>
              </w:rPr>
              <w:t>。</w:t>
            </w:r>
          </w:p>
          <w:p w14:paraId="0408EAFB">
            <w:pPr>
              <w:keepNext w:val="0"/>
              <w:keepLines w:val="0"/>
              <w:pageBreakBefore w:val="0"/>
              <w:widowControl w:val="0"/>
              <w:kinsoku/>
              <w:wordWrap/>
              <w:overflowPunct/>
              <w:topLinePunct w:val="0"/>
              <w:autoSpaceDE/>
              <w:autoSpaceDN/>
              <w:bidi w:val="0"/>
              <w:adjustRightInd/>
              <w:snapToGrid/>
              <w:spacing w:line="240" w:lineRule="auto"/>
              <w:ind w:right="105" w:rightChars="50" w:firstLine="422" w:firstLineChars="200"/>
              <w:jc w:val="center"/>
              <w:textAlignment w:val="auto"/>
              <w:rPr>
                <w:color w:val="auto"/>
                <w:sz w:val="21"/>
                <w:szCs w:val="21"/>
              </w:rPr>
            </w:pPr>
            <w:r>
              <w:rPr>
                <w:b/>
                <w:color w:val="auto"/>
                <w:sz w:val="21"/>
                <w:szCs w:val="21"/>
              </w:rPr>
              <w:t>表1</w:t>
            </w:r>
            <w:r>
              <w:rPr>
                <w:rFonts w:hint="eastAsia"/>
                <w:b/>
                <w:color w:val="auto"/>
                <w:sz w:val="21"/>
                <w:szCs w:val="21"/>
                <w:lang w:val="en-US" w:eastAsia="zh-CN"/>
              </w:rPr>
              <w:t>-1</w:t>
            </w:r>
            <w:r>
              <w:rPr>
                <w:b/>
                <w:bCs/>
                <w:color w:val="auto"/>
                <w:szCs w:val="21"/>
              </w:rPr>
              <w:t>项目周边涉及的江苏省生态空间管控区域</w:t>
            </w:r>
          </w:p>
          <w:tbl>
            <w:tblPr>
              <w:tblStyle w:val="25"/>
              <w:tblW w:w="7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5"/>
              <w:gridCol w:w="794"/>
              <w:gridCol w:w="1137"/>
              <w:gridCol w:w="1558"/>
              <w:gridCol w:w="967"/>
              <w:gridCol w:w="927"/>
              <w:gridCol w:w="760"/>
            </w:tblGrid>
            <w:tr w14:paraId="54CE9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870" w:type="pct"/>
                  <w:vMerge w:val="restart"/>
                  <w:noWrap w:val="0"/>
                  <w:tcMar>
                    <w:left w:w="113" w:type="dxa"/>
                    <w:right w:w="113" w:type="dxa"/>
                  </w:tcMar>
                  <w:vAlign w:val="center"/>
                </w:tcPr>
                <w:p w14:paraId="3FD89255">
                  <w:pPr>
                    <w:adjustRightInd w:val="0"/>
                    <w:snapToGrid w:val="0"/>
                    <w:jc w:val="center"/>
                    <w:rPr>
                      <w:b/>
                      <w:bCs/>
                      <w:color w:val="auto"/>
                      <w:szCs w:val="21"/>
                      <w:shd w:val="clear" w:color="auto" w:fill="FFFFFF"/>
                    </w:rPr>
                  </w:pPr>
                  <w:r>
                    <w:rPr>
                      <w:b/>
                      <w:bCs/>
                      <w:color w:val="auto"/>
                      <w:szCs w:val="21"/>
                      <w:shd w:val="clear" w:color="auto" w:fill="FFFFFF"/>
                    </w:rPr>
                    <w:t>生态空间保护区域名称</w:t>
                  </w:r>
                </w:p>
              </w:tc>
              <w:tc>
                <w:tcPr>
                  <w:tcW w:w="533" w:type="pct"/>
                  <w:vMerge w:val="restart"/>
                  <w:noWrap w:val="0"/>
                  <w:tcMar>
                    <w:left w:w="113" w:type="dxa"/>
                    <w:right w:w="113" w:type="dxa"/>
                  </w:tcMar>
                  <w:vAlign w:val="center"/>
                </w:tcPr>
                <w:p w14:paraId="456B1E0F">
                  <w:pPr>
                    <w:adjustRightInd w:val="0"/>
                    <w:snapToGrid w:val="0"/>
                    <w:jc w:val="center"/>
                    <w:rPr>
                      <w:b/>
                      <w:bCs/>
                      <w:color w:val="auto"/>
                      <w:szCs w:val="21"/>
                      <w:shd w:val="clear" w:color="auto" w:fill="FFFFFF"/>
                    </w:rPr>
                  </w:pPr>
                  <w:r>
                    <w:rPr>
                      <w:b/>
                      <w:bCs/>
                      <w:color w:val="auto"/>
                      <w:szCs w:val="21"/>
                      <w:shd w:val="clear" w:color="auto" w:fill="FFFFFF"/>
                    </w:rPr>
                    <w:t>主导生态功能</w:t>
                  </w:r>
                </w:p>
              </w:tc>
              <w:tc>
                <w:tcPr>
                  <w:tcW w:w="1811" w:type="pct"/>
                  <w:gridSpan w:val="2"/>
                  <w:noWrap w:val="0"/>
                  <w:tcMar>
                    <w:left w:w="113" w:type="dxa"/>
                    <w:right w:w="113" w:type="dxa"/>
                  </w:tcMar>
                  <w:vAlign w:val="center"/>
                </w:tcPr>
                <w:p w14:paraId="0AB298D1">
                  <w:pPr>
                    <w:adjustRightInd w:val="0"/>
                    <w:snapToGrid w:val="0"/>
                    <w:jc w:val="center"/>
                    <w:rPr>
                      <w:b/>
                      <w:bCs/>
                      <w:color w:val="auto"/>
                      <w:szCs w:val="21"/>
                      <w:shd w:val="clear" w:color="auto" w:fill="FFFFFF"/>
                    </w:rPr>
                  </w:pPr>
                  <w:r>
                    <w:rPr>
                      <w:b/>
                      <w:bCs/>
                      <w:color w:val="auto"/>
                      <w:szCs w:val="21"/>
                      <w:shd w:val="clear" w:color="auto" w:fill="FFFFFF"/>
                    </w:rPr>
                    <w:t>红线区域范围</w:t>
                  </w:r>
                </w:p>
              </w:tc>
              <w:tc>
                <w:tcPr>
                  <w:tcW w:w="1784" w:type="pct"/>
                  <w:gridSpan w:val="3"/>
                  <w:noWrap w:val="0"/>
                  <w:tcMar>
                    <w:left w:w="113" w:type="dxa"/>
                    <w:right w:w="113" w:type="dxa"/>
                  </w:tcMar>
                  <w:vAlign w:val="center"/>
                </w:tcPr>
                <w:p w14:paraId="276C1C5C">
                  <w:pPr>
                    <w:adjustRightInd w:val="0"/>
                    <w:snapToGrid w:val="0"/>
                    <w:jc w:val="center"/>
                    <w:rPr>
                      <w:b/>
                      <w:bCs/>
                      <w:color w:val="auto"/>
                      <w:szCs w:val="21"/>
                      <w:shd w:val="clear" w:color="auto" w:fill="FFFFFF"/>
                    </w:rPr>
                  </w:pPr>
                  <w:r>
                    <w:rPr>
                      <w:b/>
                      <w:bCs/>
                      <w:color w:val="auto"/>
                      <w:szCs w:val="21"/>
                      <w:shd w:val="clear" w:color="auto" w:fill="FFFFFF"/>
                    </w:rPr>
                    <w:t>面积（平方公里）</w:t>
                  </w:r>
                </w:p>
              </w:tc>
            </w:tr>
            <w:tr w14:paraId="629EF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870" w:type="pct"/>
                  <w:vMerge w:val="continue"/>
                  <w:noWrap w:val="0"/>
                  <w:tcMar>
                    <w:left w:w="113" w:type="dxa"/>
                    <w:right w:w="113" w:type="dxa"/>
                  </w:tcMar>
                  <w:vAlign w:val="center"/>
                </w:tcPr>
                <w:p w14:paraId="0157A8DE">
                  <w:pPr>
                    <w:adjustRightInd w:val="0"/>
                    <w:snapToGrid w:val="0"/>
                    <w:jc w:val="center"/>
                    <w:rPr>
                      <w:b/>
                      <w:bCs/>
                      <w:color w:val="auto"/>
                      <w:szCs w:val="21"/>
                      <w:shd w:val="clear" w:color="auto" w:fill="FFFFFF"/>
                    </w:rPr>
                  </w:pPr>
                </w:p>
              </w:tc>
              <w:tc>
                <w:tcPr>
                  <w:tcW w:w="533" w:type="pct"/>
                  <w:vMerge w:val="continue"/>
                  <w:noWrap w:val="0"/>
                  <w:tcMar>
                    <w:left w:w="113" w:type="dxa"/>
                    <w:right w:w="113" w:type="dxa"/>
                  </w:tcMar>
                  <w:vAlign w:val="center"/>
                </w:tcPr>
                <w:p w14:paraId="551D2AC3">
                  <w:pPr>
                    <w:adjustRightInd w:val="0"/>
                    <w:snapToGrid w:val="0"/>
                    <w:jc w:val="center"/>
                    <w:rPr>
                      <w:b/>
                      <w:bCs/>
                      <w:color w:val="auto"/>
                      <w:szCs w:val="21"/>
                      <w:shd w:val="clear" w:color="auto" w:fill="FFFFFF"/>
                    </w:rPr>
                  </w:pPr>
                </w:p>
              </w:tc>
              <w:tc>
                <w:tcPr>
                  <w:tcW w:w="764" w:type="pct"/>
                  <w:noWrap w:val="0"/>
                  <w:tcMar>
                    <w:left w:w="113" w:type="dxa"/>
                    <w:right w:w="113" w:type="dxa"/>
                  </w:tcMar>
                  <w:vAlign w:val="center"/>
                </w:tcPr>
                <w:p w14:paraId="0369BD79">
                  <w:pPr>
                    <w:adjustRightInd w:val="0"/>
                    <w:snapToGrid w:val="0"/>
                    <w:jc w:val="center"/>
                    <w:rPr>
                      <w:b/>
                      <w:bCs/>
                      <w:color w:val="auto"/>
                      <w:szCs w:val="21"/>
                      <w:shd w:val="clear" w:color="auto" w:fill="FFFFFF"/>
                    </w:rPr>
                  </w:pPr>
                  <w:r>
                    <w:rPr>
                      <w:b/>
                      <w:bCs/>
                      <w:color w:val="auto"/>
                      <w:szCs w:val="21"/>
                      <w:shd w:val="clear" w:color="auto" w:fill="FFFFFF"/>
                    </w:rPr>
                    <w:t>国家级生态保护红线范围</w:t>
                  </w:r>
                </w:p>
              </w:tc>
              <w:tc>
                <w:tcPr>
                  <w:tcW w:w="1047" w:type="pct"/>
                  <w:noWrap w:val="0"/>
                  <w:tcMar>
                    <w:left w:w="113" w:type="dxa"/>
                    <w:right w:w="113" w:type="dxa"/>
                  </w:tcMar>
                  <w:vAlign w:val="center"/>
                </w:tcPr>
                <w:p w14:paraId="20B7203A">
                  <w:pPr>
                    <w:adjustRightInd w:val="0"/>
                    <w:snapToGrid w:val="0"/>
                    <w:jc w:val="center"/>
                    <w:rPr>
                      <w:b/>
                      <w:bCs/>
                      <w:color w:val="auto"/>
                      <w:szCs w:val="21"/>
                      <w:shd w:val="clear" w:color="auto" w:fill="FFFFFF"/>
                    </w:rPr>
                  </w:pPr>
                  <w:r>
                    <w:rPr>
                      <w:b/>
                      <w:bCs/>
                      <w:color w:val="auto"/>
                      <w:szCs w:val="21"/>
                      <w:shd w:val="clear" w:color="auto" w:fill="FFFFFF"/>
                    </w:rPr>
                    <w:t>生态空间管控区域范围</w:t>
                  </w:r>
                </w:p>
              </w:tc>
              <w:tc>
                <w:tcPr>
                  <w:tcW w:w="650" w:type="pct"/>
                  <w:noWrap w:val="0"/>
                  <w:tcMar>
                    <w:left w:w="113" w:type="dxa"/>
                    <w:right w:w="113" w:type="dxa"/>
                  </w:tcMar>
                  <w:vAlign w:val="center"/>
                </w:tcPr>
                <w:p w14:paraId="5FD7C5F8">
                  <w:pPr>
                    <w:adjustRightInd w:val="0"/>
                    <w:snapToGrid w:val="0"/>
                    <w:jc w:val="center"/>
                    <w:rPr>
                      <w:b/>
                      <w:bCs/>
                      <w:color w:val="auto"/>
                      <w:szCs w:val="21"/>
                      <w:shd w:val="clear" w:color="auto" w:fill="FFFFFF"/>
                    </w:rPr>
                  </w:pPr>
                  <w:r>
                    <w:rPr>
                      <w:b/>
                      <w:bCs/>
                      <w:color w:val="auto"/>
                      <w:szCs w:val="21"/>
                      <w:shd w:val="clear" w:color="auto" w:fill="FFFFFF"/>
                    </w:rPr>
                    <w:t>国家级生态保护红线面积</w:t>
                  </w:r>
                </w:p>
              </w:tc>
              <w:tc>
                <w:tcPr>
                  <w:tcW w:w="623" w:type="pct"/>
                  <w:noWrap w:val="0"/>
                  <w:tcMar>
                    <w:left w:w="113" w:type="dxa"/>
                    <w:right w:w="113" w:type="dxa"/>
                  </w:tcMar>
                  <w:vAlign w:val="center"/>
                </w:tcPr>
                <w:p w14:paraId="749257C3">
                  <w:pPr>
                    <w:adjustRightInd w:val="0"/>
                    <w:snapToGrid w:val="0"/>
                    <w:jc w:val="center"/>
                    <w:rPr>
                      <w:b/>
                      <w:bCs/>
                      <w:color w:val="auto"/>
                      <w:szCs w:val="21"/>
                      <w:shd w:val="clear" w:color="auto" w:fill="FFFFFF"/>
                    </w:rPr>
                  </w:pPr>
                  <w:r>
                    <w:rPr>
                      <w:b/>
                      <w:bCs/>
                      <w:color w:val="auto"/>
                      <w:szCs w:val="21"/>
                      <w:shd w:val="clear" w:color="auto" w:fill="FFFFFF"/>
                    </w:rPr>
                    <w:t>生态空间管控区域面积</w:t>
                  </w:r>
                </w:p>
              </w:tc>
              <w:tc>
                <w:tcPr>
                  <w:tcW w:w="510" w:type="pct"/>
                  <w:noWrap w:val="0"/>
                  <w:tcMar>
                    <w:left w:w="113" w:type="dxa"/>
                    <w:right w:w="113" w:type="dxa"/>
                  </w:tcMar>
                  <w:vAlign w:val="center"/>
                </w:tcPr>
                <w:p w14:paraId="2C35A206">
                  <w:pPr>
                    <w:adjustRightInd w:val="0"/>
                    <w:snapToGrid w:val="0"/>
                    <w:jc w:val="center"/>
                    <w:rPr>
                      <w:b/>
                      <w:bCs/>
                      <w:color w:val="auto"/>
                      <w:szCs w:val="21"/>
                      <w:shd w:val="clear" w:color="auto" w:fill="FFFFFF"/>
                    </w:rPr>
                  </w:pPr>
                  <w:r>
                    <w:rPr>
                      <w:b/>
                      <w:bCs/>
                      <w:color w:val="auto"/>
                      <w:szCs w:val="21"/>
                      <w:shd w:val="clear" w:color="auto" w:fill="FFFFFF"/>
                    </w:rPr>
                    <w:t>总面积</w:t>
                  </w:r>
                </w:p>
              </w:tc>
            </w:tr>
            <w:tr w14:paraId="3259F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89" w:hRule="atLeast"/>
                <w:jc w:val="center"/>
              </w:trPr>
              <w:tc>
                <w:tcPr>
                  <w:tcW w:w="870" w:type="pct"/>
                  <w:noWrap w:val="0"/>
                  <w:tcMar>
                    <w:left w:w="113" w:type="dxa"/>
                    <w:right w:w="113" w:type="dxa"/>
                  </w:tcMar>
                  <w:vAlign w:val="center"/>
                </w:tcPr>
                <w:p w14:paraId="2933544B">
                  <w:pPr>
                    <w:adjustRightInd w:val="0"/>
                    <w:snapToGrid w:val="0"/>
                    <w:jc w:val="center"/>
                    <w:rPr>
                      <w:color w:val="auto"/>
                      <w:szCs w:val="21"/>
                      <w:shd w:val="clear" w:color="auto" w:fill="FFFFFF"/>
                    </w:rPr>
                  </w:pPr>
                  <w:r>
                    <w:rPr>
                      <w:color w:val="auto"/>
                      <w:szCs w:val="21"/>
                      <w:shd w:val="clear" w:color="auto" w:fill="FFFFFF"/>
                    </w:rPr>
                    <w:t>如海运河（如皋市）清水通道维护区</w:t>
                  </w:r>
                </w:p>
              </w:tc>
              <w:tc>
                <w:tcPr>
                  <w:tcW w:w="533" w:type="pct"/>
                  <w:noWrap w:val="0"/>
                  <w:tcMar>
                    <w:left w:w="113" w:type="dxa"/>
                    <w:right w:w="113" w:type="dxa"/>
                  </w:tcMar>
                  <w:vAlign w:val="center"/>
                </w:tcPr>
                <w:p w14:paraId="1F0D62A0">
                  <w:pPr>
                    <w:adjustRightInd w:val="0"/>
                    <w:snapToGrid w:val="0"/>
                    <w:jc w:val="center"/>
                    <w:rPr>
                      <w:color w:val="auto"/>
                      <w:szCs w:val="21"/>
                      <w:shd w:val="clear" w:color="auto" w:fill="FFFFFF"/>
                    </w:rPr>
                  </w:pPr>
                  <w:r>
                    <w:rPr>
                      <w:color w:val="auto"/>
                      <w:szCs w:val="21"/>
                      <w:shd w:val="clear" w:color="auto" w:fill="FFFFFF"/>
                    </w:rPr>
                    <w:t>水源水质保护区</w:t>
                  </w:r>
                </w:p>
              </w:tc>
              <w:tc>
                <w:tcPr>
                  <w:tcW w:w="764" w:type="pct"/>
                  <w:noWrap w:val="0"/>
                  <w:tcMar>
                    <w:left w:w="113" w:type="dxa"/>
                    <w:right w:w="113" w:type="dxa"/>
                  </w:tcMar>
                  <w:vAlign w:val="center"/>
                </w:tcPr>
                <w:p w14:paraId="5E2B4582">
                  <w:pPr>
                    <w:adjustRightInd w:val="0"/>
                    <w:snapToGrid w:val="0"/>
                    <w:jc w:val="center"/>
                    <w:rPr>
                      <w:color w:val="auto"/>
                      <w:szCs w:val="21"/>
                      <w:shd w:val="clear" w:color="auto" w:fill="FFFFFF"/>
                    </w:rPr>
                  </w:pPr>
                  <w:r>
                    <w:rPr>
                      <w:color w:val="auto"/>
                      <w:szCs w:val="21"/>
                      <w:shd w:val="clear" w:color="auto" w:fill="FFFFFF"/>
                    </w:rPr>
                    <w:t>--</w:t>
                  </w:r>
                </w:p>
              </w:tc>
              <w:tc>
                <w:tcPr>
                  <w:tcW w:w="1047" w:type="pct"/>
                  <w:noWrap w:val="0"/>
                  <w:tcMar>
                    <w:left w:w="113" w:type="dxa"/>
                    <w:right w:w="113" w:type="dxa"/>
                  </w:tcMar>
                  <w:vAlign w:val="center"/>
                </w:tcPr>
                <w:p w14:paraId="7C188955">
                  <w:pPr>
                    <w:adjustRightInd w:val="0"/>
                    <w:snapToGrid w:val="0"/>
                    <w:jc w:val="center"/>
                    <w:rPr>
                      <w:color w:val="auto"/>
                      <w:szCs w:val="21"/>
                      <w:shd w:val="clear" w:color="auto" w:fill="FFFFFF"/>
                    </w:rPr>
                  </w:pPr>
                  <w:r>
                    <w:rPr>
                      <w:color w:val="auto"/>
                      <w:szCs w:val="21"/>
                      <w:shd w:val="clear" w:color="auto" w:fill="FFFFFF"/>
                    </w:rPr>
                    <w:t>如皋市境内如海运河及两岸各1000米</w:t>
                  </w:r>
                </w:p>
              </w:tc>
              <w:tc>
                <w:tcPr>
                  <w:tcW w:w="650" w:type="pct"/>
                  <w:noWrap w:val="0"/>
                  <w:tcMar>
                    <w:left w:w="113" w:type="dxa"/>
                    <w:right w:w="113" w:type="dxa"/>
                  </w:tcMar>
                  <w:vAlign w:val="center"/>
                </w:tcPr>
                <w:p w14:paraId="2D45AAE3">
                  <w:pPr>
                    <w:adjustRightInd w:val="0"/>
                    <w:snapToGrid w:val="0"/>
                    <w:jc w:val="center"/>
                    <w:rPr>
                      <w:color w:val="auto"/>
                      <w:szCs w:val="21"/>
                      <w:shd w:val="clear" w:color="auto" w:fill="FFFFFF"/>
                    </w:rPr>
                  </w:pPr>
                  <w:r>
                    <w:rPr>
                      <w:color w:val="auto"/>
                      <w:szCs w:val="21"/>
                      <w:shd w:val="clear" w:color="auto" w:fill="FFFFFF"/>
                    </w:rPr>
                    <w:t>--</w:t>
                  </w:r>
                </w:p>
              </w:tc>
              <w:tc>
                <w:tcPr>
                  <w:tcW w:w="623" w:type="pct"/>
                  <w:noWrap w:val="0"/>
                  <w:tcMar>
                    <w:left w:w="113" w:type="dxa"/>
                    <w:right w:w="113" w:type="dxa"/>
                  </w:tcMar>
                  <w:vAlign w:val="center"/>
                </w:tcPr>
                <w:p w14:paraId="6E9C783B">
                  <w:pPr>
                    <w:adjustRightInd w:val="0"/>
                    <w:snapToGrid w:val="0"/>
                    <w:jc w:val="center"/>
                    <w:rPr>
                      <w:color w:val="auto"/>
                      <w:szCs w:val="21"/>
                      <w:shd w:val="clear" w:color="auto" w:fill="FFFFFF"/>
                    </w:rPr>
                  </w:pPr>
                  <w:r>
                    <w:rPr>
                      <w:color w:val="auto"/>
                      <w:szCs w:val="21"/>
                      <w:shd w:val="clear" w:color="auto" w:fill="FFFFFF"/>
                    </w:rPr>
                    <w:t>96.43</w:t>
                  </w:r>
                </w:p>
              </w:tc>
              <w:tc>
                <w:tcPr>
                  <w:tcW w:w="510" w:type="pct"/>
                  <w:noWrap w:val="0"/>
                  <w:tcMar>
                    <w:left w:w="113" w:type="dxa"/>
                    <w:right w:w="113" w:type="dxa"/>
                  </w:tcMar>
                  <w:vAlign w:val="center"/>
                </w:tcPr>
                <w:p w14:paraId="65E11D4D">
                  <w:pPr>
                    <w:adjustRightInd w:val="0"/>
                    <w:snapToGrid w:val="0"/>
                    <w:jc w:val="center"/>
                    <w:rPr>
                      <w:color w:val="auto"/>
                      <w:szCs w:val="21"/>
                      <w:shd w:val="clear" w:color="auto" w:fill="FFFFFF"/>
                    </w:rPr>
                  </w:pPr>
                  <w:r>
                    <w:rPr>
                      <w:color w:val="auto"/>
                      <w:szCs w:val="21"/>
                      <w:shd w:val="clear" w:color="auto" w:fill="FFFFFF"/>
                    </w:rPr>
                    <w:t>96.43</w:t>
                  </w:r>
                </w:p>
              </w:tc>
            </w:tr>
          </w:tbl>
          <w:p w14:paraId="7E71603F">
            <w:pPr>
              <w:keepNext w:val="0"/>
              <w:keepLines w:val="0"/>
              <w:pageBreakBefore w:val="0"/>
              <w:kinsoku/>
              <w:wordWrap/>
              <w:overflowPunct/>
              <w:topLinePunct w:val="0"/>
              <w:autoSpaceDE/>
              <w:autoSpaceDN/>
              <w:bidi w:val="0"/>
              <w:adjustRightInd/>
              <w:spacing w:line="360" w:lineRule="auto"/>
              <w:ind w:firstLine="422" w:firstLineChars="200"/>
              <w:textAlignment w:val="auto"/>
              <w:rPr>
                <w:rFonts w:ascii="Times New Roman" w:hAnsi="Times New Roman"/>
                <w:b/>
                <w:color w:val="auto"/>
                <w:szCs w:val="21"/>
              </w:rPr>
            </w:pPr>
            <w:r>
              <w:rPr>
                <w:rFonts w:hint="eastAsia" w:ascii="Times New Roman" w:hAnsi="Times New Roman"/>
                <w:b/>
                <w:color w:val="auto"/>
                <w:szCs w:val="21"/>
              </w:rPr>
              <w:t>②</w:t>
            </w:r>
            <w:r>
              <w:rPr>
                <w:rFonts w:ascii="Times New Roman" w:hAnsi="Times New Roman"/>
                <w:b/>
                <w:color w:val="auto"/>
                <w:szCs w:val="21"/>
              </w:rPr>
              <w:t>与环境质量底线相符性分析</w:t>
            </w:r>
          </w:p>
          <w:p w14:paraId="3C4D4F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 w:val="21"/>
                <w:szCs w:val="21"/>
                <w:lang w:eastAsia="zh-CN"/>
              </w:rPr>
            </w:pPr>
            <w:r>
              <w:rPr>
                <w:rFonts w:hAnsi="宋体"/>
                <w:color w:val="auto"/>
                <w:szCs w:val="21"/>
              </w:rPr>
              <w:t>环境空气：根据《202</w:t>
            </w:r>
            <w:r>
              <w:rPr>
                <w:rFonts w:hint="eastAsia" w:hAnsi="宋体"/>
                <w:color w:val="auto"/>
                <w:szCs w:val="21"/>
                <w:lang w:val="en-US" w:eastAsia="zh-CN"/>
              </w:rPr>
              <w:t>3</w:t>
            </w:r>
            <w:r>
              <w:rPr>
                <w:rFonts w:hAnsi="宋体"/>
                <w:color w:val="auto"/>
                <w:szCs w:val="21"/>
              </w:rPr>
              <w:t>年南通市生态环境状况公报》监测结果，</w:t>
            </w:r>
            <w:r>
              <w:rPr>
                <w:rFonts w:hint="default" w:hAnsi="宋体"/>
                <w:color w:val="auto"/>
                <w:szCs w:val="21"/>
              </w:rPr>
              <w:t>如皋市主要空气污染物指标监测结果中</w:t>
            </w:r>
            <w:r>
              <w:rPr>
                <w:rFonts w:hint="eastAsia" w:hAnsi="宋体"/>
                <w:color w:val="auto"/>
                <w:szCs w:val="21"/>
                <w:lang w:val="en-US" w:eastAsia="zh-CN"/>
              </w:rPr>
              <w:t>O</w:t>
            </w:r>
            <w:r>
              <w:rPr>
                <w:rFonts w:hint="eastAsia" w:hAnsi="宋体"/>
                <w:color w:val="auto"/>
                <w:szCs w:val="21"/>
                <w:vertAlign w:val="subscript"/>
                <w:lang w:val="en-US" w:eastAsia="zh-CN"/>
              </w:rPr>
              <w:t>3</w:t>
            </w:r>
            <w:r>
              <w:rPr>
                <w:rFonts w:hint="default" w:hAnsi="宋体"/>
                <w:color w:val="auto"/>
                <w:szCs w:val="21"/>
              </w:rPr>
              <w:t>不能满足《环境空气质量标准》（GB3095-2012）二级标准，其他指标满足《环境空气质量标准》（GB3095-2012）二级标准，因此，如皋市空气环境质量暂判定为不达标区</w:t>
            </w:r>
            <w:r>
              <w:rPr>
                <w:rFonts w:hint="eastAsia" w:hAnsi="宋体"/>
                <w:color w:val="auto"/>
                <w:szCs w:val="21"/>
                <w:lang w:eastAsia="zh-CN"/>
              </w:rPr>
              <w:t>。</w:t>
            </w:r>
            <w:r>
              <w:rPr>
                <w:rFonts w:hint="eastAsia" w:hAnsi="宋体"/>
                <w:color w:val="auto"/>
                <w:szCs w:val="21"/>
              </w:rPr>
              <w:t>深入贯彻习近平生态文明思想和习近平总书记对江苏工作重要讲话重要指示精神，协同推进降碳、减污、扩绿、增长，</w:t>
            </w:r>
            <w:r>
              <w:rPr>
                <w:rFonts w:hint="eastAsia" w:hAnsi="宋体"/>
                <w:color w:val="auto"/>
                <w:szCs w:val="21"/>
                <w:lang w:val="en-US" w:eastAsia="zh-CN"/>
              </w:rPr>
              <w:t>如皋市人民</w:t>
            </w:r>
            <w:r>
              <w:rPr>
                <w:rFonts w:hAnsi="宋体"/>
                <w:color w:val="auto"/>
                <w:szCs w:val="21"/>
                <w:lang w:val="en-US" w:eastAsia="zh-CN"/>
              </w:rPr>
              <w:t>政府办公</w:t>
            </w:r>
            <w:r>
              <w:rPr>
                <w:rFonts w:hint="eastAsia" w:hAnsi="宋体"/>
                <w:color w:val="auto"/>
                <w:szCs w:val="21"/>
                <w:lang w:val="en-US" w:eastAsia="zh-CN"/>
              </w:rPr>
              <w:t>室关于印发如皋市空气质量持续改善行动计划实施方案的通知（皋政办发〔2024〕69 号）</w:t>
            </w:r>
            <w:r>
              <w:rPr>
                <w:rFonts w:hint="eastAsia" w:hAnsi="宋体"/>
                <w:color w:val="auto"/>
                <w:szCs w:val="21"/>
              </w:rPr>
              <w:t>，以改善空气质量为核心，以减少重污染天气和解决人民群众身边的突出大气环境问题为重点，以降低细颗粒物(PM</w:t>
            </w:r>
            <w:r>
              <w:rPr>
                <w:rFonts w:hint="eastAsia" w:hAnsi="宋体"/>
                <w:color w:val="auto"/>
                <w:szCs w:val="21"/>
                <w:vertAlign w:val="subscript"/>
              </w:rPr>
              <w:t>2.5</w:t>
            </w:r>
            <w:r>
              <w:rPr>
                <w:rFonts w:hint="eastAsia" w:hAnsi="宋体"/>
                <w:color w:val="auto"/>
                <w:szCs w:val="21"/>
              </w:rPr>
              <w:t>)浓度为主线，大力推动氮氧化物和挥发性有机物(VOCs)减排。到2</w:t>
            </w:r>
            <w:r>
              <w:rPr>
                <w:rFonts w:hint="eastAsia"/>
                <w:color w:val="auto"/>
                <w:lang w:bidi="ar"/>
              </w:rPr>
              <w:t>025年，全市PM</w:t>
            </w:r>
            <w:r>
              <w:rPr>
                <w:rFonts w:hint="eastAsia"/>
                <w:color w:val="auto"/>
                <w:vertAlign w:val="subscript"/>
                <w:lang w:bidi="ar"/>
              </w:rPr>
              <w:t>2.5</w:t>
            </w:r>
            <w:r>
              <w:rPr>
                <w:rFonts w:hint="eastAsia"/>
                <w:color w:val="auto"/>
                <w:lang w:bidi="ar"/>
              </w:rPr>
              <w:t>平均浓度</w:t>
            </w:r>
            <w:r>
              <w:rPr>
                <w:rFonts w:hint="eastAsia"/>
                <w:color w:val="auto"/>
                <w:lang w:val="en-US" w:eastAsia="zh-CN" w:bidi="ar"/>
              </w:rPr>
              <w:t>31</w:t>
            </w:r>
            <w:r>
              <w:rPr>
                <w:rFonts w:hint="eastAsia"/>
                <w:color w:val="auto"/>
                <w:lang w:bidi="ar"/>
              </w:rPr>
              <w:t>微克/立方米左右，氮氧化物和VOCs排放总量比2020年下降10%以上，完成国家下达的减排目标</w:t>
            </w:r>
            <w:r>
              <w:rPr>
                <w:rFonts w:hint="eastAsia"/>
                <w:color w:val="auto"/>
                <w:lang w:eastAsia="zh-CN" w:bidi="ar"/>
              </w:rPr>
              <w:t>。</w:t>
            </w:r>
          </w:p>
          <w:p w14:paraId="77C4C6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olor w:val="auto"/>
                <w:sz w:val="21"/>
                <w:szCs w:val="21"/>
                <w:lang w:val="en-US" w:eastAsia="zh-CN"/>
              </w:rPr>
            </w:pPr>
            <w:r>
              <w:rPr>
                <w:rFonts w:ascii="Times New Roman" w:hAnsi="Times New Roman"/>
                <w:color w:val="auto"/>
                <w:sz w:val="21"/>
                <w:szCs w:val="21"/>
              </w:rPr>
              <w:t>水环境：</w:t>
            </w:r>
            <w:r>
              <w:rPr>
                <w:rFonts w:hAnsi="宋体"/>
                <w:color w:val="auto"/>
                <w:szCs w:val="21"/>
              </w:rPr>
              <w:t>根据《202</w:t>
            </w:r>
            <w:r>
              <w:rPr>
                <w:rFonts w:hint="eastAsia" w:hAnsi="宋体"/>
                <w:color w:val="auto"/>
                <w:szCs w:val="21"/>
              </w:rPr>
              <w:t>3</w:t>
            </w:r>
            <w:r>
              <w:rPr>
                <w:rFonts w:hAnsi="宋体"/>
                <w:color w:val="auto"/>
                <w:szCs w:val="21"/>
              </w:rPr>
              <w:t>年度南通市生态环境状况公报》报告，南通市共有16个国家考核断面，均达到或优于《地表水环境质量标准》（GB3838-2002）Ⅲ类标准。55个省考以上断面中，碾砣港闸、聚南大桥、营船港闸、通吕二号桥等1</w:t>
            </w:r>
            <w:r>
              <w:rPr>
                <w:rFonts w:hint="eastAsia" w:hAnsi="宋体"/>
                <w:color w:val="auto"/>
                <w:szCs w:val="21"/>
              </w:rPr>
              <w:t>9</w:t>
            </w:r>
            <w:r>
              <w:rPr>
                <w:rFonts w:hAnsi="宋体"/>
                <w:color w:val="auto"/>
                <w:szCs w:val="21"/>
              </w:rPr>
              <w:t>个断面水质符合Ⅱ类标准，孙窑大桥、嫩江路桥、新江海河桥、团结新大桥等3</w:t>
            </w:r>
            <w:r>
              <w:rPr>
                <w:rFonts w:hint="eastAsia" w:hAnsi="宋体"/>
                <w:color w:val="auto"/>
                <w:szCs w:val="21"/>
              </w:rPr>
              <w:t>6</w:t>
            </w:r>
            <w:r>
              <w:rPr>
                <w:rFonts w:hAnsi="宋体"/>
                <w:color w:val="auto"/>
                <w:szCs w:val="21"/>
              </w:rPr>
              <w:t>个断面水质符合Ⅲ类标准，优Ⅲ类比例100%，高于省定9</w:t>
            </w:r>
            <w:r>
              <w:rPr>
                <w:rFonts w:hint="eastAsia" w:hAnsi="宋体"/>
                <w:color w:val="auto"/>
                <w:szCs w:val="21"/>
              </w:rPr>
              <w:t>8.2</w:t>
            </w:r>
            <w:r>
              <w:rPr>
                <w:rFonts w:hAnsi="宋体"/>
                <w:color w:val="auto"/>
                <w:szCs w:val="21"/>
              </w:rPr>
              <w:t>%的考核标准；无Ⅴ类和劣Ⅴ类断面</w:t>
            </w:r>
            <w:r>
              <w:rPr>
                <w:rFonts w:hint="eastAsia" w:ascii="Times New Roman" w:hAnsi="Times New Roman" w:cs="Times New Roman"/>
                <w:color w:val="auto"/>
                <w:sz w:val="21"/>
                <w:szCs w:val="21"/>
                <w:lang w:val="en-US" w:eastAsia="zh-CN"/>
              </w:rPr>
              <w:t>。</w:t>
            </w:r>
          </w:p>
          <w:p w14:paraId="7A8B4EF8">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声环境：</w:t>
            </w:r>
            <w:r>
              <w:rPr>
                <w:rFonts w:hint="eastAsia"/>
                <w:color w:val="auto"/>
                <w:kern w:val="0"/>
                <w:szCs w:val="21"/>
                <w:lang w:bidi="ar"/>
              </w:rPr>
              <w:t>根据《南通市生态环境状况公报（2023年）》，2023年如皋市声环境质量总体较好，昼间和夜间声环境质量基本保持稳定。</w:t>
            </w:r>
            <w:r>
              <w:rPr>
                <w:color w:val="auto"/>
              </w:rPr>
              <w:t>如皋市</w:t>
            </w:r>
            <w:r>
              <w:rPr>
                <w:rFonts w:hint="eastAsia"/>
                <w:color w:val="auto"/>
                <w:lang w:val="en-US" w:eastAsia="zh-CN"/>
              </w:rPr>
              <w:t>2</w:t>
            </w:r>
            <w:r>
              <w:rPr>
                <w:rFonts w:hint="eastAsia"/>
                <w:color w:val="auto"/>
              </w:rPr>
              <w:t>类区</w:t>
            </w:r>
            <w:r>
              <w:rPr>
                <w:color w:val="auto"/>
              </w:rPr>
              <w:t>昼夜间等效声级值分别为</w:t>
            </w:r>
            <w:r>
              <w:rPr>
                <w:rFonts w:hint="eastAsia"/>
                <w:color w:val="auto"/>
                <w:lang w:val="en-US" w:eastAsia="zh-CN"/>
              </w:rPr>
              <w:t>52.9</w:t>
            </w:r>
            <w:r>
              <w:rPr>
                <w:color w:val="auto"/>
              </w:rPr>
              <w:t>分贝、</w:t>
            </w:r>
            <w:r>
              <w:rPr>
                <w:rFonts w:hint="eastAsia"/>
                <w:color w:val="auto"/>
                <w:lang w:val="en-US" w:eastAsia="zh-CN"/>
              </w:rPr>
              <w:t>45.5</w:t>
            </w:r>
            <w:r>
              <w:rPr>
                <w:color w:val="auto"/>
              </w:rPr>
              <w:t>分贝，</w:t>
            </w:r>
            <w:r>
              <w:rPr>
                <w:rFonts w:hint="eastAsia"/>
                <w:color w:val="auto"/>
              </w:rPr>
              <w:t>满足《工业企业厂界环境噪声排放标准》（GB12348—2008）中</w:t>
            </w:r>
            <w:r>
              <w:rPr>
                <w:rFonts w:hint="eastAsia"/>
                <w:color w:val="auto"/>
                <w:lang w:val="en-US" w:eastAsia="zh-CN"/>
              </w:rPr>
              <w:t>2</w:t>
            </w:r>
            <w:r>
              <w:rPr>
                <w:rFonts w:hint="eastAsia"/>
                <w:color w:val="auto"/>
              </w:rPr>
              <w:t>类标准</w:t>
            </w:r>
            <w:r>
              <w:rPr>
                <w:rFonts w:ascii="Times New Roman" w:hAnsi="Times New Roman"/>
                <w:color w:val="auto"/>
                <w:sz w:val="21"/>
                <w:szCs w:val="21"/>
              </w:rPr>
              <w:t>。</w:t>
            </w:r>
          </w:p>
          <w:p w14:paraId="261B28BB">
            <w:pPr>
              <w:pStyle w:val="10"/>
              <w:keepNext w:val="0"/>
              <w:keepLines w:val="0"/>
              <w:pageBreakBefore w:val="0"/>
              <w:kinsoku/>
              <w:wordWrap/>
              <w:overflowPunct/>
              <w:topLinePunct w:val="0"/>
              <w:autoSpaceDE/>
              <w:autoSpaceDN/>
              <w:bidi w:val="0"/>
              <w:adjustRightInd/>
              <w:spacing w:before="0" w:after="0" w:line="360" w:lineRule="auto"/>
              <w:ind w:right="0" w:firstLine="480"/>
              <w:textAlignment w:val="auto"/>
              <w:rPr>
                <w:rFonts w:ascii="Times New Roman" w:hAnsi="Times New Roman"/>
                <w:color w:val="auto"/>
                <w:sz w:val="21"/>
                <w:szCs w:val="21"/>
              </w:rPr>
            </w:pPr>
            <w:r>
              <w:rPr>
                <w:rFonts w:ascii="Times New Roman" w:hAnsi="Times New Roman"/>
                <w:color w:val="auto"/>
                <w:sz w:val="21"/>
                <w:szCs w:val="21"/>
              </w:rPr>
              <w:t>本项目运营期采取相应的污染防治措施后，各类污染物能够达标排放，不会改变区域环境功能区质量要求，能维持环境功能区质量现状。</w:t>
            </w:r>
          </w:p>
          <w:p w14:paraId="5A42AB81">
            <w:pPr>
              <w:keepNext w:val="0"/>
              <w:keepLines w:val="0"/>
              <w:pageBreakBefore w:val="0"/>
              <w:kinsoku/>
              <w:wordWrap/>
              <w:overflowPunct/>
              <w:topLinePunct w:val="0"/>
              <w:autoSpaceDE/>
              <w:autoSpaceDN/>
              <w:bidi w:val="0"/>
              <w:adjustRightInd/>
              <w:spacing w:line="360" w:lineRule="auto"/>
              <w:ind w:firstLine="482"/>
              <w:textAlignment w:val="auto"/>
              <w:rPr>
                <w:rFonts w:ascii="Times New Roman" w:hAnsi="Times New Roman"/>
                <w:b/>
                <w:bCs/>
                <w:color w:val="auto"/>
                <w:szCs w:val="21"/>
              </w:rPr>
            </w:pPr>
            <w:r>
              <w:rPr>
                <w:rFonts w:hint="eastAsia" w:ascii="Times New Roman" w:hAnsi="Times New Roman"/>
                <w:b/>
                <w:bCs/>
                <w:color w:val="auto"/>
                <w:szCs w:val="21"/>
              </w:rPr>
              <w:t>③</w:t>
            </w:r>
            <w:r>
              <w:rPr>
                <w:rFonts w:ascii="Times New Roman" w:hAnsi="Times New Roman"/>
                <w:b/>
                <w:bCs/>
                <w:color w:val="auto"/>
                <w:szCs w:val="21"/>
              </w:rPr>
              <w:t>资源利用上线</w:t>
            </w:r>
          </w:p>
          <w:p w14:paraId="204A16F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color w:val="auto"/>
                <w:szCs w:val="21"/>
              </w:rPr>
            </w:pPr>
            <w:r>
              <w:rPr>
                <w:rFonts w:ascii="Times New Roman" w:hAnsi="Times New Roman"/>
                <w:color w:val="auto"/>
                <w:szCs w:val="21"/>
              </w:rPr>
              <w:t>项目用水由当地的自来水部门供给，用电来自当地供电网。本项目的用水、用电不会对自来水厂、供电单位产生负担。本项目选址位于</w:t>
            </w:r>
            <w:r>
              <w:rPr>
                <w:rFonts w:hint="eastAsia"/>
                <w:color w:val="auto"/>
                <w:szCs w:val="21"/>
                <w:lang w:eastAsia="zh-CN"/>
              </w:rPr>
              <w:t>如皋市城北街道陆姚社区25组188号</w:t>
            </w:r>
            <w:r>
              <w:rPr>
                <w:rFonts w:ascii="Times New Roman" w:hAnsi="Times New Roman"/>
                <w:color w:val="auto"/>
                <w:szCs w:val="21"/>
              </w:rPr>
              <w:t>，项目用地性质为工业用地，符合用地规划。因此本项目不会超出资源利用上线。</w:t>
            </w:r>
          </w:p>
          <w:p w14:paraId="5FE94D5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
                <w:bCs/>
                <w:color w:val="auto"/>
                <w:szCs w:val="21"/>
              </w:rPr>
            </w:pPr>
            <w:r>
              <w:rPr>
                <w:rFonts w:hint="eastAsia" w:ascii="Times New Roman" w:hAnsi="Times New Roman"/>
                <w:b/>
                <w:bCs/>
                <w:color w:val="auto"/>
                <w:szCs w:val="21"/>
              </w:rPr>
              <w:t>④</w:t>
            </w:r>
            <w:r>
              <w:rPr>
                <w:rFonts w:ascii="Times New Roman" w:hAnsi="Times New Roman"/>
                <w:b/>
                <w:bCs/>
                <w:color w:val="auto"/>
                <w:szCs w:val="21"/>
              </w:rPr>
              <w:t>环境准入负面清单</w:t>
            </w:r>
          </w:p>
          <w:p w14:paraId="441C780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color w:val="auto"/>
                <w:szCs w:val="21"/>
              </w:rPr>
            </w:pPr>
            <w:r>
              <w:rPr>
                <w:rFonts w:hint="eastAsia"/>
                <w:color w:val="auto"/>
              </w:rPr>
              <w:t>A：</w:t>
            </w:r>
            <w:r>
              <w:rPr>
                <w:color w:val="auto"/>
                <w:szCs w:val="21"/>
              </w:rPr>
              <w:t>对照《长江经济带发展负面清单指南（试行，2022年版）》及《关于印发</w:t>
            </w:r>
            <w:r>
              <w:rPr>
                <w:rFonts w:hint="eastAsia"/>
                <w:color w:val="auto"/>
                <w:szCs w:val="21"/>
              </w:rPr>
              <w:t>〈</w:t>
            </w:r>
            <w:r>
              <w:rPr>
                <w:color w:val="auto"/>
                <w:szCs w:val="21"/>
              </w:rPr>
              <w:t>长江经济带发展负面清单指南&gt;江苏省实施细则（试行）的通知》（苏长江办发</w:t>
            </w:r>
            <w:r>
              <w:rPr>
                <w:rFonts w:hint="eastAsia"/>
                <w:color w:val="auto"/>
                <w:szCs w:val="21"/>
              </w:rPr>
              <w:t>〔</w:t>
            </w:r>
            <w:r>
              <w:rPr>
                <w:color w:val="auto"/>
                <w:szCs w:val="21"/>
              </w:rPr>
              <w:t>2022</w:t>
            </w:r>
            <w:r>
              <w:rPr>
                <w:rFonts w:hint="eastAsia"/>
                <w:color w:val="auto"/>
                <w:szCs w:val="21"/>
              </w:rPr>
              <w:t>〕</w:t>
            </w:r>
            <w:r>
              <w:rPr>
                <w:color w:val="auto"/>
                <w:szCs w:val="21"/>
              </w:rPr>
              <w:t>5</w:t>
            </w:r>
            <w:r>
              <w:rPr>
                <w:rFonts w:hint="eastAsia"/>
                <w:color w:val="auto"/>
                <w:szCs w:val="21"/>
              </w:rPr>
              <w:t>5</w:t>
            </w:r>
            <w:r>
              <w:rPr>
                <w:color w:val="auto"/>
                <w:szCs w:val="21"/>
              </w:rPr>
              <w:t>号）</w:t>
            </w:r>
            <w:r>
              <w:rPr>
                <w:rFonts w:hint="eastAsia"/>
                <w:color w:val="auto"/>
                <w:szCs w:val="21"/>
              </w:rPr>
              <w:t>，</w:t>
            </w:r>
            <w:r>
              <w:rPr>
                <w:color w:val="auto"/>
              </w:rPr>
              <w:t>本项目位于</w:t>
            </w:r>
            <w:r>
              <w:rPr>
                <w:rFonts w:hint="eastAsia"/>
                <w:color w:val="auto"/>
                <w:szCs w:val="21"/>
                <w:lang w:eastAsia="zh-CN"/>
              </w:rPr>
              <w:t>如皋市城北街道陆姚社区25组188号</w:t>
            </w:r>
            <w:r>
              <w:rPr>
                <w:color w:val="auto"/>
              </w:rPr>
              <w:t>，项目属于</w:t>
            </w:r>
            <w:r>
              <w:rPr>
                <w:color w:val="auto"/>
                <w:szCs w:val="21"/>
              </w:rPr>
              <w:t>C3392</w:t>
            </w:r>
            <w:r>
              <w:rPr>
                <w:rFonts w:hint="eastAsia"/>
                <w:color w:val="auto"/>
                <w:szCs w:val="21"/>
              </w:rPr>
              <w:t>有色金属铸造</w:t>
            </w:r>
            <w:r>
              <w:rPr>
                <w:color w:val="auto"/>
                <w:szCs w:val="21"/>
              </w:rPr>
              <w:t>，</w:t>
            </w:r>
            <w:r>
              <w:rPr>
                <w:rFonts w:hint="eastAsia"/>
                <w:color w:val="auto"/>
                <w:szCs w:val="21"/>
              </w:rPr>
              <w:t>项目合理安全储存原料，</w:t>
            </w:r>
            <w:r>
              <w:rPr>
                <w:color w:val="auto"/>
                <w:szCs w:val="21"/>
              </w:rPr>
              <w:t>生产过程中三废均得到有效处置，不会对周围环境造成负面影响。不在长江经济带发展负面清单指南提出的禁止范畴内，因此符合环境准入条件。</w:t>
            </w:r>
          </w:p>
          <w:p w14:paraId="55562D87">
            <w:pPr>
              <w:jc w:val="center"/>
              <w:rPr>
                <w:b/>
                <w:color w:val="auto"/>
                <w:kern w:val="0"/>
                <w:szCs w:val="21"/>
              </w:rPr>
            </w:pPr>
            <w:r>
              <w:rPr>
                <w:b/>
                <w:color w:val="auto"/>
                <w:kern w:val="0"/>
                <w:szCs w:val="21"/>
              </w:rPr>
              <w:t>表1-</w:t>
            </w:r>
            <w:r>
              <w:rPr>
                <w:rFonts w:hint="eastAsia"/>
                <w:b/>
                <w:color w:val="auto"/>
                <w:kern w:val="0"/>
                <w:szCs w:val="21"/>
                <w:lang w:val="en-US" w:eastAsia="zh-CN"/>
              </w:rPr>
              <w:t>2</w:t>
            </w:r>
            <w:r>
              <w:rPr>
                <w:b/>
                <w:color w:val="auto"/>
                <w:kern w:val="0"/>
                <w:szCs w:val="21"/>
              </w:rPr>
              <w:t>与《长江经济带发展负面清单指南（试行</w:t>
            </w:r>
            <w:r>
              <w:rPr>
                <w:rFonts w:hint="eastAsia"/>
                <w:b/>
                <w:color w:val="auto"/>
                <w:kern w:val="0"/>
                <w:szCs w:val="21"/>
              </w:rPr>
              <w:t>，2022年版</w:t>
            </w:r>
            <w:r>
              <w:rPr>
                <w:b/>
                <w:color w:val="auto"/>
                <w:kern w:val="0"/>
                <w:szCs w:val="21"/>
              </w:rPr>
              <w:t>）》相符性分析</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1"/>
              <w:gridCol w:w="1947"/>
              <w:gridCol w:w="720"/>
            </w:tblGrid>
            <w:tr w14:paraId="219CF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188B888C">
                  <w:pPr>
                    <w:adjustRightInd w:val="0"/>
                    <w:snapToGrid w:val="0"/>
                    <w:jc w:val="center"/>
                    <w:rPr>
                      <w:b/>
                      <w:bCs/>
                      <w:color w:val="auto"/>
                      <w:szCs w:val="21"/>
                    </w:rPr>
                  </w:pPr>
                  <w:r>
                    <w:rPr>
                      <w:b/>
                      <w:color w:val="auto"/>
                      <w:kern w:val="0"/>
                      <w:szCs w:val="21"/>
                    </w:rPr>
                    <w:t>《长江经济带发展负面清单指南（试行</w:t>
                  </w:r>
                  <w:r>
                    <w:rPr>
                      <w:rFonts w:hint="eastAsia"/>
                      <w:b/>
                      <w:color w:val="auto"/>
                      <w:kern w:val="0"/>
                      <w:szCs w:val="21"/>
                    </w:rPr>
                    <w:t>，2022年版</w:t>
                  </w:r>
                  <w:r>
                    <w:rPr>
                      <w:b/>
                      <w:color w:val="auto"/>
                      <w:kern w:val="0"/>
                      <w:szCs w:val="21"/>
                    </w:rPr>
                    <w:t>）》</w:t>
                  </w:r>
                  <w:r>
                    <w:rPr>
                      <w:b/>
                      <w:bCs/>
                      <w:color w:val="auto"/>
                      <w:szCs w:val="21"/>
                    </w:rPr>
                    <w:t>要点</w:t>
                  </w:r>
                </w:p>
              </w:tc>
              <w:tc>
                <w:tcPr>
                  <w:tcW w:w="1330" w:type="pct"/>
                  <w:noWrap w:val="0"/>
                  <w:vAlign w:val="center"/>
                </w:tcPr>
                <w:p w14:paraId="11621598">
                  <w:pPr>
                    <w:adjustRightInd w:val="0"/>
                    <w:snapToGrid w:val="0"/>
                    <w:jc w:val="center"/>
                    <w:rPr>
                      <w:b/>
                      <w:bCs/>
                      <w:color w:val="auto"/>
                      <w:szCs w:val="21"/>
                    </w:rPr>
                  </w:pPr>
                  <w:r>
                    <w:rPr>
                      <w:b/>
                      <w:bCs/>
                      <w:color w:val="auto"/>
                      <w:szCs w:val="21"/>
                    </w:rPr>
                    <w:t>相符性分析</w:t>
                  </w:r>
                </w:p>
              </w:tc>
              <w:tc>
                <w:tcPr>
                  <w:tcW w:w="492" w:type="pct"/>
                  <w:noWrap w:val="0"/>
                  <w:vAlign w:val="center"/>
                </w:tcPr>
                <w:p w14:paraId="2F981EFE">
                  <w:pPr>
                    <w:adjustRightInd w:val="0"/>
                    <w:snapToGrid w:val="0"/>
                    <w:jc w:val="center"/>
                    <w:rPr>
                      <w:b/>
                      <w:bCs/>
                      <w:color w:val="auto"/>
                      <w:szCs w:val="21"/>
                    </w:rPr>
                  </w:pPr>
                  <w:r>
                    <w:rPr>
                      <w:b/>
                      <w:bCs/>
                      <w:color w:val="auto"/>
                      <w:szCs w:val="21"/>
                    </w:rPr>
                    <w:t>是否相符</w:t>
                  </w:r>
                </w:p>
              </w:tc>
            </w:tr>
            <w:tr w14:paraId="576F0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76" w:type="pct"/>
                  <w:noWrap w:val="0"/>
                  <w:vAlign w:val="center"/>
                </w:tcPr>
                <w:p w14:paraId="7E6A272A">
                  <w:pPr>
                    <w:widowControl/>
                    <w:adjustRightInd w:val="0"/>
                    <w:snapToGrid w:val="0"/>
                    <w:jc w:val="left"/>
                    <w:rPr>
                      <w:rFonts w:hint="eastAsia"/>
                      <w:color w:val="auto"/>
                      <w:kern w:val="0"/>
                      <w:szCs w:val="21"/>
                    </w:rPr>
                  </w:pPr>
                  <w:r>
                    <w:rPr>
                      <w:color w:val="auto"/>
                      <w:kern w:val="0"/>
                      <w:szCs w:val="21"/>
                      <w:lang w:val="zh-CN"/>
                    </w:rPr>
                    <w:t>1.禁止建设不符合全国和省级港口布局规划以及港口总体规划的码头项目，禁止建设不符合《长江干线过江通道布局规划》的过长江通道项目。</w:t>
                  </w:r>
                </w:p>
              </w:tc>
              <w:tc>
                <w:tcPr>
                  <w:tcW w:w="1330" w:type="pct"/>
                  <w:noWrap w:val="0"/>
                  <w:vAlign w:val="center"/>
                </w:tcPr>
                <w:p w14:paraId="74A88AC6">
                  <w:pPr>
                    <w:widowControl/>
                    <w:adjustRightInd w:val="0"/>
                    <w:snapToGrid w:val="0"/>
                    <w:jc w:val="left"/>
                    <w:rPr>
                      <w:color w:val="auto"/>
                      <w:kern w:val="0"/>
                      <w:szCs w:val="21"/>
                    </w:rPr>
                  </w:pPr>
                  <w:r>
                    <w:rPr>
                      <w:rFonts w:hint="eastAsia"/>
                      <w:color w:val="auto"/>
                      <w:kern w:val="0"/>
                      <w:szCs w:val="21"/>
                    </w:rPr>
                    <w:t>本项目位于</w:t>
                  </w:r>
                  <w:r>
                    <w:rPr>
                      <w:rFonts w:hint="eastAsia"/>
                      <w:color w:val="auto"/>
                      <w:szCs w:val="21"/>
                      <w:lang w:eastAsia="zh-CN"/>
                    </w:rPr>
                    <w:t>如皋市城北街道陆姚社区25组188号</w:t>
                  </w:r>
                  <w:r>
                    <w:rPr>
                      <w:rFonts w:hint="eastAsia"/>
                      <w:color w:val="auto"/>
                      <w:kern w:val="0"/>
                      <w:szCs w:val="21"/>
                    </w:rPr>
                    <w:t>，</w:t>
                  </w:r>
                  <w:r>
                    <w:rPr>
                      <w:color w:val="auto"/>
                    </w:rPr>
                    <w:t>项目属于</w:t>
                  </w:r>
                  <w:r>
                    <w:rPr>
                      <w:color w:val="auto"/>
                      <w:szCs w:val="21"/>
                    </w:rPr>
                    <w:t>C3392</w:t>
                  </w:r>
                  <w:r>
                    <w:rPr>
                      <w:rFonts w:hint="eastAsia"/>
                      <w:color w:val="auto"/>
                      <w:szCs w:val="21"/>
                    </w:rPr>
                    <w:t>有色金属铸造</w:t>
                  </w:r>
                  <w:r>
                    <w:rPr>
                      <w:rFonts w:hint="eastAsia"/>
                      <w:color w:val="auto"/>
                      <w:kern w:val="0"/>
                      <w:szCs w:val="21"/>
                    </w:rPr>
                    <w:t>，不属于码头项目</w:t>
                  </w:r>
                </w:p>
              </w:tc>
              <w:tc>
                <w:tcPr>
                  <w:tcW w:w="492" w:type="pct"/>
                  <w:noWrap w:val="0"/>
                  <w:vAlign w:val="center"/>
                </w:tcPr>
                <w:p w14:paraId="16573191">
                  <w:pPr>
                    <w:adjustRightInd w:val="0"/>
                    <w:snapToGrid w:val="0"/>
                    <w:jc w:val="center"/>
                    <w:rPr>
                      <w:rFonts w:hint="eastAsia"/>
                      <w:color w:val="auto"/>
                      <w:szCs w:val="21"/>
                    </w:rPr>
                  </w:pPr>
                  <w:r>
                    <w:rPr>
                      <w:rFonts w:hint="eastAsia"/>
                      <w:color w:val="auto"/>
                      <w:szCs w:val="21"/>
                    </w:rPr>
                    <w:t>相符</w:t>
                  </w:r>
                </w:p>
              </w:tc>
            </w:tr>
            <w:tr w14:paraId="25959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16A547F8">
                  <w:pPr>
                    <w:adjustRightInd w:val="0"/>
                    <w:snapToGrid w:val="0"/>
                    <w:jc w:val="left"/>
                    <w:rPr>
                      <w:color w:val="auto"/>
                      <w:szCs w:val="21"/>
                    </w:rPr>
                  </w:pPr>
                  <w:r>
                    <w:rPr>
                      <w:color w:val="auto"/>
                      <w:szCs w:val="21"/>
                      <w:lang w:val="zh-CN"/>
                    </w:rPr>
                    <w:t>2.禁止在自然保护区核心区、缓冲区的岸线和河段范围内投资建设旅游和生产经营项目。禁止在风景名胜区核心景区的岸线和河段范围内投资建设与风景名胜资源保护无关的项目。</w:t>
                  </w:r>
                </w:p>
              </w:tc>
              <w:tc>
                <w:tcPr>
                  <w:tcW w:w="1330" w:type="pct"/>
                  <w:noWrap w:val="0"/>
                  <w:vAlign w:val="center"/>
                </w:tcPr>
                <w:p w14:paraId="4E14835F">
                  <w:pPr>
                    <w:adjustRightInd w:val="0"/>
                    <w:snapToGrid w:val="0"/>
                    <w:jc w:val="left"/>
                    <w:rPr>
                      <w:color w:val="auto"/>
                      <w:szCs w:val="21"/>
                      <w:lang w:val="zh-CN"/>
                    </w:rPr>
                  </w:pPr>
                  <w:r>
                    <w:rPr>
                      <w:rFonts w:hint="eastAsia"/>
                      <w:color w:val="auto"/>
                      <w:szCs w:val="21"/>
                    </w:rPr>
                    <w:t>本项目位于</w:t>
                  </w:r>
                  <w:r>
                    <w:rPr>
                      <w:rFonts w:hint="eastAsia"/>
                      <w:color w:val="auto"/>
                      <w:szCs w:val="21"/>
                      <w:lang w:eastAsia="zh-CN"/>
                    </w:rPr>
                    <w:t>如皋市城北街道陆姚社区25组188号</w:t>
                  </w:r>
                  <w:r>
                    <w:rPr>
                      <w:rFonts w:hint="eastAsia"/>
                      <w:color w:val="auto"/>
                      <w:kern w:val="0"/>
                      <w:szCs w:val="21"/>
                    </w:rPr>
                    <w:t>，</w:t>
                  </w:r>
                  <w:r>
                    <w:rPr>
                      <w:color w:val="auto"/>
                    </w:rPr>
                    <w:t>项目属于</w:t>
                  </w:r>
                  <w:r>
                    <w:rPr>
                      <w:color w:val="auto"/>
                      <w:szCs w:val="21"/>
                    </w:rPr>
                    <w:t>C3392</w:t>
                  </w:r>
                  <w:r>
                    <w:rPr>
                      <w:rFonts w:hint="eastAsia"/>
                      <w:color w:val="auto"/>
                      <w:szCs w:val="21"/>
                    </w:rPr>
                    <w:t>有色金属铸造</w:t>
                  </w:r>
                  <w:r>
                    <w:rPr>
                      <w:rFonts w:hint="eastAsia"/>
                      <w:color w:val="auto"/>
                      <w:kern w:val="0"/>
                      <w:szCs w:val="21"/>
                    </w:rPr>
                    <w:t>，</w:t>
                  </w:r>
                  <w:r>
                    <w:rPr>
                      <w:rFonts w:hint="eastAsia"/>
                      <w:color w:val="auto"/>
                      <w:szCs w:val="21"/>
                    </w:rPr>
                    <w:t>不属于上述项目</w:t>
                  </w:r>
                </w:p>
              </w:tc>
              <w:tc>
                <w:tcPr>
                  <w:tcW w:w="492" w:type="pct"/>
                  <w:noWrap w:val="0"/>
                  <w:vAlign w:val="center"/>
                </w:tcPr>
                <w:p w14:paraId="4C69E30C">
                  <w:pPr>
                    <w:adjustRightInd w:val="0"/>
                    <w:snapToGrid w:val="0"/>
                    <w:jc w:val="center"/>
                    <w:rPr>
                      <w:color w:val="auto"/>
                      <w:szCs w:val="21"/>
                    </w:rPr>
                  </w:pPr>
                  <w:r>
                    <w:rPr>
                      <w:rFonts w:hint="eastAsia"/>
                      <w:color w:val="auto"/>
                      <w:szCs w:val="21"/>
                    </w:rPr>
                    <w:t>相符</w:t>
                  </w:r>
                </w:p>
              </w:tc>
            </w:tr>
            <w:tr w14:paraId="2EE78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6154E6AD">
                  <w:pPr>
                    <w:adjustRightInd w:val="0"/>
                    <w:snapToGrid w:val="0"/>
                    <w:jc w:val="left"/>
                    <w:rPr>
                      <w:color w:val="auto"/>
                      <w:szCs w:val="21"/>
                    </w:rPr>
                  </w:pPr>
                  <w:r>
                    <w:rPr>
                      <w:color w:val="auto"/>
                      <w:szCs w:val="21"/>
                      <w:lang w:val="zh-CN"/>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30" w:type="pct"/>
                  <w:noWrap w:val="0"/>
                  <w:vAlign w:val="center"/>
                </w:tcPr>
                <w:p w14:paraId="33764E92">
                  <w:pPr>
                    <w:adjustRightInd w:val="0"/>
                    <w:snapToGrid w:val="0"/>
                    <w:jc w:val="left"/>
                    <w:rPr>
                      <w:color w:val="auto"/>
                      <w:szCs w:val="21"/>
                      <w:lang w:val="zh-CN"/>
                    </w:rPr>
                  </w:pPr>
                  <w:r>
                    <w:rPr>
                      <w:rFonts w:hint="eastAsia"/>
                      <w:color w:val="auto"/>
                      <w:szCs w:val="21"/>
                    </w:rPr>
                    <w:t>本项目位于</w:t>
                  </w:r>
                  <w:r>
                    <w:rPr>
                      <w:rFonts w:hint="eastAsia"/>
                      <w:color w:val="auto"/>
                      <w:szCs w:val="21"/>
                      <w:lang w:eastAsia="zh-CN"/>
                    </w:rPr>
                    <w:t>如皋市城北街道陆姚社区25组188号</w:t>
                  </w:r>
                  <w:r>
                    <w:rPr>
                      <w:rFonts w:hint="eastAsia"/>
                      <w:color w:val="auto"/>
                      <w:kern w:val="0"/>
                      <w:szCs w:val="21"/>
                    </w:rPr>
                    <w:t>，</w:t>
                  </w:r>
                  <w:r>
                    <w:rPr>
                      <w:color w:val="auto"/>
                    </w:rPr>
                    <w:t>项目属于</w:t>
                  </w:r>
                  <w:r>
                    <w:rPr>
                      <w:color w:val="auto"/>
                      <w:szCs w:val="21"/>
                    </w:rPr>
                    <w:t>C3392</w:t>
                  </w:r>
                  <w:r>
                    <w:rPr>
                      <w:rFonts w:hint="eastAsia"/>
                      <w:color w:val="auto"/>
                      <w:szCs w:val="21"/>
                    </w:rPr>
                    <w:t>有色金属铸造，不属于上述项目</w:t>
                  </w:r>
                </w:p>
              </w:tc>
              <w:tc>
                <w:tcPr>
                  <w:tcW w:w="492" w:type="pct"/>
                  <w:noWrap w:val="0"/>
                  <w:vAlign w:val="center"/>
                </w:tcPr>
                <w:p w14:paraId="3869393F">
                  <w:pPr>
                    <w:adjustRightInd w:val="0"/>
                    <w:snapToGrid w:val="0"/>
                    <w:jc w:val="center"/>
                    <w:rPr>
                      <w:color w:val="auto"/>
                      <w:szCs w:val="21"/>
                    </w:rPr>
                  </w:pPr>
                  <w:r>
                    <w:rPr>
                      <w:rFonts w:hint="eastAsia"/>
                      <w:color w:val="auto"/>
                      <w:szCs w:val="21"/>
                    </w:rPr>
                    <w:t>相符</w:t>
                  </w:r>
                </w:p>
              </w:tc>
            </w:tr>
            <w:tr w14:paraId="58BAD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3B796349">
                  <w:pPr>
                    <w:adjustRightInd w:val="0"/>
                    <w:snapToGrid w:val="0"/>
                    <w:jc w:val="left"/>
                    <w:rPr>
                      <w:color w:val="auto"/>
                      <w:szCs w:val="21"/>
                    </w:rPr>
                  </w:pPr>
                  <w:r>
                    <w:rPr>
                      <w:color w:val="auto"/>
                      <w:szCs w:val="21"/>
                      <w:lang w:val="zh-CN"/>
                    </w:rPr>
                    <w:t>4.禁止在水产种质资源保护区的岸线和河段范围内新建围湖造田、围海造地或围填海等投资建设项目。禁止在国家湿地公园的岸线和河段范围内挖沙、采矿，以及任何不符合主体功能定位的投</w:t>
                  </w:r>
                  <w:r>
                    <w:rPr>
                      <w:rFonts w:hint="eastAsia"/>
                      <w:color w:val="auto"/>
                      <w:szCs w:val="21"/>
                    </w:rPr>
                    <w:t>资建设项目。</w:t>
                  </w:r>
                </w:p>
              </w:tc>
              <w:tc>
                <w:tcPr>
                  <w:tcW w:w="1330" w:type="pct"/>
                  <w:noWrap w:val="0"/>
                  <w:vAlign w:val="center"/>
                </w:tcPr>
                <w:p w14:paraId="4B02B14E">
                  <w:pPr>
                    <w:adjustRightInd w:val="0"/>
                    <w:snapToGrid w:val="0"/>
                    <w:jc w:val="left"/>
                    <w:rPr>
                      <w:color w:val="auto"/>
                      <w:szCs w:val="21"/>
                      <w:lang w:val="zh-CN"/>
                    </w:rPr>
                  </w:pPr>
                  <w:r>
                    <w:rPr>
                      <w:rFonts w:hint="eastAsia"/>
                      <w:color w:val="auto"/>
                      <w:szCs w:val="21"/>
                    </w:rPr>
                    <w:t>本项目</w:t>
                  </w:r>
                  <w:r>
                    <w:rPr>
                      <w:color w:val="auto"/>
                    </w:rPr>
                    <w:t>属于</w:t>
                  </w:r>
                  <w:r>
                    <w:rPr>
                      <w:color w:val="auto"/>
                      <w:szCs w:val="21"/>
                    </w:rPr>
                    <w:t>C3392</w:t>
                  </w:r>
                  <w:r>
                    <w:rPr>
                      <w:rFonts w:hint="eastAsia"/>
                      <w:color w:val="auto"/>
                      <w:szCs w:val="21"/>
                    </w:rPr>
                    <w:t>有色金属铸造，不属于上述项目</w:t>
                  </w:r>
                </w:p>
              </w:tc>
              <w:tc>
                <w:tcPr>
                  <w:tcW w:w="492" w:type="pct"/>
                  <w:noWrap w:val="0"/>
                  <w:vAlign w:val="center"/>
                </w:tcPr>
                <w:p w14:paraId="766DB706">
                  <w:pPr>
                    <w:adjustRightInd w:val="0"/>
                    <w:snapToGrid w:val="0"/>
                    <w:jc w:val="center"/>
                    <w:rPr>
                      <w:color w:val="auto"/>
                      <w:szCs w:val="21"/>
                    </w:rPr>
                  </w:pPr>
                  <w:r>
                    <w:rPr>
                      <w:rFonts w:hint="eastAsia"/>
                      <w:color w:val="auto"/>
                      <w:szCs w:val="21"/>
                    </w:rPr>
                    <w:t>相符</w:t>
                  </w:r>
                </w:p>
              </w:tc>
            </w:tr>
            <w:tr w14:paraId="50305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44F8A120">
                  <w:pPr>
                    <w:adjustRightInd w:val="0"/>
                    <w:snapToGrid w:val="0"/>
                    <w:jc w:val="left"/>
                    <w:rPr>
                      <w:color w:val="auto"/>
                      <w:szCs w:val="21"/>
                      <w:lang w:val="zh-CN"/>
                    </w:rPr>
                  </w:pPr>
                  <w:r>
                    <w:rPr>
                      <w:color w:val="auto"/>
                      <w:szCs w:val="21"/>
                      <w:lang w:val="zh-CN"/>
                    </w:rPr>
                    <w:t>5</w:t>
                  </w:r>
                  <w:r>
                    <w:rPr>
                      <w:rFonts w:hint="eastAsia"/>
                      <w:color w:val="auto"/>
                      <w:szCs w:val="21"/>
                      <w:lang w:val="zh-CN"/>
                    </w:rPr>
                    <w:t>.</w:t>
                  </w:r>
                  <w:r>
                    <w:rPr>
                      <w:color w:val="auto"/>
                      <w:szCs w:val="21"/>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30" w:type="pct"/>
                  <w:noWrap w:val="0"/>
                  <w:vAlign w:val="center"/>
                </w:tcPr>
                <w:p w14:paraId="14B08F7E">
                  <w:pPr>
                    <w:adjustRightInd w:val="0"/>
                    <w:snapToGrid w:val="0"/>
                    <w:jc w:val="left"/>
                    <w:rPr>
                      <w:color w:val="auto"/>
                      <w:szCs w:val="21"/>
                    </w:rPr>
                  </w:pPr>
                  <w:r>
                    <w:rPr>
                      <w:rFonts w:hint="eastAsia"/>
                      <w:color w:val="auto"/>
                      <w:szCs w:val="21"/>
                    </w:rPr>
                    <w:t>本项目不涉及</w:t>
                  </w:r>
                  <w:r>
                    <w:rPr>
                      <w:color w:val="auto"/>
                      <w:szCs w:val="21"/>
                      <w:lang w:val="zh-CN"/>
                    </w:rPr>
                    <w:t>违法利用、占用长江流域河湖岸线</w:t>
                  </w:r>
                  <w:r>
                    <w:rPr>
                      <w:rFonts w:hint="eastAsia"/>
                      <w:color w:val="auto"/>
                      <w:szCs w:val="21"/>
                    </w:rPr>
                    <w:t>等情况</w:t>
                  </w:r>
                </w:p>
              </w:tc>
              <w:tc>
                <w:tcPr>
                  <w:tcW w:w="492" w:type="pct"/>
                  <w:noWrap w:val="0"/>
                  <w:vAlign w:val="center"/>
                </w:tcPr>
                <w:p w14:paraId="4FA6982D">
                  <w:pPr>
                    <w:adjustRightInd w:val="0"/>
                    <w:snapToGrid w:val="0"/>
                    <w:jc w:val="center"/>
                    <w:rPr>
                      <w:color w:val="auto"/>
                      <w:szCs w:val="21"/>
                    </w:rPr>
                  </w:pPr>
                  <w:r>
                    <w:rPr>
                      <w:rFonts w:hint="eastAsia"/>
                      <w:color w:val="auto"/>
                      <w:szCs w:val="21"/>
                    </w:rPr>
                    <w:t>相符</w:t>
                  </w:r>
                </w:p>
              </w:tc>
            </w:tr>
            <w:tr w14:paraId="73BD8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53ABFC93">
                  <w:pPr>
                    <w:adjustRightInd w:val="0"/>
                    <w:snapToGrid w:val="0"/>
                    <w:jc w:val="left"/>
                    <w:rPr>
                      <w:rFonts w:hint="eastAsia"/>
                      <w:color w:val="auto"/>
                      <w:szCs w:val="21"/>
                    </w:rPr>
                  </w:pPr>
                  <w:r>
                    <w:rPr>
                      <w:color w:val="auto"/>
                      <w:szCs w:val="21"/>
                      <w:lang w:val="zh-CN"/>
                    </w:rPr>
                    <w:t>6</w:t>
                  </w:r>
                  <w:r>
                    <w:rPr>
                      <w:rFonts w:hint="eastAsia"/>
                      <w:color w:val="auto"/>
                      <w:szCs w:val="21"/>
                      <w:lang w:val="zh-CN"/>
                    </w:rPr>
                    <w:t>.</w:t>
                  </w:r>
                  <w:r>
                    <w:rPr>
                      <w:color w:val="auto"/>
                      <w:szCs w:val="21"/>
                      <w:lang w:val="zh-CN"/>
                    </w:rPr>
                    <w:t>禁止未经许可在长江干支流及湖泊新设、改设或扩大排污</w:t>
                  </w:r>
                  <w:r>
                    <w:rPr>
                      <w:rFonts w:hint="eastAsia"/>
                      <w:color w:val="auto"/>
                      <w:szCs w:val="21"/>
                    </w:rPr>
                    <w:t>口。</w:t>
                  </w:r>
                </w:p>
              </w:tc>
              <w:tc>
                <w:tcPr>
                  <w:tcW w:w="1330" w:type="pct"/>
                  <w:noWrap w:val="0"/>
                  <w:vAlign w:val="center"/>
                </w:tcPr>
                <w:p w14:paraId="1A26E066">
                  <w:pPr>
                    <w:adjustRightInd w:val="0"/>
                    <w:snapToGrid w:val="0"/>
                    <w:jc w:val="left"/>
                    <w:rPr>
                      <w:color w:val="auto"/>
                      <w:szCs w:val="21"/>
                      <w:lang w:val="zh-CN"/>
                    </w:rPr>
                  </w:pPr>
                  <w:r>
                    <w:rPr>
                      <w:rFonts w:hint="eastAsia"/>
                      <w:color w:val="auto"/>
                      <w:szCs w:val="21"/>
                    </w:rPr>
                    <w:t>本项目不涉及</w:t>
                  </w:r>
                </w:p>
              </w:tc>
              <w:tc>
                <w:tcPr>
                  <w:tcW w:w="492" w:type="pct"/>
                  <w:noWrap w:val="0"/>
                  <w:vAlign w:val="center"/>
                </w:tcPr>
                <w:p w14:paraId="620D1208">
                  <w:pPr>
                    <w:adjustRightInd w:val="0"/>
                    <w:snapToGrid w:val="0"/>
                    <w:jc w:val="center"/>
                    <w:rPr>
                      <w:color w:val="auto"/>
                      <w:szCs w:val="21"/>
                    </w:rPr>
                  </w:pPr>
                  <w:r>
                    <w:rPr>
                      <w:rFonts w:hint="eastAsia"/>
                      <w:color w:val="auto"/>
                      <w:szCs w:val="21"/>
                    </w:rPr>
                    <w:t>相符</w:t>
                  </w:r>
                </w:p>
              </w:tc>
            </w:tr>
            <w:tr w14:paraId="46C44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30C747F7">
                  <w:pPr>
                    <w:adjustRightInd w:val="0"/>
                    <w:snapToGrid w:val="0"/>
                    <w:jc w:val="left"/>
                    <w:rPr>
                      <w:color w:val="auto"/>
                      <w:szCs w:val="21"/>
                      <w:lang w:val="zh-CN"/>
                    </w:rPr>
                  </w:pPr>
                  <w:r>
                    <w:rPr>
                      <w:color w:val="auto"/>
                      <w:szCs w:val="21"/>
                      <w:lang w:val="zh-CN"/>
                    </w:rPr>
                    <w:t>7</w:t>
                  </w:r>
                  <w:r>
                    <w:rPr>
                      <w:rFonts w:hint="eastAsia"/>
                      <w:color w:val="auto"/>
                      <w:szCs w:val="21"/>
                      <w:lang w:val="zh-CN"/>
                    </w:rPr>
                    <w:t>.</w:t>
                  </w:r>
                  <w:r>
                    <w:rPr>
                      <w:color w:val="auto"/>
                      <w:szCs w:val="21"/>
                      <w:lang w:val="zh-CN"/>
                    </w:rPr>
                    <w:t>禁止在“一江一口两湖七河”和332个水生生物保护区开展生产性捕捞。</w:t>
                  </w:r>
                </w:p>
              </w:tc>
              <w:tc>
                <w:tcPr>
                  <w:tcW w:w="1330" w:type="pct"/>
                  <w:noWrap w:val="0"/>
                  <w:vAlign w:val="center"/>
                </w:tcPr>
                <w:p w14:paraId="47711794">
                  <w:pPr>
                    <w:adjustRightInd w:val="0"/>
                    <w:snapToGrid w:val="0"/>
                    <w:jc w:val="left"/>
                    <w:rPr>
                      <w:color w:val="auto"/>
                      <w:szCs w:val="21"/>
                    </w:rPr>
                  </w:pPr>
                  <w:r>
                    <w:rPr>
                      <w:rFonts w:hint="eastAsia"/>
                      <w:color w:val="auto"/>
                      <w:szCs w:val="21"/>
                    </w:rPr>
                    <w:t>本项目不涉及</w:t>
                  </w:r>
                </w:p>
              </w:tc>
              <w:tc>
                <w:tcPr>
                  <w:tcW w:w="492" w:type="pct"/>
                  <w:noWrap w:val="0"/>
                  <w:vAlign w:val="center"/>
                </w:tcPr>
                <w:p w14:paraId="0F41C368">
                  <w:pPr>
                    <w:adjustRightInd w:val="0"/>
                    <w:snapToGrid w:val="0"/>
                    <w:jc w:val="center"/>
                    <w:rPr>
                      <w:color w:val="auto"/>
                      <w:szCs w:val="21"/>
                    </w:rPr>
                  </w:pPr>
                  <w:r>
                    <w:rPr>
                      <w:rFonts w:hint="eastAsia"/>
                      <w:color w:val="auto"/>
                      <w:szCs w:val="21"/>
                    </w:rPr>
                    <w:t>相符</w:t>
                  </w:r>
                </w:p>
              </w:tc>
            </w:tr>
            <w:tr w14:paraId="0EB7C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37FA08DE">
                  <w:pPr>
                    <w:adjustRightInd w:val="0"/>
                    <w:snapToGrid w:val="0"/>
                    <w:jc w:val="left"/>
                    <w:rPr>
                      <w:color w:val="auto"/>
                      <w:szCs w:val="21"/>
                      <w:lang w:val="zh-CN"/>
                    </w:rPr>
                  </w:pPr>
                  <w:r>
                    <w:rPr>
                      <w:color w:val="auto"/>
                      <w:szCs w:val="21"/>
                      <w:lang w:val="zh-CN"/>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30" w:type="pct"/>
                  <w:noWrap w:val="0"/>
                  <w:vAlign w:val="center"/>
                </w:tcPr>
                <w:p w14:paraId="3DD846C4">
                  <w:pPr>
                    <w:adjustRightInd w:val="0"/>
                    <w:snapToGrid w:val="0"/>
                    <w:jc w:val="left"/>
                    <w:rPr>
                      <w:color w:val="auto"/>
                      <w:szCs w:val="21"/>
                      <w:lang w:val="zh-CN"/>
                    </w:rPr>
                  </w:pPr>
                  <w:r>
                    <w:rPr>
                      <w:rFonts w:hint="eastAsia"/>
                      <w:color w:val="auto"/>
                      <w:szCs w:val="21"/>
                    </w:rPr>
                    <w:t>本项目</w:t>
                  </w:r>
                  <w:r>
                    <w:rPr>
                      <w:color w:val="auto"/>
                    </w:rPr>
                    <w:t>属于</w:t>
                  </w:r>
                  <w:r>
                    <w:rPr>
                      <w:color w:val="auto"/>
                      <w:szCs w:val="21"/>
                    </w:rPr>
                    <w:t>C3392</w:t>
                  </w:r>
                  <w:r>
                    <w:rPr>
                      <w:rFonts w:hint="eastAsia"/>
                      <w:color w:val="auto"/>
                      <w:szCs w:val="21"/>
                    </w:rPr>
                    <w:t>有色金属铸造，不属于化工项目</w:t>
                  </w:r>
                </w:p>
              </w:tc>
              <w:tc>
                <w:tcPr>
                  <w:tcW w:w="492" w:type="pct"/>
                  <w:noWrap w:val="0"/>
                  <w:vAlign w:val="center"/>
                </w:tcPr>
                <w:p w14:paraId="46827CAF">
                  <w:pPr>
                    <w:adjustRightInd w:val="0"/>
                    <w:snapToGrid w:val="0"/>
                    <w:jc w:val="center"/>
                    <w:rPr>
                      <w:color w:val="auto"/>
                      <w:szCs w:val="21"/>
                    </w:rPr>
                  </w:pPr>
                  <w:r>
                    <w:rPr>
                      <w:rFonts w:hint="eastAsia"/>
                      <w:color w:val="auto"/>
                      <w:szCs w:val="21"/>
                    </w:rPr>
                    <w:t>相符</w:t>
                  </w:r>
                </w:p>
              </w:tc>
            </w:tr>
            <w:tr w14:paraId="1A88E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6" w:type="pct"/>
                  <w:noWrap w:val="0"/>
                  <w:vAlign w:val="center"/>
                </w:tcPr>
                <w:p w14:paraId="2954575E">
                  <w:pPr>
                    <w:adjustRightInd w:val="0"/>
                    <w:snapToGrid w:val="0"/>
                    <w:jc w:val="left"/>
                    <w:rPr>
                      <w:color w:val="auto"/>
                      <w:szCs w:val="21"/>
                      <w:lang w:val="zh-CN"/>
                    </w:rPr>
                  </w:pPr>
                  <w:r>
                    <w:rPr>
                      <w:color w:val="auto"/>
                      <w:szCs w:val="21"/>
                      <w:lang w:val="zh-CN"/>
                    </w:rPr>
                    <w:t>9</w:t>
                  </w:r>
                  <w:r>
                    <w:rPr>
                      <w:rFonts w:hint="eastAsia"/>
                      <w:color w:val="auto"/>
                      <w:szCs w:val="21"/>
                      <w:lang w:val="zh-CN"/>
                    </w:rPr>
                    <w:t>.</w:t>
                  </w:r>
                  <w:r>
                    <w:rPr>
                      <w:color w:val="auto"/>
                      <w:szCs w:val="21"/>
                      <w:lang w:val="zh-CN"/>
                    </w:rPr>
                    <w:t>禁止在合规园区外新建、扩建钢铁、石化、化工、焦化、建材、有色、制浆造纸等高污染项目。</w:t>
                  </w:r>
                </w:p>
              </w:tc>
              <w:tc>
                <w:tcPr>
                  <w:tcW w:w="1330" w:type="pct"/>
                  <w:noWrap w:val="0"/>
                  <w:vAlign w:val="center"/>
                </w:tcPr>
                <w:p w14:paraId="56209CB9">
                  <w:pPr>
                    <w:adjustRightInd w:val="0"/>
                    <w:snapToGrid w:val="0"/>
                    <w:jc w:val="left"/>
                    <w:rPr>
                      <w:color w:val="auto"/>
                      <w:szCs w:val="21"/>
                      <w:lang w:val="zh-CN"/>
                    </w:rPr>
                  </w:pPr>
                  <w:r>
                    <w:rPr>
                      <w:rFonts w:hint="eastAsia"/>
                      <w:color w:val="auto"/>
                      <w:szCs w:val="21"/>
                    </w:rPr>
                    <w:t>本项目不属于上述项目</w:t>
                  </w:r>
                </w:p>
              </w:tc>
              <w:tc>
                <w:tcPr>
                  <w:tcW w:w="492" w:type="pct"/>
                  <w:noWrap w:val="0"/>
                  <w:vAlign w:val="center"/>
                </w:tcPr>
                <w:p w14:paraId="5C2B9037">
                  <w:pPr>
                    <w:adjustRightInd w:val="0"/>
                    <w:snapToGrid w:val="0"/>
                    <w:jc w:val="center"/>
                    <w:rPr>
                      <w:color w:val="auto"/>
                      <w:szCs w:val="21"/>
                    </w:rPr>
                  </w:pPr>
                  <w:r>
                    <w:rPr>
                      <w:rFonts w:hint="eastAsia"/>
                      <w:color w:val="auto"/>
                      <w:szCs w:val="21"/>
                    </w:rPr>
                    <w:t>相符</w:t>
                  </w:r>
                </w:p>
              </w:tc>
            </w:tr>
            <w:tr w14:paraId="72710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266DA4F6">
                  <w:pPr>
                    <w:adjustRightInd w:val="0"/>
                    <w:snapToGrid w:val="0"/>
                    <w:jc w:val="left"/>
                    <w:rPr>
                      <w:color w:val="auto"/>
                      <w:szCs w:val="21"/>
                      <w:lang w:val="zh-CN"/>
                    </w:rPr>
                  </w:pPr>
                  <w:r>
                    <w:rPr>
                      <w:color w:val="auto"/>
                      <w:szCs w:val="21"/>
                      <w:lang w:val="zh-CN"/>
                    </w:rPr>
                    <w:t>10</w:t>
                  </w:r>
                  <w:r>
                    <w:rPr>
                      <w:rFonts w:hint="eastAsia"/>
                      <w:color w:val="auto"/>
                      <w:szCs w:val="21"/>
                      <w:lang w:val="zh-CN"/>
                    </w:rPr>
                    <w:t>.</w:t>
                  </w:r>
                  <w:r>
                    <w:rPr>
                      <w:color w:val="auto"/>
                      <w:szCs w:val="21"/>
                      <w:lang w:val="zh-CN"/>
                    </w:rPr>
                    <w:t>禁止新建、扩建不符合国家石化、现代煤化工等产业布局规划的项目</w:t>
                  </w:r>
                  <w:r>
                    <w:rPr>
                      <w:rFonts w:hint="eastAsia"/>
                      <w:color w:val="auto"/>
                      <w:szCs w:val="21"/>
                      <w:lang w:val="zh-CN"/>
                    </w:rPr>
                    <w:t>。</w:t>
                  </w:r>
                </w:p>
              </w:tc>
              <w:tc>
                <w:tcPr>
                  <w:tcW w:w="1330" w:type="pct"/>
                  <w:noWrap w:val="0"/>
                  <w:vAlign w:val="center"/>
                </w:tcPr>
                <w:p w14:paraId="4DA67090">
                  <w:pPr>
                    <w:adjustRightInd w:val="0"/>
                    <w:snapToGrid w:val="0"/>
                    <w:jc w:val="left"/>
                    <w:rPr>
                      <w:color w:val="auto"/>
                      <w:szCs w:val="21"/>
                    </w:rPr>
                  </w:pPr>
                  <w:r>
                    <w:rPr>
                      <w:rFonts w:hint="eastAsia"/>
                      <w:color w:val="auto"/>
                      <w:szCs w:val="21"/>
                    </w:rPr>
                    <w:t>本项目</w:t>
                  </w:r>
                  <w:r>
                    <w:rPr>
                      <w:color w:val="auto"/>
                    </w:rPr>
                    <w:t>属于</w:t>
                  </w:r>
                  <w:r>
                    <w:rPr>
                      <w:color w:val="auto"/>
                      <w:szCs w:val="21"/>
                    </w:rPr>
                    <w:t>C3392</w:t>
                  </w:r>
                  <w:r>
                    <w:rPr>
                      <w:rFonts w:hint="eastAsia"/>
                      <w:color w:val="auto"/>
                      <w:szCs w:val="21"/>
                    </w:rPr>
                    <w:t>有色金属铸造，不属于上述项目</w:t>
                  </w:r>
                </w:p>
              </w:tc>
              <w:tc>
                <w:tcPr>
                  <w:tcW w:w="492" w:type="pct"/>
                  <w:noWrap w:val="0"/>
                  <w:vAlign w:val="center"/>
                </w:tcPr>
                <w:p w14:paraId="1FEDE360">
                  <w:pPr>
                    <w:adjustRightInd w:val="0"/>
                    <w:snapToGrid w:val="0"/>
                    <w:jc w:val="center"/>
                    <w:rPr>
                      <w:color w:val="auto"/>
                      <w:szCs w:val="21"/>
                    </w:rPr>
                  </w:pPr>
                  <w:r>
                    <w:rPr>
                      <w:rFonts w:hint="eastAsia"/>
                      <w:color w:val="auto"/>
                      <w:szCs w:val="21"/>
                    </w:rPr>
                    <w:t>相符</w:t>
                  </w:r>
                </w:p>
              </w:tc>
            </w:tr>
            <w:tr w14:paraId="6730D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6" w:type="pct"/>
                  <w:noWrap w:val="0"/>
                  <w:vAlign w:val="center"/>
                </w:tcPr>
                <w:p w14:paraId="735835C0">
                  <w:pPr>
                    <w:adjustRightInd w:val="0"/>
                    <w:snapToGrid w:val="0"/>
                    <w:jc w:val="left"/>
                    <w:rPr>
                      <w:color w:val="auto"/>
                      <w:szCs w:val="21"/>
                      <w:lang w:val="zh-CN"/>
                    </w:rPr>
                  </w:pPr>
                  <w:r>
                    <w:rPr>
                      <w:color w:val="auto"/>
                      <w:szCs w:val="21"/>
                      <w:lang w:val="zh-CN"/>
                    </w:rPr>
                    <w:t>11.禁止新建、扩建法律法规和相关政策明令禁止的落后产能项目。禁止新建、扩建不符合国家产能置换要求的严重过剩产能行业的项目。禁止新建、扩建不符合要求的高耗能高排放项目。</w:t>
                  </w:r>
                </w:p>
              </w:tc>
              <w:tc>
                <w:tcPr>
                  <w:tcW w:w="1330" w:type="pct"/>
                  <w:noWrap w:val="0"/>
                  <w:vAlign w:val="center"/>
                </w:tcPr>
                <w:p w14:paraId="7A3E313D">
                  <w:pPr>
                    <w:adjustRightInd w:val="0"/>
                    <w:snapToGrid w:val="0"/>
                    <w:jc w:val="left"/>
                    <w:rPr>
                      <w:color w:val="auto"/>
                      <w:szCs w:val="21"/>
                      <w:lang w:val="zh-CN"/>
                    </w:rPr>
                  </w:pPr>
                  <w:r>
                    <w:rPr>
                      <w:rFonts w:hint="eastAsia"/>
                      <w:color w:val="auto"/>
                      <w:szCs w:val="21"/>
                    </w:rPr>
                    <w:t>本项目</w:t>
                  </w:r>
                  <w:r>
                    <w:rPr>
                      <w:color w:val="auto"/>
                    </w:rPr>
                    <w:t>属于</w:t>
                  </w:r>
                  <w:r>
                    <w:rPr>
                      <w:color w:val="auto"/>
                      <w:szCs w:val="21"/>
                    </w:rPr>
                    <w:t>C3392</w:t>
                  </w:r>
                  <w:r>
                    <w:rPr>
                      <w:rFonts w:hint="eastAsia"/>
                      <w:color w:val="auto"/>
                      <w:szCs w:val="21"/>
                    </w:rPr>
                    <w:t>有色金属铸造，不属于上述项目</w:t>
                  </w:r>
                </w:p>
              </w:tc>
              <w:tc>
                <w:tcPr>
                  <w:tcW w:w="492" w:type="pct"/>
                  <w:noWrap w:val="0"/>
                  <w:vAlign w:val="center"/>
                </w:tcPr>
                <w:p w14:paraId="18532222">
                  <w:pPr>
                    <w:adjustRightInd w:val="0"/>
                    <w:snapToGrid w:val="0"/>
                    <w:jc w:val="center"/>
                    <w:rPr>
                      <w:color w:val="auto"/>
                      <w:szCs w:val="21"/>
                    </w:rPr>
                  </w:pPr>
                  <w:r>
                    <w:rPr>
                      <w:rFonts w:hint="eastAsia"/>
                      <w:color w:val="auto"/>
                      <w:szCs w:val="21"/>
                    </w:rPr>
                    <w:t>相符</w:t>
                  </w:r>
                </w:p>
              </w:tc>
            </w:tr>
            <w:tr w14:paraId="57E91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5" w:type="dxa"/>
                  <w:noWrap w:val="0"/>
                  <w:vAlign w:val="center"/>
                </w:tcPr>
                <w:p w14:paraId="13DCC4BB">
                  <w:pPr>
                    <w:pStyle w:val="42"/>
                    <w:autoSpaceDE w:val="0"/>
                    <w:adjustRightInd w:val="0"/>
                    <w:snapToGrid w:val="0"/>
                    <w:rPr>
                      <w:color w:val="auto"/>
                      <w:szCs w:val="21"/>
                      <w:lang w:val="zh-CN"/>
                    </w:rPr>
                  </w:pPr>
                  <w:r>
                    <w:rPr>
                      <w:color w:val="auto"/>
                    </w:rPr>
                    <w:t>12.法</w:t>
                  </w:r>
                  <w:r>
                    <w:rPr>
                      <w:rFonts w:ascii="宋体" w:hAnsi="宋体"/>
                      <w:color w:val="auto"/>
                    </w:rPr>
                    <w:t>律法规及相关政策文件有更加严格规定</w:t>
                  </w:r>
                  <w:r>
                    <w:rPr>
                      <w:rFonts w:hint="eastAsia" w:ascii="宋体" w:hAnsi="宋体"/>
                      <w:color w:val="auto"/>
                    </w:rPr>
                    <w:t>。</w:t>
                  </w:r>
                </w:p>
              </w:tc>
              <w:tc>
                <w:tcPr>
                  <w:tcW w:w="1991" w:type="dxa"/>
                  <w:noWrap w:val="0"/>
                  <w:vAlign w:val="center"/>
                </w:tcPr>
                <w:p w14:paraId="41A54102">
                  <w:pPr>
                    <w:autoSpaceDE w:val="0"/>
                    <w:adjustRightInd w:val="0"/>
                    <w:snapToGrid w:val="0"/>
                    <w:jc w:val="center"/>
                    <w:rPr>
                      <w:rFonts w:hint="eastAsia"/>
                      <w:b w:val="0"/>
                      <w:bCs w:val="0"/>
                      <w:color w:val="auto"/>
                      <w:szCs w:val="21"/>
                    </w:rPr>
                  </w:pPr>
                  <w:r>
                    <w:rPr>
                      <w:b w:val="0"/>
                      <w:bCs w:val="0"/>
                      <w:color w:val="auto"/>
                      <w:spacing w:val="4"/>
                      <w:kern w:val="0"/>
                      <w:szCs w:val="21"/>
                    </w:rPr>
                    <w:t>本项目属于</w:t>
                  </w:r>
                  <w:r>
                    <w:rPr>
                      <w:color w:val="auto"/>
                      <w:szCs w:val="21"/>
                    </w:rPr>
                    <w:t>C3392</w:t>
                  </w:r>
                  <w:r>
                    <w:rPr>
                      <w:rFonts w:hint="eastAsia"/>
                      <w:color w:val="auto"/>
                      <w:szCs w:val="21"/>
                    </w:rPr>
                    <w:t>有色金属铸造</w:t>
                  </w:r>
                  <w:r>
                    <w:rPr>
                      <w:rFonts w:ascii="宋体" w:hAnsi="宋体"/>
                      <w:b w:val="0"/>
                      <w:bCs w:val="0"/>
                      <w:color w:val="auto"/>
                    </w:rPr>
                    <w:t>，不属于负面清单所列项目</w:t>
                  </w:r>
                  <w:r>
                    <w:rPr>
                      <w:b w:val="0"/>
                      <w:bCs w:val="0"/>
                      <w:color w:val="auto"/>
                      <w:szCs w:val="21"/>
                    </w:rPr>
                    <w:t>。</w:t>
                  </w:r>
                </w:p>
              </w:tc>
              <w:tc>
                <w:tcPr>
                  <w:tcW w:w="737" w:type="dxa"/>
                  <w:noWrap w:val="0"/>
                  <w:vAlign w:val="center"/>
                </w:tcPr>
                <w:p w14:paraId="6AD9A6BE">
                  <w:pPr>
                    <w:pStyle w:val="41"/>
                    <w:tabs>
                      <w:tab w:val="left" w:pos="1740"/>
                    </w:tabs>
                    <w:spacing w:beforeLines="0" w:afterLines="0" w:line="240" w:lineRule="auto"/>
                    <w:rPr>
                      <w:rFonts w:hint="eastAsia" w:hAnsi="宋体"/>
                      <w:b w:val="0"/>
                      <w:bCs w:val="0"/>
                      <w:color w:val="auto"/>
                      <w:spacing w:val="-12"/>
                      <w:szCs w:val="21"/>
                      <w:lang w:val="en-US" w:eastAsia="zh-CN" w:bidi="en-US"/>
                    </w:rPr>
                  </w:pPr>
                  <w:r>
                    <w:rPr>
                      <w:rFonts w:ascii="Times New Roman"/>
                      <w:b w:val="0"/>
                      <w:bCs w:val="0"/>
                      <w:color w:val="auto"/>
                      <w:spacing w:val="-12"/>
                      <w:szCs w:val="21"/>
                      <w:lang w:val="en-US" w:eastAsia="zh-CN" w:bidi="en-US"/>
                    </w:rPr>
                    <w:t>相符</w:t>
                  </w:r>
                </w:p>
              </w:tc>
            </w:tr>
          </w:tbl>
          <w:p w14:paraId="04CA76C9">
            <w:pPr>
              <w:pStyle w:val="37"/>
              <w:ind w:firstLine="0"/>
              <w:jc w:val="center"/>
              <w:rPr>
                <w:b/>
                <w:bCs/>
                <w:color w:val="auto"/>
                <w:sz w:val="21"/>
                <w:szCs w:val="21"/>
              </w:rPr>
            </w:pPr>
            <w:r>
              <w:rPr>
                <w:b/>
                <w:bCs/>
                <w:color w:val="auto"/>
                <w:sz w:val="21"/>
                <w:szCs w:val="21"/>
              </w:rPr>
              <w:t>表1-</w:t>
            </w:r>
            <w:r>
              <w:rPr>
                <w:rFonts w:hint="eastAsia"/>
                <w:b/>
                <w:bCs/>
                <w:color w:val="auto"/>
                <w:sz w:val="21"/>
                <w:szCs w:val="21"/>
                <w:lang w:val="en-US" w:eastAsia="zh-CN"/>
              </w:rPr>
              <w:t>3</w:t>
            </w:r>
            <w:r>
              <w:rPr>
                <w:b/>
                <w:bCs/>
                <w:color w:val="auto"/>
                <w:sz w:val="21"/>
                <w:szCs w:val="21"/>
              </w:rPr>
              <w:t>与《&lt;长江经济带发展负面清单指南&gt;江苏省实施细则》相符性分析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4"/>
              <w:gridCol w:w="4365"/>
              <w:gridCol w:w="1966"/>
              <w:gridCol w:w="642"/>
            </w:tblGrid>
            <w:tr w14:paraId="6DE92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3F283C3E">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bCs/>
                      <w:color w:val="auto"/>
                      <w:sz w:val="21"/>
                      <w:szCs w:val="21"/>
                    </w:rPr>
                  </w:pPr>
                  <w:r>
                    <w:rPr>
                      <w:rFonts w:ascii="Times New Roman"/>
                      <w:b/>
                      <w:bCs/>
                      <w:color w:val="auto"/>
                      <w:sz w:val="21"/>
                      <w:szCs w:val="21"/>
                    </w:rPr>
                    <w:t>序号</w:t>
                  </w:r>
                </w:p>
              </w:tc>
              <w:tc>
                <w:tcPr>
                  <w:tcW w:w="2977" w:type="pct"/>
                  <w:noWrap w:val="0"/>
                  <w:vAlign w:val="center"/>
                </w:tcPr>
                <w:p w14:paraId="4F65E506">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bCs/>
                      <w:color w:val="auto"/>
                      <w:sz w:val="21"/>
                      <w:szCs w:val="21"/>
                    </w:rPr>
                  </w:pPr>
                  <w:r>
                    <w:rPr>
                      <w:rFonts w:ascii="Times New Roman"/>
                      <w:b/>
                      <w:bCs/>
                      <w:color w:val="auto"/>
                      <w:sz w:val="21"/>
                      <w:szCs w:val="21"/>
                    </w:rPr>
                    <w:t>管控条款</w:t>
                  </w:r>
                </w:p>
              </w:tc>
              <w:tc>
                <w:tcPr>
                  <w:tcW w:w="1341" w:type="pct"/>
                  <w:noWrap w:val="0"/>
                  <w:vAlign w:val="center"/>
                </w:tcPr>
                <w:p w14:paraId="20B0D19B">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bCs/>
                      <w:color w:val="auto"/>
                      <w:sz w:val="21"/>
                      <w:szCs w:val="21"/>
                    </w:rPr>
                  </w:pPr>
                  <w:r>
                    <w:rPr>
                      <w:rFonts w:ascii="Times New Roman"/>
                      <w:b/>
                      <w:bCs/>
                      <w:color w:val="auto"/>
                      <w:sz w:val="21"/>
                      <w:szCs w:val="21"/>
                    </w:rPr>
                    <w:t>本项目情况</w:t>
                  </w:r>
                </w:p>
              </w:tc>
              <w:tc>
                <w:tcPr>
                  <w:tcW w:w="438" w:type="pct"/>
                  <w:noWrap w:val="0"/>
                  <w:vAlign w:val="center"/>
                </w:tcPr>
                <w:p w14:paraId="440FFEF8">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bCs/>
                      <w:color w:val="auto"/>
                      <w:sz w:val="21"/>
                      <w:szCs w:val="21"/>
                    </w:rPr>
                  </w:pPr>
                  <w:r>
                    <w:rPr>
                      <w:rFonts w:ascii="Times New Roman"/>
                      <w:b/>
                      <w:bCs/>
                      <w:color w:val="auto"/>
                      <w:sz w:val="21"/>
                      <w:szCs w:val="21"/>
                    </w:rPr>
                    <w:t>相符性</w:t>
                  </w:r>
                </w:p>
              </w:tc>
            </w:tr>
            <w:tr w14:paraId="02941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14F61AB8">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w:t>
                  </w:r>
                </w:p>
              </w:tc>
              <w:tc>
                <w:tcPr>
                  <w:tcW w:w="2977" w:type="pct"/>
                  <w:noWrap w:val="0"/>
                  <w:vAlign w:val="center"/>
                </w:tcPr>
                <w:p w14:paraId="0C8D9503">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禁止建设不符合国家港口布局规划和《江苏省沿江沿海港口布局规划（2015-</w:t>
                  </w:r>
                  <w:r>
                    <w:rPr>
                      <w:rFonts w:ascii="Times New Roman" w:hAnsi="Times New Roman" w:eastAsia="宋体" w:cs="Times New Roman"/>
                      <w:b w:val="0"/>
                      <w:bCs/>
                      <w:color w:val="auto"/>
                      <w:sz w:val="21"/>
                      <w:szCs w:val="21"/>
                    </w:rPr>
                    <w:t>2030</w:t>
                  </w:r>
                  <w:r>
                    <w:rPr>
                      <w:rFonts w:ascii="Times New Roman" w:hAnsi="Times New Roman" w:cs="Times New Roman"/>
                      <w:b w:val="0"/>
                      <w:bCs/>
                      <w:color w:val="auto"/>
                      <w:sz w:val="21"/>
                      <w:szCs w:val="21"/>
                    </w:rPr>
                    <w:t>年）》《江苏省内河港口布局规划（2017-2035年）》以及我省有关港口总</w:t>
                  </w:r>
                  <w:r>
                    <w:rPr>
                      <w:rFonts w:ascii="Times New Roman" w:hAnsi="Times New Roman" w:cs="Times New Roman"/>
                      <w:b w:val="0"/>
                      <w:bCs/>
                      <w:color w:val="auto"/>
                      <w:spacing w:val="-2"/>
                      <w:sz w:val="21"/>
                      <w:szCs w:val="21"/>
                    </w:rPr>
                    <w:t>体规划的码头项目，禁止建设未纳入《长</w:t>
                  </w:r>
                  <w:r>
                    <w:rPr>
                      <w:rFonts w:ascii="Times New Roman" w:hAnsi="Times New Roman" w:cs="Times New Roman"/>
                      <w:b w:val="0"/>
                      <w:bCs/>
                      <w:color w:val="auto"/>
                      <w:sz w:val="21"/>
                      <w:szCs w:val="21"/>
                    </w:rPr>
                    <w:t>江干线过江通道布局规划》的过长江干线通道项目。</w:t>
                  </w:r>
                </w:p>
              </w:tc>
              <w:tc>
                <w:tcPr>
                  <w:tcW w:w="1341" w:type="pct"/>
                  <w:noWrap w:val="0"/>
                  <w:vAlign w:val="center"/>
                </w:tcPr>
                <w:p w14:paraId="07C68118">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pacing w:val="-2"/>
                      <w:kern w:val="2"/>
                      <w:sz w:val="21"/>
                      <w:szCs w:val="21"/>
                    </w:rPr>
                    <w:t>本项目不属于码头及长江干线过江通道项目。</w:t>
                  </w:r>
                </w:p>
              </w:tc>
              <w:tc>
                <w:tcPr>
                  <w:tcW w:w="438" w:type="pct"/>
                  <w:noWrap w:val="0"/>
                  <w:vAlign w:val="center"/>
                </w:tcPr>
                <w:p w14:paraId="30140936">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50B4F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2E509130">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2977" w:type="pct"/>
                  <w:noWrap w:val="0"/>
                  <w:vAlign w:val="center"/>
                </w:tcPr>
                <w:p w14:paraId="6EB4A89E">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kern w:val="2"/>
                      <w:sz w:val="21"/>
                      <w:szCs w:val="21"/>
                      <w:lang w:val="en-US" w:eastAsia="zh-CN" w:bidi="ar-SA"/>
                    </w:rPr>
                  </w:pPr>
                  <w:r>
                    <w:rPr>
                      <w:rFonts w:ascii="Times New Roman" w:hAnsi="Times New Roman" w:cs="Times New Roman"/>
                      <w:b w:val="0"/>
                      <w:bCs/>
                      <w:color w:val="auto"/>
                      <w:sz w:val="21"/>
                      <w:szCs w:val="21"/>
                    </w:rPr>
                    <w:t>严格执行《中华人民共和国自然保护区条例》，禁止在自然保护区核心区、缓冲区的岸线和河段范围内投资建设旅游和生产经营项目。严格执行《风景名胜区条例》《江苏</w:t>
                  </w:r>
                  <w:r>
                    <w:rPr>
                      <w:rFonts w:ascii="Times New Roman" w:hAnsi="Times New Roman" w:cs="Times New Roman"/>
                      <w:b w:val="0"/>
                      <w:bCs/>
                      <w:color w:val="auto"/>
                      <w:spacing w:val="-2"/>
                      <w:sz w:val="21"/>
                      <w:szCs w:val="21"/>
                    </w:rPr>
                    <w:t>省风景名胜区管理条例》，禁止在</w:t>
                  </w:r>
                  <w:r>
                    <w:rPr>
                      <w:rFonts w:ascii="Times New Roman" w:hAnsi="Times New Roman" w:cs="Times New Roman"/>
                      <w:b w:val="0"/>
                      <w:bCs/>
                      <w:color w:val="auto"/>
                      <w:sz w:val="21"/>
                      <w:szCs w:val="21"/>
                    </w:rPr>
                    <w:t>国家级和省级风景名胜区核心景区的岸线和河段范围内投资建设与风景名胜资源保护无关的项目。</w:t>
                  </w:r>
                </w:p>
              </w:tc>
              <w:tc>
                <w:tcPr>
                  <w:tcW w:w="1341" w:type="pct"/>
                  <w:noWrap w:val="0"/>
                  <w:vAlign w:val="center"/>
                </w:tcPr>
                <w:p w14:paraId="2B95682C">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kern w:val="0"/>
                      <w:sz w:val="21"/>
                      <w:szCs w:val="21"/>
                      <w:lang w:val="en-US" w:eastAsia="zh-CN" w:bidi="ar-SA"/>
                    </w:rPr>
                  </w:pPr>
                  <w:r>
                    <w:rPr>
                      <w:rFonts w:hint="eastAsia" w:ascii="Times New Roman"/>
                      <w:b w:val="0"/>
                      <w:bCs/>
                      <w:color w:val="auto"/>
                      <w:kern w:val="2"/>
                      <w:sz w:val="21"/>
                      <w:szCs w:val="21"/>
                      <w:lang w:eastAsia="zh-CN"/>
                    </w:rPr>
                    <w:t>本项目位于</w:t>
                  </w:r>
                  <w:r>
                    <w:rPr>
                      <w:rFonts w:hint="eastAsia" w:ascii="Times New Roman" w:hAnsi="Times New Roman" w:cs="Times New Roman"/>
                      <w:b w:val="0"/>
                      <w:bCs/>
                      <w:color w:val="auto"/>
                      <w:sz w:val="21"/>
                      <w:szCs w:val="21"/>
                      <w:lang w:eastAsia="zh-CN"/>
                    </w:rPr>
                    <w:t>如皋市城北街道陆姚社区25组188号</w:t>
                  </w:r>
                  <w:r>
                    <w:rPr>
                      <w:rFonts w:ascii="Times New Roman"/>
                      <w:b w:val="0"/>
                      <w:bCs/>
                      <w:color w:val="auto"/>
                      <w:kern w:val="2"/>
                      <w:sz w:val="21"/>
                      <w:szCs w:val="21"/>
                    </w:rPr>
                    <w:t>，不在自然保护区核心区、缓冲区的岸线和河段范围内，不在国家级和省级风景名胜区核心景区的岸线和河段范围内。</w:t>
                  </w:r>
                </w:p>
              </w:tc>
              <w:tc>
                <w:tcPr>
                  <w:tcW w:w="438" w:type="pct"/>
                  <w:noWrap w:val="0"/>
                  <w:vAlign w:val="center"/>
                </w:tcPr>
                <w:p w14:paraId="328039E6">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kern w:val="0"/>
                      <w:sz w:val="21"/>
                      <w:szCs w:val="21"/>
                      <w:lang w:val="en-US" w:eastAsia="zh-CN" w:bidi="ar-SA"/>
                    </w:rPr>
                  </w:pPr>
                  <w:r>
                    <w:rPr>
                      <w:rFonts w:ascii="Times New Roman"/>
                      <w:b w:val="0"/>
                      <w:bCs/>
                      <w:color w:val="auto"/>
                      <w:sz w:val="21"/>
                      <w:szCs w:val="21"/>
                    </w:rPr>
                    <w:t>相符</w:t>
                  </w:r>
                </w:p>
              </w:tc>
            </w:tr>
            <w:tr w14:paraId="6A1BC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50E1271A">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w:t>
                  </w:r>
                </w:p>
              </w:tc>
              <w:tc>
                <w:tcPr>
                  <w:tcW w:w="2977" w:type="pct"/>
                  <w:noWrap w:val="0"/>
                  <w:vAlign w:val="center"/>
                </w:tcPr>
                <w:p w14:paraId="4E89B5C0">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pacing w:val="4"/>
                      <w:kern w:val="0"/>
                      <w:sz w:val="21"/>
                      <w:szCs w:val="21"/>
                    </w:rPr>
                  </w:pPr>
                  <w:r>
                    <w:rPr>
                      <w:rFonts w:ascii="Times New Roman" w:hAnsi="Times New Roman" w:cs="Times New Roman"/>
                      <w:b w:val="0"/>
                      <w:bCs/>
                      <w:color w:val="auto"/>
                      <w:sz w:val="21"/>
                      <w:szCs w:val="21"/>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341" w:type="pct"/>
                  <w:noWrap w:val="0"/>
                  <w:vAlign w:val="center"/>
                </w:tcPr>
                <w:p w14:paraId="2A2EE294">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pacing w:val="4"/>
                      <w:kern w:val="0"/>
                      <w:sz w:val="21"/>
                      <w:szCs w:val="21"/>
                    </w:rPr>
                  </w:pPr>
                  <w:r>
                    <w:rPr>
                      <w:rFonts w:hint="eastAsia" w:ascii="Times New Roman" w:hAnsi="Times New Roman" w:cs="Times New Roman"/>
                      <w:b w:val="0"/>
                      <w:bCs/>
                      <w:color w:val="auto"/>
                      <w:sz w:val="21"/>
                      <w:szCs w:val="21"/>
                      <w:lang w:eastAsia="zh-CN"/>
                    </w:rPr>
                    <w:t>本项目位于如皋市城北街道陆姚社区25组188号</w:t>
                  </w:r>
                  <w:r>
                    <w:rPr>
                      <w:rFonts w:ascii="Times New Roman" w:hAnsi="Times New Roman" w:cs="Times New Roman"/>
                      <w:b w:val="0"/>
                      <w:bCs/>
                      <w:color w:val="auto"/>
                      <w:sz w:val="21"/>
                      <w:szCs w:val="21"/>
                    </w:rPr>
                    <w:t>，不在饮用水水源一级保护区的岸线和河段范围内，不在饮用水水源二级保护区的岸线和河段范围内。</w:t>
                  </w:r>
                </w:p>
              </w:tc>
              <w:tc>
                <w:tcPr>
                  <w:tcW w:w="438" w:type="pct"/>
                  <w:noWrap w:val="0"/>
                  <w:vAlign w:val="center"/>
                </w:tcPr>
                <w:p w14:paraId="14DB84FB">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spacing w:val="4"/>
                      <w:sz w:val="21"/>
                      <w:szCs w:val="21"/>
                    </w:rPr>
                  </w:pPr>
                  <w:r>
                    <w:rPr>
                      <w:rFonts w:ascii="Times New Roman"/>
                      <w:b w:val="0"/>
                      <w:bCs/>
                      <w:color w:val="auto"/>
                      <w:sz w:val="21"/>
                      <w:szCs w:val="21"/>
                    </w:rPr>
                    <w:t>相符</w:t>
                  </w:r>
                </w:p>
              </w:tc>
            </w:tr>
            <w:tr w14:paraId="19C22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2954704C">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w:t>
                  </w:r>
                </w:p>
              </w:tc>
              <w:tc>
                <w:tcPr>
                  <w:tcW w:w="2977" w:type="pct"/>
                  <w:noWrap w:val="0"/>
                  <w:vAlign w:val="center"/>
                </w:tcPr>
                <w:p w14:paraId="5C1FA6A5">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341" w:type="pct"/>
                  <w:noWrap w:val="0"/>
                  <w:vAlign w:val="center"/>
                </w:tcPr>
                <w:p w14:paraId="693C1382">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eastAsia="zh-CN"/>
                    </w:rPr>
                    <w:t>本项目位于如皋市城北街道陆姚社区25组188号</w:t>
                  </w:r>
                  <w:r>
                    <w:rPr>
                      <w:rFonts w:ascii="Times New Roman" w:hAnsi="Times New Roman" w:cs="Times New Roman"/>
                      <w:b w:val="0"/>
                      <w:bCs/>
                      <w:color w:val="auto"/>
                      <w:sz w:val="21"/>
                      <w:szCs w:val="21"/>
                    </w:rPr>
                    <w:t>，不在国家级和省级水产种质资源保护区的岸线和河段范围内，不在国家湿地公园的岸线和河段范围内。</w:t>
                  </w:r>
                </w:p>
              </w:tc>
              <w:tc>
                <w:tcPr>
                  <w:tcW w:w="438" w:type="pct"/>
                  <w:noWrap w:val="0"/>
                  <w:vAlign w:val="center"/>
                </w:tcPr>
                <w:p w14:paraId="170DAACA">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57CB3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1934A9F7">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hint="eastAsia" w:ascii="Times New Roman" w:eastAsia="宋体"/>
                      <w:b w:val="0"/>
                      <w:bCs/>
                      <w:color w:val="auto"/>
                      <w:sz w:val="21"/>
                      <w:szCs w:val="21"/>
                      <w:lang w:val="en-US" w:eastAsia="zh-CN"/>
                    </w:rPr>
                  </w:pPr>
                  <w:r>
                    <w:rPr>
                      <w:rFonts w:hint="eastAsia" w:ascii="Times New Roman"/>
                      <w:b w:val="0"/>
                      <w:bCs/>
                      <w:color w:val="auto"/>
                      <w:sz w:val="21"/>
                      <w:szCs w:val="21"/>
                      <w:lang w:val="en-US" w:eastAsia="zh-CN"/>
                    </w:rPr>
                    <w:t>5</w:t>
                  </w:r>
                </w:p>
              </w:tc>
              <w:tc>
                <w:tcPr>
                  <w:tcW w:w="2977" w:type="pct"/>
                  <w:noWrap w:val="0"/>
                  <w:vAlign w:val="center"/>
                </w:tcPr>
                <w:p w14:paraId="12AE3526">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pacing w:val="4"/>
                      <w:kern w:val="0"/>
                      <w:sz w:val="21"/>
                      <w:szCs w:val="21"/>
                    </w:rPr>
                  </w:pPr>
                  <w:r>
                    <w:rPr>
                      <w:rFonts w:ascii="Times New Roman" w:hAnsi="Times New Roman" w:cs="Times New Roman"/>
                      <w:b w:val="0"/>
                      <w:bCs/>
                      <w:color w:val="auto"/>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投资建设不利于水资源及自然生态保护的项目。</w:t>
                  </w:r>
                </w:p>
              </w:tc>
              <w:tc>
                <w:tcPr>
                  <w:tcW w:w="1341" w:type="pct"/>
                  <w:noWrap w:val="0"/>
                  <w:vAlign w:val="center"/>
                </w:tcPr>
                <w:p w14:paraId="7943ED67">
                  <w:pPr>
                    <w:pStyle w:val="42"/>
                    <w:keepNext w:val="0"/>
                    <w:keepLines w:val="0"/>
                    <w:pageBreakBefore w:val="0"/>
                    <w:widowControl/>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eastAsia="zh-CN"/>
                    </w:rPr>
                    <w:t>本项目位于如皋市城北街道陆姚社区25组188号</w:t>
                  </w:r>
                  <w:r>
                    <w:rPr>
                      <w:rFonts w:ascii="Times New Roman" w:hAnsi="Times New Roman" w:cs="Times New Roman"/>
                      <w:b w:val="0"/>
                      <w:bCs/>
                      <w:color w:val="auto"/>
                      <w:sz w:val="21"/>
                      <w:szCs w:val="21"/>
                    </w:rPr>
                    <w:t>，不在《长江岸线保护和开发利用总体规划》划定的岸线保护区和岸线保留区内，不在《全国重要江河湖泊水功能区划》划定的河段保护区、保留区内。</w:t>
                  </w:r>
                </w:p>
                <w:p w14:paraId="74F80CFB">
                  <w:pPr>
                    <w:keepNext w:val="0"/>
                    <w:keepLines w:val="0"/>
                    <w:pageBreakBefore w:val="0"/>
                    <w:kinsoku/>
                    <w:wordWrap/>
                    <w:overflowPunct/>
                    <w:topLinePunct w:val="0"/>
                    <w:autoSpaceDE w:val="0"/>
                    <w:autoSpaceDN/>
                    <w:bidi w:val="0"/>
                    <w:adjustRightInd w:val="0"/>
                    <w:snapToGrid w:val="0"/>
                    <w:jc w:val="center"/>
                    <w:textAlignment w:val="auto"/>
                    <w:rPr>
                      <w:b w:val="0"/>
                      <w:bCs/>
                      <w:color w:val="auto"/>
                      <w:spacing w:val="4"/>
                      <w:sz w:val="21"/>
                      <w:szCs w:val="21"/>
                    </w:rPr>
                  </w:pPr>
                </w:p>
              </w:tc>
              <w:tc>
                <w:tcPr>
                  <w:tcW w:w="438" w:type="pct"/>
                  <w:noWrap w:val="0"/>
                  <w:vAlign w:val="center"/>
                </w:tcPr>
                <w:p w14:paraId="56D5E67A">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spacing w:val="4"/>
                      <w:sz w:val="21"/>
                      <w:szCs w:val="21"/>
                    </w:rPr>
                  </w:pPr>
                  <w:r>
                    <w:rPr>
                      <w:rFonts w:ascii="Times New Roman"/>
                      <w:b w:val="0"/>
                      <w:bCs/>
                      <w:color w:val="auto"/>
                      <w:sz w:val="21"/>
                      <w:szCs w:val="21"/>
                    </w:rPr>
                    <w:t>相符</w:t>
                  </w:r>
                </w:p>
              </w:tc>
            </w:tr>
            <w:tr w14:paraId="1F7C9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55E0BB6B">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hint="eastAsia" w:ascii="Times New Roman" w:eastAsia="宋体"/>
                      <w:b w:val="0"/>
                      <w:bCs/>
                      <w:color w:val="auto"/>
                      <w:sz w:val="21"/>
                      <w:szCs w:val="21"/>
                      <w:lang w:val="en-US" w:eastAsia="zh-CN"/>
                    </w:rPr>
                  </w:pPr>
                  <w:r>
                    <w:rPr>
                      <w:rFonts w:hint="eastAsia" w:ascii="Times New Roman"/>
                      <w:b w:val="0"/>
                      <w:bCs/>
                      <w:color w:val="auto"/>
                      <w:sz w:val="21"/>
                      <w:szCs w:val="21"/>
                      <w:lang w:val="en-US" w:eastAsia="zh-CN"/>
                    </w:rPr>
                    <w:t>6</w:t>
                  </w:r>
                </w:p>
              </w:tc>
              <w:tc>
                <w:tcPr>
                  <w:tcW w:w="2977" w:type="pct"/>
                  <w:noWrap w:val="0"/>
                  <w:vAlign w:val="center"/>
                </w:tcPr>
                <w:p w14:paraId="69459B9E">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341" w:type="pct"/>
                  <w:noWrap w:val="0"/>
                  <w:vAlign w:val="center"/>
                </w:tcPr>
                <w:p w14:paraId="68547EE1">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pacing w:val="4"/>
                      <w:kern w:val="0"/>
                      <w:sz w:val="21"/>
                      <w:szCs w:val="21"/>
                    </w:rPr>
                  </w:pPr>
                  <w:r>
                    <w:rPr>
                      <w:rFonts w:hint="eastAsia" w:ascii="Times New Roman" w:hAnsi="Times New Roman" w:cs="Times New Roman"/>
                      <w:b w:val="0"/>
                      <w:bCs/>
                      <w:color w:val="auto"/>
                      <w:sz w:val="21"/>
                      <w:szCs w:val="21"/>
                      <w:lang w:eastAsia="zh-CN"/>
                    </w:rPr>
                    <w:t>本项目位于如皋市城北街道陆姚社区25组188号</w:t>
                  </w:r>
                  <w:r>
                    <w:rPr>
                      <w:rFonts w:ascii="Times New Roman" w:hAnsi="Times New Roman" w:cs="Times New Roman"/>
                      <w:b w:val="0"/>
                      <w:bCs/>
                      <w:color w:val="auto"/>
                      <w:sz w:val="21"/>
                      <w:szCs w:val="21"/>
                    </w:rPr>
                    <w:t>，不在国家确定的生态保护红线和永久基本农田范围内。</w:t>
                  </w:r>
                </w:p>
              </w:tc>
              <w:tc>
                <w:tcPr>
                  <w:tcW w:w="438" w:type="pct"/>
                  <w:noWrap w:val="0"/>
                  <w:vAlign w:val="center"/>
                </w:tcPr>
                <w:p w14:paraId="61C6646D">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pacing w:val="4"/>
                      <w:sz w:val="21"/>
                      <w:szCs w:val="21"/>
                    </w:rPr>
                  </w:pPr>
                  <w:r>
                    <w:rPr>
                      <w:rFonts w:ascii="Times New Roman"/>
                      <w:b w:val="0"/>
                      <w:bCs/>
                      <w:color w:val="auto"/>
                      <w:sz w:val="21"/>
                      <w:szCs w:val="21"/>
                    </w:rPr>
                    <w:t>相符</w:t>
                  </w:r>
                </w:p>
              </w:tc>
            </w:tr>
            <w:tr w14:paraId="044C0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47426D47">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7</w:t>
                  </w:r>
                </w:p>
              </w:tc>
              <w:tc>
                <w:tcPr>
                  <w:tcW w:w="2977" w:type="pct"/>
                  <w:noWrap w:val="0"/>
                  <w:vAlign w:val="center"/>
                </w:tcPr>
                <w:p w14:paraId="5CD8ED04">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kern w:val="2"/>
                      <w:sz w:val="21"/>
                      <w:szCs w:val="21"/>
                      <w:lang w:val="en-US" w:eastAsia="zh-CN" w:bidi="ar-SA"/>
                    </w:rPr>
                  </w:pPr>
                  <w:r>
                    <w:rPr>
                      <w:rFonts w:ascii="Times New Roman" w:hAnsi="Times New Roman" w:cs="Times New Roman"/>
                      <w:b w:val="0"/>
                      <w:bCs/>
                      <w:color w:val="auto"/>
                      <w:sz w:val="21"/>
                      <w:szCs w:val="21"/>
                    </w:rPr>
                    <w:t>禁止在距离长江干流和京杭大运河（南水北调东线江苏段）、新沟河、新孟河、走马塘、望虞河、秦淮新河、城南河、德胜河、三茅大港、夹江（扬州）、润扬河、潘家河、蟛蜞港、泰州引江河</w:t>
                  </w:r>
                  <w:r>
                    <w:rPr>
                      <w:rFonts w:ascii="Times New Roman" w:hAnsi="Times New Roman" w:cs="Times New Roman"/>
                      <w:b w:val="0"/>
                      <w:bCs/>
                      <w:color w:val="auto"/>
                      <w:spacing w:val="-90"/>
                      <w:sz w:val="21"/>
                      <w:szCs w:val="21"/>
                    </w:rPr>
                    <w:t> </w:t>
                  </w:r>
                  <w:r>
                    <w:rPr>
                      <w:rFonts w:ascii="Times New Roman" w:hAnsi="Times New Roman" w:cs="Times New Roman"/>
                      <w:b w:val="0"/>
                      <w:bCs/>
                      <w:color w:val="auto"/>
                      <w:sz w:val="21"/>
                      <w:szCs w:val="21"/>
                    </w:rPr>
                    <w:t>1 公里范围内新建、扩建化工园区和化工项目。长江干支流</w:t>
                  </w:r>
                  <w:r>
                    <w:rPr>
                      <w:rFonts w:ascii="Times New Roman" w:hAnsi="Times New Roman" w:cs="Times New Roman"/>
                      <w:b w:val="0"/>
                      <w:bCs/>
                      <w:color w:val="auto"/>
                      <w:spacing w:val="-62"/>
                      <w:sz w:val="21"/>
                      <w:szCs w:val="21"/>
                    </w:rPr>
                    <w:t> </w:t>
                  </w:r>
                  <w:r>
                    <w:rPr>
                      <w:rFonts w:ascii="Times New Roman" w:hAnsi="Times New Roman" w:cs="Times New Roman"/>
                      <w:b w:val="0"/>
                      <w:bCs/>
                      <w:color w:val="auto"/>
                      <w:sz w:val="21"/>
                      <w:szCs w:val="21"/>
                    </w:rPr>
                    <w:t>1公里按照长江干支流岸线边界（即水利部门河道管理范围边界）向陆域纵深</w:t>
                  </w:r>
                  <w:r>
                    <w:rPr>
                      <w:rFonts w:ascii="Times New Roman" w:hAnsi="Times New Roman" w:cs="Times New Roman"/>
                      <w:b w:val="0"/>
                      <w:bCs/>
                      <w:color w:val="auto"/>
                      <w:spacing w:val="-90"/>
                      <w:sz w:val="21"/>
                      <w:szCs w:val="21"/>
                    </w:rPr>
                    <w:t> </w:t>
                  </w:r>
                  <w:r>
                    <w:rPr>
                      <w:rFonts w:ascii="Times New Roman" w:hAnsi="Times New Roman" w:cs="Times New Roman"/>
                      <w:b w:val="0"/>
                      <w:bCs/>
                      <w:color w:val="auto"/>
                      <w:sz w:val="21"/>
                      <w:szCs w:val="21"/>
                    </w:rPr>
                    <w:t>1公里执行。严格落实国家和省关于水源地保护、岸线利用项目清理整治、沿江重化产能转型升级等相关政策文件要求，对长江干支流两岸排污行为实行严格监管，对违法违规工业园区和企业依法淘汰取缔。</w:t>
                  </w:r>
                </w:p>
              </w:tc>
              <w:tc>
                <w:tcPr>
                  <w:tcW w:w="1341" w:type="pct"/>
                  <w:noWrap w:val="0"/>
                  <w:vAlign w:val="center"/>
                </w:tcPr>
                <w:p w14:paraId="3B227AA4">
                  <w:pPr>
                    <w:keepNext w:val="0"/>
                    <w:keepLines w:val="0"/>
                    <w:pageBreakBefore w:val="0"/>
                    <w:kinsoku/>
                    <w:wordWrap/>
                    <w:overflowPunct/>
                    <w:topLinePunct w:val="0"/>
                    <w:autoSpaceDE w:val="0"/>
                    <w:autoSpaceDN/>
                    <w:bidi w:val="0"/>
                    <w:adjustRightInd w:val="0"/>
                    <w:snapToGrid w:val="0"/>
                    <w:jc w:val="center"/>
                    <w:textAlignment w:val="auto"/>
                    <w:rPr>
                      <w:b w:val="0"/>
                      <w:bCs/>
                      <w:color w:val="auto"/>
                      <w:spacing w:val="4"/>
                      <w:kern w:val="2"/>
                      <w:sz w:val="21"/>
                      <w:szCs w:val="21"/>
                      <w:lang w:val="en-US" w:eastAsia="zh-CN" w:bidi="ar-SA"/>
                    </w:rPr>
                  </w:pPr>
                  <w:r>
                    <w:rPr>
                      <w:b w:val="0"/>
                      <w:bCs/>
                      <w:color w:val="auto"/>
                      <w:sz w:val="21"/>
                      <w:szCs w:val="21"/>
                    </w:rPr>
                    <w:t>本项目不属于化工项目。</w:t>
                  </w:r>
                </w:p>
              </w:tc>
              <w:tc>
                <w:tcPr>
                  <w:tcW w:w="438" w:type="pct"/>
                  <w:noWrap w:val="0"/>
                  <w:vAlign w:val="center"/>
                </w:tcPr>
                <w:p w14:paraId="02E005C6">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pacing w:val="4"/>
                      <w:kern w:val="0"/>
                      <w:sz w:val="21"/>
                      <w:szCs w:val="21"/>
                      <w:lang w:val="en-US" w:eastAsia="zh-CN" w:bidi="ar-SA"/>
                    </w:rPr>
                  </w:pPr>
                  <w:r>
                    <w:rPr>
                      <w:rFonts w:ascii="Times New Roman"/>
                      <w:b w:val="0"/>
                      <w:bCs/>
                      <w:color w:val="auto"/>
                      <w:sz w:val="21"/>
                      <w:szCs w:val="21"/>
                    </w:rPr>
                    <w:t>相符</w:t>
                  </w:r>
                </w:p>
              </w:tc>
            </w:tr>
            <w:tr w14:paraId="7EEED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4D7DB662">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8</w:t>
                  </w:r>
                </w:p>
              </w:tc>
              <w:tc>
                <w:tcPr>
                  <w:tcW w:w="2977" w:type="pct"/>
                  <w:noWrap w:val="0"/>
                  <w:vAlign w:val="center"/>
                </w:tcPr>
                <w:p w14:paraId="5D22BD3D">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禁止在距离长江干流岸线</w:t>
                  </w:r>
                  <w:r>
                    <w:rPr>
                      <w:rFonts w:ascii="Times New Roman" w:hAnsi="Times New Roman" w:cs="Times New Roman"/>
                      <w:b w:val="0"/>
                      <w:bCs/>
                      <w:color w:val="auto"/>
                      <w:spacing w:val="-90"/>
                      <w:sz w:val="21"/>
                      <w:szCs w:val="21"/>
                    </w:rPr>
                    <w:t> </w:t>
                  </w:r>
                  <w:r>
                    <w:rPr>
                      <w:rFonts w:ascii="Times New Roman" w:hAnsi="Times New Roman" w:cs="Times New Roman"/>
                      <w:b w:val="0"/>
                      <w:bCs/>
                      <w:color w:val="auto"/>
                      <w:sz w:val="21"/>
                      <w:szCs w:val="21"/>
                    </w:rPr>
                    <w:t>3公里范围内新建、改建、扩建尾矿库。</w:t>
                  </w:r>
                </w:p>
              </w:tc>
              <w:tc>
                <w:tcPr>
                  <w:tcW w:w="1341" w:type="pct"/>
                  <w:noWrap w:val="0"/>
                  <w:vAlign w:val="center"/>
                </w:tcPr>
                <w:p w14:paraId="7150AE11">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pacing w:val="4"/>
                      <w:kern w:val="0"/>
                      <w:sz w:val="21"/>
                      <w:szCs w:val="21"/>
                    </w:rPr>
                  </w:pPr>
                  <w:r>
                    <w:rPr>
                      <w:rFonts w:ascii="Times New Roman" w:hAnsi="Times New Roman" w:cs="Times New Roman"/>
                      <w:b w:val="0"/>
                      <w:bCs/>
                      <w:color w:val="auto"/>
                      <w:sz w:val="21"/>
                      <w:szCs w:val="21"/>
                    </w:rPr>
                    <w:t>本项目不属于尾矿库项目。</w:t>
                  </w:r>
                </w:p>
              </w:tc>
              <w:tc>
                <w:tcPr>
                  <w:tcW w:w="438" w:type="pct"/>
                  <w:noWrap w:val="0"/>
                  <w:vAlign w:val="center"/>
                </w:tcPr>
                <w:p w14:paraId="1B90ADE6">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pacing w:val="4"/>
                      <w:sz w:val="21"/>
                      <w:szCs w:val="21"/>
                    </w:rPr>
                  </w:pPr>
                  <w:r>
                    <w:rPr>
                      <w:rFonts w:ascii="Times New Roman"/>
                      <w:b w:val="0"/>
                      <w:bCs/>
                      <w:color w:val="auto"/>
                      <w:sz w:val="21"/>
                      <w:szCs w:val="21"/>
                    </w:rPr>
                    <w:t>相符</w:t>
                  </w:r>
                </w:p>
              </w:tc>
            </w:tr>
            <w:tr w14:paraId="57313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0F9EFFC2">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9</w:t>
                  </w:r>
                </w:p>
              </w:tc>
              <w:tc>
                <w:tcPr>
                  <w:tcW w:w="2977" w:type="pct"/>
                  <w:noWrap w:val="0"/>
                  <w:vAlign w:val="center"/>
                </w:tcPr>
                <w:p w14:paraId="6352CB3F">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禁止在沿江地区新建、扩建未纳入国家和省布局规划的燃煤发电项目。</w:t>
                  </w:r>
                </w:p>
              </w:tc>
              <w:tc>
                <w:tcPr>
                  <w:tcW w:w="1341" w:type="pct"/>
                  <w:noWrap w:val="0"/>
                  <w:vAlign w:val="center"/>
                </w:tcPr>
                <w:p w14:paraId="2DE66D0D">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pacing w:val="4"/>
                      <w:kern w:val="0"/>
                      <w:sz w:val="21"/>
                      <w:szCs w:val="21"/>
                    </w:rPr>
                  </w:pPr>
                  <w:r>
                    <w:rPr>
                      <w:rFonts w:ascii="Times New Roman" w:hAnsi="Times New Roman" w:cs="Times New Roman"/>
                      <w:b w:val="0"/>
                      <w:bCs/>
                      <w:color w:val="auto"/>
                      <w:sz w:val="21"/>
                      <w:szCs w:val="21"/>
                    </w:rPr>
                    <w:t>本项目不属于燃煤发电项目。</w:t>
                  </w:r>
                </w:p>
              </w:tc>
              <w:tc>
                <w:tcPr>
                  <w:tcW w:w="438" w:type="pct"/>
                  <w:noWrap w:val="0"/>
                  <w:vAlign w:val="center"/>
                </w:tcPr>
                <w:p w14:paraId="307C6B7E">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pacing w:val="4"/>
                      <w:sz w:val="21"/>
                      <w:szCs w:val="21"/>
                    </w:rPr>
                  </w:pPr>
                  <w:r>
                    <w:rPr>
                      <w:rFonts w:ascii="Times New Roman"/>
                      <w:b w:val="0"/>
                      <w:bCs/>
                      <w:color w:val="auto"/>
                      <w:sz w:val="21"/>
                      <w:szCs w:val="21"/>
                    </w:rPr>
                    <w:t>相符</w:t>
                  </w:r>
                </w:p>
              </w:tc>
            </w:tr>
            <w:tr w14:paraId="07247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6EA35E38">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10</w:t>
                  </w:r>
                </w:p>
              </w:tc>
              <w:tc>
                <w:tcPr>
                  <w:tcW w:w="2977" w:type="pct"/>
                  <w:noWrap w:val="0"/>
                  <w:vAlign w:val="center"/>
                </w:tcPr>
                <w:p w14:paraId="07C31962">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341" w:type="pct"/>
                  <w:noWrap w:val="0"/>
                  <w:vAlign w:val="center"/>
                </w:tcPr>
                <w:p w14:paraId="0C68C14B">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本项目不属于《环境保护综合名录》中所列高污染项目。</w:t>
                  </w:r>
                </w:p>
              </w:tc>
              <w:tc>
                <w:tcPr>
                  <w:tcW w:w="438" w:type="pct"/>
                  <w:noWrap w:val="0"/>
                  <w:vAlign w:val="center"/>
                </w:tcPr>
                <w:p w14:paraId="66F894E5">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490D9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5205DA12">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11</w:t>
                  </w:r>
                </w:p>
              </w:tc>
              <w:tc>
                <w:tcPr>
                  <w:tcW w:w="2977" w:type="pct"/>
                  <w:noWrap w:val="0"/>
                  <w:vAlign w:val="center"/>
                </w:tcPr>
                <w:p w14:paraId="4B0C9E75">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禁止在取消化工定位的园区（集中区）内新建化工项目。</w:t>
                  </w:r>
                </w:p>
              </w:tc>
              <w:tc>
                <w:tcPr>
                  <w:tcW w:w="1341" w:type="pct"/>
                  <w:noWrap w:val="0"/>
                  <w:vAlign w:val="center"/>
                </w:tcPr>
                <w:p w14:paraId="64D78589">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本项目不属于化工项目。</w:t>
                  </w:r>
                </w:p>
              </w:tc>
              <w:tc>
                <w:tcPr>
                  <w:tcW w:w="438" w:type="pct"/>
                  <w:noWrap w:val="0"/>
                  <w:vAlign w:val="center"/>
                </w:tcPr>
                <w:p w14:paraId="10557BAC">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18BB3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2A239260">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12</w:t>
                  </w:r>
                </w:p>
              </w:tc>
              <w:tc>
                <w:tcPr>
                  <w:tcW w:w="2977" w:type="pct"/>
                  <w:noWrap w:val="0"/>
                  <w:vAlign w:val="center"/>
                </w:tcPr>
                <w:p w14:paraId="06412AF7">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禁止在化工集中区内新建、改建、扩建生产和使用《危险化学品目录》中具有爆炸特性化学品的项目。</w:t>
                  </w:r>
                </w:p>
              </w:tc>
              <w:tc>
                <w:tcPr>
                  <w:tcW w:w="1341" w:type="pct"/>
                  <w:noWrap w:val="0"/>
                  <w:vAlign w:val="center"/>
                </w:tcPr>
                <w:p w14:paraId="5CBD6EA7">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本项目不生产和使用《危险化学品目录》中具有爆炸特性的化学品。</w:t>
                  </w:r>
                </w:p>
              </w:tc>
              <w:tc>
                <w:tcPr>
                  <w:tcW w:w="438" w:type="pct"/>
                  <w:noWrap w:val="0"/>
                  <w:vAlign w:val="center"/>
                </w:tcPr>
                <w:p w14:paraId="11E9E3E5">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00EE1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2538642B">
                  <w:pPr>
                    <w:pStyle w:val="41"/>
                    <w:keepNext w:val="0"/>
                    <w:keepLines w:val="0"/>
                    <w:pageBreakBefore w:val="0"/>
                    <w:kinsoku/>
                    <w:wordWrap/>
                    <w:overflowPunct/>
                    <w:topLinePunct w:val="0"/>
                    <w:autoSpaceDE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13</w:t>
                  </w:r>
                </w:p>
              </w:tc>
              <w:tc>
                <w:tcPr>
                  <w:tcW w:w="2977" w:type="pct"/>
                  <w:noWrap w:val="0"/>
                  <w:vAlign w:val="center"/>
                </w:tcPr>
                <w:p w14:paraId="24F343E8">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禁止在化工企业周边建设不符合安全距离规定的劳动密集型的非化工项目和其他人员密集的公共设施项目。</w:t>
                  </w:r>
                </w:p>
              </w:tc>
              <w:tc>
                <w:tcPr>
                  <w:tcW w:w="1341" w:type="pct"/>
                  <w:noWrap w:val="0"/>
                  <w:vAlign w:val="center"/>
                </w:tcPr>
                <w:p w14:paraId="0FCE8425">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本项目周边无化工企业。</w:t>
                  </w:r>
                </w:p>
              </w:tc>
              <w:tc>
                <w:tcPr>
                  <w:tcW w:w="438" w:type="pct"/>
                  <w:noWrap w:val="0"/>
                  <w:vAlign w:val="center"/>
                </w:tcPr>
                <w:p w14:paraId="54FDDFE7">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4473F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4EDC3CA5">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14</w:t>
                  </w:r>
                </w:p>
              </w:tc>
              <w:tc>
                <w:tcPr>
                  <w:tcW w:w="2977" w:type="pct"/>
                  <w:noWrap w:val="0"/>
                  <w:vAlign w:val="center"/>
                </w:tcPr>
                <w:p w14:paraId="3CFD4030">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禁止在太湖流域一、二、三级保护区内开展《江苏省太湖水污染防治条例》禁止的投资建设活动。</w:t>
                  </w:r>
                </w:p>
              </w:tc>
              <w:tc>
                <w:tcPr>
                  <w:tcW w:w="1341" w:type="pct"/>
                  <w:noWrap w:val="0"/>
                  <w:vAlign w:val="center"/>
                </w:tcPr>
                <w:p w14:paraId="13382941">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eastAsia="zh-CN"/>
                    </w:rPr>
                    <w:t>本项目位于如皋市城北街道陆姚社区25组188号</w:t>
                  </w:r>
                  <w:r>
                    <w:rPr>
                      <w:rFonts w:ascii="Times New Roman" w:hAnsi="Times New Roman" w:cs="Times New Roman"/>
                      <w:b w:val="0"/>
                      <w:bCs/>
                      <w:color w:val="auto"/>
                      <w:sz w:val="21"/>
                      <w:szCs w:val="21"/>
                    </w:rPr>
                    <w:t>，不属于太湖流域。</w:t>
                  </w:r>
                </w:p>
              </w:tc>
              <w:tc>
                <w:tcPr>
                  <w:tcW w:w="438" w:type="pct"/>
                  <w:noWrap w:val="0"/>
                  <w:vAlign w:val="center"/>
                </w:tcPr>
                <w:p w14:paraId="4621E737">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61CE7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2F5DDEEE">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15</w:t>
                  </w:r>
                </w:p>
              </w:tc>
              <w:tc>
                <w:tcPr>
                  <w:tcW w:w="2977" w:type="pct"/>
                  <w:noWrap w:val="0"/>
                  <w:vAlign w:val="center"/>
                </w:tcPr>
                <w:p w14:paraId="2B52F3BF">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禁止新建、扩建尿素、磷铵、电石、烧碱、聚氯乙烯、纯碱新增产能项目。</w:t>
                  </w:r>
                </w:p>
              </w:tc>
              <w:tc>
                <w:tcPr>
                  <w:tcW w:w="1341" w:type="pct"/>
                  <w:noWrap w:val="0"/>
                  <w:vAlign w:val="center"/>
                </w:tcPr>
                <w:p w14:paraId="4D7BD6FD">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本项目不属于尿素、磷铵、电石、烧碱、聚氯乙烯、纯碱项目。</w:t>
                  </w:r>
                </w:p>
              </w:tc>
              <w:tc>
                <w:tcPr>
                  <w:tcW w:w="438" w:type="pct"/>
                  <w:noWrap w:val="0"/>
                  <w:vAlign w:val="center"/>
                </w:tcPr>
                <w:p w14:paraId="221D12C1">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74E60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41AEAE7E">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16</w:t>
                  </w:r>
                </w:p>
              </w:tc>
              <w:tc>
                <w:tcPr>
                  <w:tcW w:w="2977" w:type="pct"/>
                  <w:noWrap w:val="0"/>
                  <w:vAlign w:val="center"/>
                </w:tcPr>
                <w:p w14:paraId="12A0C02E">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禁止新建、改建、扩建高毒、高残留以及对环境影响大的农药原药项目，禁止新建、扩建农药、医药和染料中间体化工项目。</w:t>
                  </w:r>
                </w:p>
              </w:tc>
              <w:tc>
                <w:tcPr>
                  <w:tcW w:w="1341" w:type="pct"/>
                  <w:noWrap w:val="0"/>
                  <w:vAlign w:val="center"/>
                </w:tcPr>
                <w:p w14:paraId="2F2BD1F2">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本项目不属于农药原药项目，不属于农药、医药和染料中间体化工项目。</w:t>
                  </w:r>
                </w:p>
              </w:tc>
              <w:tc>
                <w:tcPr>
                  <w:tcW w:w="438" w:type="pct"/>
                  <w:noWrap w:val="0"/>
                  <w:vAlign w:val="center"/>
                </w:tcPr>
                <w:p w14:paraId="12220523">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41516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72DD38ED">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17</w:t>
                  </w:r>
                </w:p>
              </w:tc>
              <w:tc>
                <w:tcPr>
                  <w:tcW w:w="2977" w:type="pct"/>
                  <w:noWrap w:val="0"/>
                  <w:vAlign w:val="center"/>
                </w:tcPr>
                <w:p w14:paraId="0B7D9C61">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禁止新建不符合行业准入条件的合成氨、对二甲苯二硫化碳、氟化氢、轮胎等项目。</w:t>
                  </w:r>
                </w:p>
              </w:tc>
              <w:tc>
                <w:tcPr>
                  <w:tcW w:w="1341" w:type="pct"/>
                  <w:noWrap w:val="0"/>
                  <w:vAlign w:val="center"/>
                </w:tcPr>
                <w:p w14:paraId="6DA52686">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本项目不属于合成氨、对二甲苯二硫化碳、氟化氢、轮胎等项目。</w:t>
                  </w:r>
                </w:p>
              </w:tc>
              <w:tc>
                <w:tcPr>
                  <w:tcW w:w="438" w:type="pct"/>
                  <w:noWrap w:val="0"/>
                  <w:vAlign w:val="center"/>
                </w:tcPr>
                <w:p w14:paraId="09A288AA">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67694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1AF2F86C">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18</w:t>
                  </w:r>
                </w:p>
              </w:tc>
              <w:tc>
                <w:tcPr>
                  <w:tcW w:w="2977" w:type="pct"/>
                  <w:noWrap w:val="0"/>
                  <w:vAlign w:val="center"/>
                </w:tcPr>
                <w:p w14:paraId="1BF7DFBB">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禁止新建、扩建不符合国家石化、现代煤化工等产业布局规划的项目，禁止新建独立焦化项目。</w:t>
                  </w:r>
                </w:p>
              </w:tc>
              <w:tc>
                <w:tcPr>
                  <w:tcW w:w="1341" w:type="pct"/>
                  <w:noWrap w:val="0"/>
                  <w:vAlign w:val="center"/>
                </w:tcPr>
                <w:p w14:paraId="4B7037E5">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本项目不属于国家石化、现代煤化工等产业，不属于独立焦化项目。</w:t>
                  </w:r>
                </w:p>
              </w:tc>
              <w:tc>
                <w:tcPr>
                  <w:tcW w:w="438" w:type="pct"/>
                  <w:noWrap w:val="0"/>
                  <w:vAlign w:val="center"/>
                </w:tcPr>
                <w:p w14:paraId="10CFE05C">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02057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6B9D4CCE">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19</w:t>
                  </w:r>
                </w:p>
              </w:tc>
              <w:tc>
                <w:tcPr>
                  <w:tcW w:w="2977" w:type="pct"/>
                  <w:noWrap w:val="0"/>
                  <w:vAlign w:val="center"/>
                </w:tcPr>
                <w:p w14:paraId="32D0BFA0">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pacing w:val="-2"/>
                      <w:sz w:val="21"/>
                      <w:szCs w:val="21"/>
                    </w:rPr>
                    <w:t>禁止新建、扩建不符合国家产能置换要求</w:t>
                  </w:r>
                  <w:r>
                    <w:rPr>
                      <w:rFonts w:ascii="Times New Roman" w:hAnsi="Times New Roman" w:cs="Times New Roman"/>
                      <w:b w:val="0"/>
                      <w:bCs/>
                      <w:color w:val="auto"/>
                      <w:sz w:val="21"/>
                      <w:szCs w:val="21"/>
                    </w:rPr>
                    <w:t>的严重过剩产能行业的项目。</w:t>
                  </w:r>
                </w:p>
              </w:tc>
              <w:tc>
                <w:tcPr>
                  <w:tcW w:w="1341" w:type="pct"/>
                  <w:noWrap w:val="0"/>
                  <w:vAlign w:val="center"/>
                </w:tcPr>
                <w:p w14:paraId="3CFAB5AF">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sz w:val="21"/>
                      <w:szCs w:val="21"/>
                    </w:rPr>
                  </w:pPr>
                  <w:r>
                    <w:rPr>
                      <w:rFonts w:ascii="Times New Roman" w:hAnsi="Times New Roman" w:cs="Times New Roman"/>
                      <w:b w:val="0"/>
                      <w:bCs/>
                      <w:color w:val="auto"/>
                      <w:spacing w:val="-2"/>
                      <w:sz w:val="21"/>
                      <w:szCs w:val="21"/>
                    </w:rPr>
                    <w:t>本项目不属于国家产能置换要求的严重过剩产能行业的项目。</w:t>
                  </w:r>
                </w:p>
              </w:tc>
              <w:tc>
                <w:tcPr>
                  <w:tcW w:w="438" w:type="pct"/>
                  <w:noWrap w:val="0"/>
                  <w:vAlign w:val="center"/>
                </w:tcPr>
                <w:p w14:paraId="7DDDF054">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sz w:val="21"/>
                      <w:szCs w:val="21"/>
                    </w:rPr>
                  </w:pPr>
                  <w:r>
                    <w:rPr>
                      <w:rFonts w:ascii="Times New Roman"/>
                      <w:b w:val="0"/>
                      <w:bCs/>
                      <w:color w:val="auto"/>
                      <w:sz w:val="21"/>
                      <w:szCs w:val="21"/>
                    </w:rPr>
                    <w:t>相符</w:t>
                  </w:r>
                </w:p>
              </w:tc>
            </w:tr>
            <w:tr w14:paraId="1FAC1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 w:type="pct"/>
                  <w:noWrap w:val="0"/>
                  <w:vAlign w:val="center"/>
                </w:tcPr>
                <w:p w14:paraId="181235EE">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hint="default" w:ascii="Times New Roman" w:eastAsia="宋体"/>
                      <w:b w:val="0"/>
                      <w:bCs/>
                      <w:color w:val="auto"/>
                      <w:sz w:val="21"/>
                      <w:szCs w:val="21"/>
                      <w:lang w:val="en-US" w:eastAsia="zh-CN"/>
                    </w:rPr>
                  </w:pPr>
                  <w:r>
                    <w:rPr>
                      <w:rFonts w:hint="eastAsia" w:ascii="Times New Roman"/>
                      <w:b w:val="0"/>
                      <w:bCs/>
                      <w:color w:val="auto"/>
                      <w:sz w:val="21"/>
                      <w:szCs w:val="21"/>
                      <w:lang w:val="en-US" w:eastAsia="zh-CN"/>
                    </w:rPr>
                    <w:t>20</w:t>
                  </w:r>
                </w:p>
              </w:tc>
              <w:tc>
                <w:tcPr>
                  <w:tcW w:w="2977" w:type="pct"/>
                  <w:noWrap w:val="0"/>
                  <w:vAlign w:val="center"/>
                </w:tcPr>
                <w:p w14:paraId="3B867C4B">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kern w:val="2"/>
                      <w:sz w:val="21"/>
                      <w:szCs w:val="21"/>
                      <w:lang w:val="en-US" w:eastAsia="zh-CN" w:bidi="ar-SA"/>
                    </w:rPr>
                  </w:pPr>
                  <w:r>
                    <w:rPr>
                      <w:rFonts w:ascii="Times New Roman" w:hAnsi="Times New Roman" w:cs="Times New Roman"/>
                      <w:b w:val="0"/>
                      <w:bCs/>
                      <w:color w:val="auto"/>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341" w:type="pct"/>
                  <w:noWrap w:val="0"/>
                  <w:vAlign w:val="center"/>
                </w:tcPr>
                <w:p w14:paraId="132F1EF9">
                  <w:pPr>
                    <w:pStyle w:val="42"/>
                    <w:keepNext w:val="0"/>
                    <w:keepLines w:val="0"/>
                    <w:pageBreakBefore w:val="0"/>
                    <w:kinsoku/>
                    <w:wordWrap/>
                    <w:overflowPunct/>
                    <w:topLinePunct w:val="0"/>
                    <w:autoSpaceDE w:val="0"/>
                    <w:autoSpaceDN/>
                    <w:bidi w:val="0"/>
                    <w:adjustRightInd w:val="0"/>
                    <w:snapToGrid w:val="0"/>
                    <w:spacing w:line="240" w:lineRule="auto"/>
                    <w:ind w:firstLine="0" w:firstLineChars="0"/>
                    <w:jc w:val="center"/>
                    <w:textAlignment w:val="auto"/>
                    <w:rPr>
                      <w:rFonts w:ascii="Times New Roman" w:hAnsi="Times New Roman" w:cs="Times New Roman"/>
                      <w:b w:val="0"/>
                      <w:bCs/>
                      <w:color w:val="auto"/>
                      <w:kern w:val="2"/>
                      <w:sz w:val="21"/>
                      <w:szCs w:val="21"/>
                      <w:lang w:val="en-US" w:eastAsia="zh-CN" w:bidi="ar-SA"/>
                    </w:rPr>
                  </w:pPr>
                  <w:r>
                    <w:rPr>
                      <w:rFonts w:ascii="Times New Roman" w:hAnsi="Times New Roman" w:cs="Times New Roman"/>
                      <w:b w:val="0"/>
                      <w:bCs/>
                      <w:color w:val="auto"/>
                      <w:sz w:val="21"/>
                      <w:szCs w:val="21"/>
                    </w:rPr>
                    <w:t>本项目不属于《产业结构调整指导目录》、《江苏省产业结构调整限制、淘汰和禁止目录》及其他相关法律法规中的限制类、淘汰类、禁止类项目。</w:t>
                  </w:r>
                </w:p>
              </w:tc>
              <w:tc>
                <w:tcPr>
                  <w:tcW w:w="438" w:type="pct"/>
                  <w:noWrap w:val="0"/>
                  <w:vAlign w:val="center"/>
                </w:tcPr>
                <w:p w14:paraId="4B5CEFD5">
                  <w:pPr>
                    <w:pStyle w:val="41"/>
                    <w:keepNext w:val="0"/>
                    <w:keepLines w:val="0"/>
                    <w:pageBreakBefore w:val="0"/>
                    <w:kinsoku/>
                    <w:wordWrap/>
                    <w:overflowPunct/>
                    <w:topLinePunct w:val="0"/>
                    <w:autoSpaceDN/>
                    <w:bidi w:val="0"/>
                    <w:adjustRightInd w:val="0"/>
                    <w:snapToGrid w:val="0"/>
                    <w:spacing w:beforeLines="0" w:afterLines="0" w:line="240" w:lineRule="auto"/>
                    <w:jc w:val="center"/>
                    <w:textAlignment w:val="auto"/>
                    <w:rPr>
                      <w:rFonts w:ascii="Times New Roman"/>
                      <w:b w:val="0"/>
                      <w:bCs/>
                      <w:color w:val="auto"/>
                      <w:kern w:val="0"/>
                      <w:sz w:val="21"/>
                      <w:szCs w:val="21"/>
                      <w:lang w:val="en-US" w:eastAsia="zh-CN" w:bidi="ar-SA"/>
                    </w:rPr>
                  </w:pPr>
                  <w:r>
                    <w:rPr>
                      <w:rFonts w:ascii="Times New Roman"/>
                      <w:b w:val="0"/>
                      <w:bCs/>
                      <w:color w:val="auto"/>
                      <w:sz w:val="21"/>
                      <w:szCs w:val="21"/>
                    </w:rPr>
                    <w:t>相符</w:t>
                  </w:r>
                </w:p>
              </w:tc>
            </w:tr>
          </w:tbl>
          <w:p w14:paraId="2A76DF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Cs w:val="21"/>
              </w:rPr>
            </w:pPr>
            <w:r>
              <w:rPr>
                <w:rFonts w:hint="eastAsia"/>
                <w:color w:val="auto"/>
                <w:szCs w:val="21"/>
              </w:rPr>
              <w:t>B：</w:t>
            </w:r>
            <w:r>
              <w:rPr>
                <w:color w:val="auto"/>
                <w:szCs w:val="21"/>
              </w:rPr>
              <w:t>对照</w:t>
            </w:r>
            <w:r>
              <w:rPr>
                <w:rFonts w:hint="eastAsia" w:hAnsi="宋体"/>
                <w:color w:val="auto"/>
              </w:rPr>
              <w:t>《市场准入负面清单》（2022年版）</w:t>
            </w:r>
            <w:r>
              <w:rPr>
                <w:color w:val="auto"/>
                <w:szCs w:val="21"/>
              </w:rPr>
              <w:t>，本项目属于C3392</w:t>
            </w:r>
            <w:r>
              <w:rPr>
                <w:rFonts w:hint="eastAsia"/>
                <w:color w:val="auto"/>
                <w:szCs w:val="21"/>
              </w:rPr>
              <w:t>有色金属铸造</w:t>
            </w:r>
            <w:r>
              <w:rPr>
                <w:color w:val="auto"/>
                <w:szCs w:val="21"/>
              </w:rPr>
              <w:t>，不在其禁止项目范围内，</w:t>
            </w:r>
            <w:r>
              <w:rPr>
                <w:rFonts w:hint="eastAsia" w:hAnsi="宋体"/>
                <w:color w:val="auto"/>
              </w:rPr>
              <w:t>生产过程中三废均得到有效处置，不会对周围环境造成负面影响，</w:t>
            </w:r>
            <w:r>
              <w:rPr>
                <w:color w:val="auto"/>
                <w:szCs w:val="21"/>
              </w:rPr>
              <w:t>因此符合</w:t>
            </w:r>
            <w:r>
              <w:rPr>
                <w:rFonts w:hint="eastAsia" w:hAnsi="宋体"/>
                <w:color w:val="auto"/>
              </w:rPr>
              <w:t>《市场准入负面清单》（2022年版）</w:t>
            </w:r>
            <w:r>
              <w:rPr>
                <w:color w:val="auto"/>
                <w:szCs w:val="21"/>
              </w:rPr>
              <w:t>相关要求。</w:t>
            </w:r>
          </w:p>
          <w:p w14:paraId="58A381B4">
            <w:pPr>
              <w:spacing w:line="360" w:lineRule="auto"/>
              <w:ind w:firstLine="422" w:firstLineChars="200"/>
              <w:rPr>
                <w:b/>
                <w:bCs/>
                <w:color w:val="auto"/>
              </w:rPr>
            </w:pPr>
            <w:r>
              <w:rPr>
                <w:b/>
                <w:bCs/>
                <w:color w:val="auto"/>
              </w:rPr>
              <w:t>4、与“三线一单”生态环境分区管控方案相符性分析</w:t>
            </w:r>
          </w:p>
          <w:p w14:paraId="2B1FF26C">
            <w:pPr>
              <w:snapToGrid w:val="0"/>
              <w:spacing w:line="360" w:lineRule="auto"/>
              <w:ind w:firstLine="420" w:firstLineChars="200"/>
              <w:rPr>
                <w:rFonts w:hint="default" w:ascii="宋体" w:hAnsi="宋体" w:eastAsia="宋体"/>
                <w:color w:val="auto"/>
                <w:shd w:val="clear" w:color="auto" w:fill="auto"/>
                <w:lang w:val="en-US" w:eastAsia="zh-CN"/>
              </w:rPr>
            </w:pPr>
            <w:r>
              <w:rPr>
                <w:rFonts w:hint="eastAsia" w:ascii="宋体" w:hAnsi="宋体"/>
                <w:color w:val="auto"/>
                <w:shd w:val="clear" w:color="auto" w:fill="auto"/>
                <w:lang w:val="en-US" w:eastAsia="zh-CN"/>
              </w:rPr>
              <w:t>本项目</w:t>
            </w:r>
            <w:r>
              <w:rPr>
                <w:rFonts w:ascii="宋体" w:hAnsi="宋体"/>
                <w:color w:val="auto"/>
                <w:shd w:val="clear" w:color="auto" w:fill="auto"/>
              </w:rPr>
              <w:t>与</w:t>
            </w:r>
            <w:r>
              <w:rPr>
                <w:rFonts w:hint="eastAsia" w:ascii="宋体" w:hAnsi="宋体"/>
                <w:color w:val="auto"/>
                <w:shd w:val="clear" w:color="auto" w:fill="auto"/>
              </w:rPr>
              <w:t>《市政府办公室关于印发</w:t>
            </w:r>
            <w:r>
              <w:rPr>
                <w:rFonts w:hint="eastAsia" w:hAnsi="宋体"/>
                <w:color w:val="auto"/>
                <w:shd w:val="clear" w:color="auto" w:fill="auto"/>
                <w:lang w:val="en-US" w:eastAsia="zh-CN"/>
              </w:rPr>
              <w:t>如皋市</w:t>
            </w:r>
            <w:r>
              <w:rPr>
                <w:color w:val="auto"/>
                <w:shd w:val="clear" w:color="auto" w:fill="auto"/>
              </w:rPr>
              <w:t>“</w:t>
            </w:r>
            <w:r>
              <w:rPr>
                <w:rFonts w:hAnsi="宋体"/>
                <w:color w:val="auto"/>
                <w:shd w:val="clear" w:color="auto" w:fill="auto"/>
              </w:rPr>
              <w:t>三线一单</w:t>
            </w:r>
            <w:r>
              <w:rPr>
                <w:color w:val="auto"/>
                <w:shd w:val="clear" w:color="auto" w:fill="auto"/>
              </w:rPr>
              <w:t xml:space="preserve">” </w:t>
            </w:r>
            <w:r>
              <w:rPr>
                <w:rFonts w:hAnsi="宋体"/>
                <w:color w:val="auto"/>
                <w:shd w:val="clear" w:color="auto" w:fill="auto"/>
              </w:rPr>
              <w:t>生态环境分区管控实施方案的通知》（</w:t>
            </w:r>
            <w:r>
              <w:rPr>
                <w:rFonts w:hint="eastAsia" w:hAnsi="宋体"/>
                <w:color w:val="auto"/>
                <w:shd w:val="clear" w:color="auto" w:fill="auto"/>
                <w:lang w:val="en-US" w:eastAsia="zh-CN"/>
              </w:rPr>
              <w:t>皋</w:t>
            </w:r>
            <w:r>
              <w:rPr>
                <w:rFonts w:hAnsi="宋体"/>
                <w:color w:val="auto"/>
                <w:shd w:val="clear" w:color="auto" w:fill="auto"/>
              </w:rPr>
              <w:t>政办</w:t>
            </w:r>
            <w:r>
              <w:rPr>
                <w:rFonts w:hint="eastAsia" w:hAnsi="宋体"/>
                <w:color w:val="auto"/>
                <w:shd w:val="clear" w:color="auto" w:fill="auto"/>
                <w:lang w:val="en-US" w:eastAsia="zh-CN"/>
              </w:rPr>
              <w:t>发</w:t>
            </w:r>
            <w:r>
              <w:rPr>
                <w:rFonts w:hAnsi="宋体"/>
                <w:color w:val="auto"/>
                <w:shd w:val="clear" w:color="auto" w:fill="auto"/>
              </w:rPr>
              <w:t>〔</w:t>
            </w:r>
            <w:r>
              <w:rPr>
                <w:color w:val="auto"/>
                <w:shd w:val="clear" w:color="auto" w:fill="auto"/>
              </w:rPr>
              <w:t>2021</w:t>
            </w:r>
            <w:r>
              <w:rPr>
                <w:rFonts w:hAnsi="宋体"/>
                <w:color w:val="auto"/>
                <w:shd w:val="clear" w:color="auto" w:fill="auto"/>
              </w:rPr>
              <w:t>〕</w:t>
            </w:r>
            <w:r>
              <w:rPr>
                <w:rFonts w:hint="eastAsia"/>
                <w:color w:val="auto"/>
                <w:shd w:val="clear" w:color="auto" w:fill="auto"/>
                <w:lang w:val="en-US" w:eastAsia="zh-CN"/>
              </w:rPr>
              <w:t>166</w:t>
            </w:r>
            <w:r>
              <w:rPr>
                <w:rFonts w:hAnsi="宋体"/>
                <w:color w:val="auto"/>
                <w:shd w:val="clear" w:color="auto" w:fill="auto"/>
              </w:rPr>
              <w:t>号</w:t>
            </w:r>
            <w:r>
              <w:rPr>
                <w:rFonts w:hint="eastAsia" w:ascii="宋体" w:hAnsi="宋体"/>
                <w:color w:val="auto"/>
                <w:shd w:val="clear" w:color="auto" w:fill="auto"/>
              </w:rPr>
              <w:t>）的相符性分析</w:t>
            </w:r>
            <w:r>
              <w:rPr>
                <w:rFonts w:hint="eastAsia" w:ascii="宋体" w:hAnsi="宋体"/>
                <w:color w:val="auto"/>
                <w:shd w:val="clear" w:color="auto" w:fill="auto"/>
                <w:lang w:val="en-US" w:eastAsia="zh-CN"/>
              </w:rPr>
              <w:t>见下表。</w:t>
            </w:r>
          </w:p>
          <w:p w14:paraId="3640E216">
            <w:pPr>
              <w:spacing w:line="360" w:lineRule="auto"/>
              <w:ind w:firstLine="420" w:firstLineChars="200"/>
              <w:rPr>
                <w:rFonts w:hint="eastAsia"/>
                <w:color w:val="auto"/>
                <w:shd w:val="clear" w:color="auto" w:fill="auto"/>
              </w:rPr>
            </w:pPr>
            <w:r>
              <w:rPr>
                <w:rFonts w:hint="eastAsia"/>
                <w:bCs/>
                <w:color w:val="auto"/>
                <w:szCs w:val="21"/>
              </w:rPr>
              <w:t>本项目位于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bCs/>
                <w:color w:val="auto"/>
                <w:szCs w:val="21"/>
              </w:rPr>
              <w:t>，属于一般管控区，</w:t>
            </w:r>
            <w:r>
              <w:rPr>
                <w:rFonts w:hint="eastAsia"/>
                <w:color w:val="auto"/>
              </w:rPr>
              <w:t>生态环境分区管控要求，具体分析如下表</w:t>
            </w:r>
            <w:r>
              <w:rPr>
                <w:rFonts w:hint="eastAsia"/>
                <w:color w:val="auto"/>
                <w:shd w:val="clear" w:color="auto" w:fill="auto"/>
              </w:rPr>
              <w:t>。</w:t>
            </w:r>
          </w:p>
          <w:p w14:paraId="724B6399">
            <w:pPr>
              <w:jc w:val="center"/>
              <w:rPr>
                <w:b/>
                <w:color w:val="auto"/>
                <w:szCs w:val="21"/>
              </w:rPr>
            </w:pPr>
            <w:r>
              <w:rPr>
                <w:b/>
                <w:color w:val="auto"/>
                <w:szCs w:val="21"/>
              </w:rPr>
              <w:t>表1-</w:t>
            </w:r>
            <w:r>
              <w:rPr>
                <w:rFonts w:hint="eastAsia"/>
                <w:b/>
                <w:color w:val="auto"/>
                <w:szCs w:val="21"/>
                <w:lang w:val="en-US" w:eastAsia="zh-CN"/>
              </w:rPr>
              <w:t>4</w:t>
            </w:r>
            <w:r>
              <w:rPr>
                <w:b/>
                <w:color w:val="auto"/>
                <w:szCs w:val="21"/>
              </w:rPr>
              <w:t xml:space="preserve">  与</w:t>
            </w:r>
            <w:r>
              <w:rPr>
                <w:rFonts w:hint="eastAsia"/>
                <w:b/>
                <w:color w:val="auto"/>
                <w:szCs w:val="21"/>
              </w:rPr>
              <w:t>如皋市生态环境管控要求</w:t>
            </w:r>
            <w:r>
              <w:rPr>
                <w:b/>
                <w:color w:val="auto"/>
                <w:szCs w:val="21"/>
              </w:rPr>
              <w:t>相符性</w:t>
            </w:r>
          </w:p>
          <w:tbl>
            <w:tblPr>
              <w:tblStyle w:val="25"/>
              <w:tblW w:w="74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375"/>
              <w:gridCol w:w="2640"/>
              <w:gridCol w:w="720"/>
            </w:tblGrid>
            <w:tr w14:paraId="495A5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pct"/>
                  <w:noWrap/>
                  <w:vAlign w:val="center"/>
                </w:tcPr>
                <w:p w14:paraId="2FB0A321">
                  <w:pPr>
                    <w:adjustRightInd w:val="0"/>
                    <w:snapToGrid w:val="0"/>
                    <w:rPr>
                      <w:rFonts w:hint="eastAsia" w:ascii="Times New Roman" w:hAnsi="Times New Roman" w:eastAsia="宋体" w:cs="Times New Roman"/>
                      <w:b/>
                      <w:bCs/>
                      <w:color w:val="auto"/>
                      <w:szCs w:val="21"/>
                      <w:shd w:val="clear" w:color="auto" w:fill="auto"/>
                      <w:lang w:val="en-US" w:eastAsia="zh-CN"/>
                    </w:rPr>
                  </w:pPr>
                  <w:r>
                    <w:rPr>
                      <w:rFonts w:hint="eastAsia" w:ascii="Times New Roman" w:hAnsi="Times New Roman" w:eastAsia="宋体" w:cs="Times New Roman"/>
                      <w:b/>
                      <w:bCs/>
                      <w:color w:val="auto"/>
                      <w:szCs w:val="21"/>
                      <w:shd w:val="clear" w:color="auto" w:fill="auto"/>
                      <w:lang w:val="en-US" w:eastAsia="zh-CN"/>
                    </w:rPr>
                    <w:t>管控类别</w:t>
                  </w:r>
                </w:p>
              </w:tc>
              <w:tc>
                <w:tcPr>
                  <w:tcW w:w="2280" w:type="pct"/>
                  <w:noWrap/>
                  <w:vAlign w:val="center"/>
                </w:tcPr>
                <w:p w14:paraId="152CDD76">
                  <w:pPr>
                    <w:adjustRightInd w:val="0"/>
                    <w:snapToGrid w:val="0"/>
                    <w:jc w:val="center"/>
                    <w:rPr>
                      <w:rFonts w:hint="eastAsia" w:ascii="Times New Roman" w:hAnsi="Times New Roman" w:eastAsia="宋体" w:cs="Times New Roman"/>
                      <w:b/>
                      <w:bCs/>
                      <w:color w:val="auto"/>
                      <w:szCs w:val="21"/>
                      <w:shd w:val="clear" w:color="auto" w:fill="auto"/>
                      <w:lang w:val="en-US" w:eastAsia="zh-CN"/>
                    </w:rPr>
                  </w:pPr>
                  <w:r>
                    <w:rPr>
                      <w:rFonts w:hint="eastAsia" w:ascii="Times New Roman" w:hAnsi="Times New Roman" w:eastAsia="宋体" w:cs="Times New Roman"/>
                      <w:b/>
                      <w:bCs/>
                      <w:color w:val="auto"/>
                      <w:szCs w:val="21"/>
                      <w:shd w:val="clear" w:color="auto" w:fill="auto"/>
                      <w:lang w:val="en-US" w:eastAsia="zh-CN"/>
                    </w:rPr>
                    <w:t>管控要求</w:t>
                  </w:r>
                </w:p>
              </w:tc>
              <w:tc>
                <w:tcPr>
                  <w:tcW w:w="1783" w:type="pct"/>
                  <w:noWrap/>
                  <w:vAlign w:val="center"/>
                </w:tcPr>
                <w:p w14:paraId="7ADD6BA3">
                  <w:pPr>
                    <w:adjustRightInd w:val="0"/>
                    <w:snapToGrid w:val="0"/>
                    <w:jc w:val="center"/>
                    <w:rPr>
                      <w:rFonts w:hint="eastAsia" w:ascii="Times New Roman" w:hAnsi="Times New Roman" w:eastAsia="宋体" w:cs="Times New Roman"/>
                      <w:b/>
                      <w:bCs/>
                      <w:color w:val="auto"/>
                      <w:szCs w:val="21"/>
                      <w:shd w:val="clear" w:color="auto" w:fill="auto"/>
                      <w:lang w:val="en-US" w:eastAsia="zh-CN"/>
                    </w:rPr>
                  </w:pPr>
                  <w:r>
                    <w:rPr>
                      <w:rFonts w:hint="eastAsia" w:ascii="Times New Roman" w:hAnsi="Times New Roman" w:eastAsia="宋体" w:cs="Times New Roman"/>
                      <w:b/>
                      <w:bCs/>
                      <w:color w:val="auto"/>
                      <w:szCs w:val="21"/>
                      <w:shd w:val="clear" w:color="auto" w:fill="auto"/>
                      <w:lang w:val="en-US" w:eastAsia="zh-CN"/>
                    </w:rPr>
                    <w:t>本项目概况</w:t>
                  </w:r>
                </w:p>
              </w:tc>
              <w:tc>
                <w:tcPr>
                  <w:tcW w:w="486" w:type="pct"/>
                  <w:noWrap/>
                  <w:vAlign w:val="center"/>
                </w:tcPr>
                <w:p w14:paraId="3D81C480">
                  <w:pPr>
                    <w:adjustRightInd w:val="0"/>
                    <w:snapToGrid w:val="0"/>
                    <w:jc w:val="center"/>
                    <w:rPr>
                      <w:rFonts w:hint="eastAsia" w:ascii="Times New Roman" w:hAnsi="Times New Roman" w:eastAsia="宋体" w:cs="Times New Roman"/>
                      <w:b/>
                      <w:bCs/>
                      <w:color w:val="auto"/>
                      <w:szCs w:val="21"/>
                      <w:shd w:val="clear" w:color="auto" w:fill="auto"/>
                      <w:lang w:val="en-US" w:eastAsia="zh-CN"/>
                    </w:rPr>
                  </w:pPr>
                  <w:r>
                    <w:rPr>
                      <w:rFonts w:hint="eastAsia" w:ascii="Times New Roman" w:hAnsi="Times New Roman" w:eastAsia="宋体" w:cs="Times New Roman"/>
                      <w:b/>
                      <w:bCs/>
                      <w:color w:val="auto"/>
                      <w:szCs w:val="21"/>
                      <w:shd w:val="clear" w:color="auto" w:fill="auto"/>
                      <w:lang w:val="en-US" w:eastAsia="zh-CN"/>
                    </w:rPr>
                    <w:t>是否符合</w:t>
                  </w:r>
                </w:p>
              </w:tc>
            </w:tr>
            <w:tr w14:paraId="1BD05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pct"/>
                  <w:noWrap/>
                  <w:vAlign w:val="center"/>
                </w:tcPr>
                <w:p w14:paraId="7220BE8F">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空间布局约束</w:t>
                  </w:r>
                </w:p>
              </w:tc>
              <w:tc>
                <w:tcPr>
                  <w:tcW w:w="2280" w:type="pct"/>
                  <w:noWrap/>
                  <w:vAlign w:val="center"/>
                </w:tcPr>
                <w:p w14:paraId="02DA1CA4">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1.各类开发建设活动应符合如皋市、</w:t>
                  </w:r>
                  <w:r>
                    <w:rPr>
                      <w:rFonts w:hint="eastAsia" w:cs="Times New Roman"/>
                      <w:color w:val="auto"/>
                      <w:szCs w:val="21"/>
                      <w:shd w:val="clear" w:color="auto" w:fill="auto"/>
                      <w:lang w:val="en-US" w:eastAsia="zh-CN"/>
                    </w:rPr>
                    <w:t>城北街道</w:t>
                  </w:r>
                  <w:r>
                    <w:rPr>
                      <w:rFonts w:hint="eastAsia" w:ascii="Times New Roman" w:hAnsi="Times New Roman" w:eastAsia="宋体" w:cs="Times New Roman"/>
                      <w:color w:val="auto"/>
                      <w:szCs w:val="21"/>
                      <w:shd w:val="clear" w:color="auto" w:fill="auto"/>
                      <w:lang w:val="en-US" w:eastAsia="zh-CN"/>
                    </w:rPr>
                    <w:t>国土空间总体规划、控制性详细规划等相关要求。</w:t>
                  </w:r>
                </w:p>
                <w:p w14:paraId="73323553">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2.位于通榆河流域的建设项目，符合《江苏省通榆河水污染防治条例》等相关要求。</w:t>
                  </w:r>
                </w:p>
              </w:tc>
              <w:tc>
                <w:tcPr>
                  <w:tcW w:w="1783" w:type="pct"/>
                  <w:noWrap/>
                  <w:vAlign w:val="center"/>
                </w:tcPr>
                <w:p w14:paraId="6903CB01">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ascii="Times New Roman" w:hAnsi="Times New Roman" w:eastAsia="宋体" w:cs="Times New Roman"/>
                      <w:color w:val="auto"/>
                      <w:szCs w:val="21"/>
                      <w:shd w:val="clear" w:color="auto" w:fill="auto"/>
                      <w:lang w:val="en-US" w:eastAsia="zh-CN"/>
                    </w:rPr>
                    <w:t>，根据选址与用地规划相容性分析，本项目符合如皋市、城北街道国土空间总体规划、控制性详细规划等相关要求。</w:t>
                  </w:r>
                </w:p>
                <w:p w14:paraId="7EA6DADB">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项目不属于通榆河流域。</w:t>
                  </w:r>
                </w:p>
              </w:tc>
              <w:tc>
                <w:tcPr>
                  <w:tcW w:w="486" w:type="pct"/>
                  <w:noWrap/>
                  <w:vAlign w:val="center"/>
                </w:tcPr>
                <w:p w14:paraId="24E9E38F">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14:paraId="2F4D8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pct"/>
                  <w:noWrap/>
                  <w:vAlign w:val="center"/>
                </w:tcPr>
                <w:p w14:paraId="280D71A2">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污染物排放管控</w:t>
                  </w:r>
                </w:p>
              </w:tc>
              <w:tc>
                <w:tcPr>
                  <w:tcW w:w="2280" w:type="pct"/>
                  <w:noWrap/>
                  <w:vAlign w:val="center"/>
                </w:tcPr>
                <w:p w14:paraId="34A7563B">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1.落实污染物总量控制制度，根据区域环境质量改善目标，削减污染物排放总量。</w:t>
                  </w:r>
                </w:p>
                <w:p w14:paraId="155E2480">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2.开展管网排查，提升污水收集效率。强化餐饮油烟治理，加强噪声污染防治，严格施工扬尘监管，加强土壤和地下水污染防治与修复。</w:t>
                  </w:r>
                </w:p>
                <w:p w14:paraId="26C10718">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3.加强农业面源污染治理，严格控制化肥农药施加量，合理水产养殖布局，控制水产养殖污染，逐步削减农业面源污染物排放量。</w:t>
                  </w:r>
                </w:p>
              </w:tc>
              <w:tc>
                <w:tcPr>
                  <w:tcW w:w="1783" w:type="pct"/>
                  <w:noWrap/>
                  <w:vAlign w:val="center"/>
                </w:tcPr>
                <w:p w14:paraId="00920B20">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本项目属于简化管理，项目建成后将实施污染物总量控制，新增大气污染物总量和水污染物总量能在如皋市范围内平衡。故不会突破生态环境承载力。</w:t>
                  </w:r>
                </w:p>
              </w:tc>
              <w:tc>
                <w:tcPr>
                  <w:tcW w:w="486" w:type="pct"/>
                  <w:noWrap/>
                  <w:vAlign w:val="center"/>
                </w:tcPr>
                <w:p w14:paraId="6C0E9831">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14:paraId="0BEA5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pct"/>
                  <w:noWrap/>
                  <w:vAlign w:val="center"/>
                </w:tcPr>
                <w:p w14:paraId="092C6F47">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环境风险防控</w:t>
                  </w:r>
                </w:p>
              </w:tc>
              <w:tc>
                <w:tcPr>
                  <w:tcW w:w="2280" w:type="pct"/>
                  <w:noWrap/>
                  <w:vAlign w:val="center"/>
                </w:tcPr>
                <w:p w14:paraId="13248614">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1.加强环境风险防范应急体系建设，加强环境应急预案管理，定期开展应急演练，持续开展环境安全隐患排查整治，提升应急监测能力，加强应急物资管理。</w:t>
                  </w:r>
                </w:p>
                <w:p w14:paraId="05B1163F">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2.合理布局商业、居住、科教等功能区块，严格控制噪声、恶臭、油烟等污染排放较大的建设项目布局。</w:t>
                  </w:r>
                </w:p>
              </w:tc>
              <w:tc>
                <w:tcPr>
                  <w:tcW w:w="1783" w:type="pct"/>
                  <w:noWrap/>
                  <w:vAlign w:val="center"/>
                </w:tcPr>
                <w:p w14:paraId="5E3A65A1">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本项目建成后将制定环境风险应急预案，同时企业内将储备有足够的环境应急物资，实现环境风险联防联控，故能满足环境风险防控的相关要求。</w:t>
                  </w:r>
                </w:p>
              </w:tc>
              <w:tc>
                <w:tcPr>
                  <w:tcW w:w="486" w:type="pct"/>
                  <w:noWrap/>
                  <w:vAlign w:val="center"/>
                </w:tcPr>
                <w:p w14:paraId="61EDCA8B">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14:paraId="5B315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pct"/>
                  <w:noWrap/>
                  <w:vAlign w:val="center"/>
                </w:tcPr>
                <w:p w14:paraId="23A64DE3">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资源利用效率要求</w:t>
                  </w:r>
                </w:p>
              </w:tc>
              <w:tc>
                <w:tcPr>
                  <w:tcW w:w="2280" w:type="pct"/>
                  <w:noWrap/>
                  <w:vAlign w:val="center"/>
                </w:tcPr>
                <w:p w14:paraId="4A941668">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1.优化能源结构，加强能源清洁利用，提高资源能源使用效率，万元GDP能耗、万元GDP用水量等指标达到市定目标。</w:t>
                  </w:r>
                </w:p>
                <w:p w14:paraId="2BD4687F">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2.提高土地利用效率、节约集约利用土地资源。</w:t>
                  </w:r>
                </w:p>
                <w:p w14:paraId="6C98E663">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3.严格执行《关于划定高污染燃料禁燃区的通知》（皋政发〔2013〕162号）的相关要求，落实相应的禁燃区管控要求。禁止销售使用燃料为“Ⅱ类”（较严），具体包括：除单台出力大于等于20蒸吨/小时锅炉以外燃用的煤炭及其制品；石油焦、油页岩、原油、重油、渣油、煤焦油。</w:t>
                  </w:r>
                </w:p>
              </w:tc>
              <w:tc>
                <w:tcPr>
                  <w:tcW w:w="1783" w:type="pct"/>
                  <w:noWrap/>
                  <w:vAlign w:val="center"/>
                </w:tcPr>
                <w:p w14:paraId="1482CDD6">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本项目万元GDP能耗、万元GDP用水量等指标达到市定目标。</w:t>
                  </w:r>
                </w:p>
                <w:p w14:paraId="4008E493">
                  <w:pPr>
                    <w:adjustRightInd w:val="0"/>
                    <w:snapToGrid w:val="0"/>
                    <w:ind w:firstLine="42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项目租赁厂房生产，不新征用地，项目使用电能，不使用Ⅱ类燃料，不涉及锅炉。</w:t>
                  </w:r>
                </w:p>
              </w:tc>
              <w:tc>
                <w:tcPr>
                  <w:tcW w:w="486" w:type="pct"/>
                  <w:noWrap/>
                  <w:vAlign w:val="center"/>
                </w:tcPr>
                <w:p w14:paraId="7E553203">
                  <w:pPr>
                    <w:adjustRightInd w:val="0"/>
                    <w:snapToGrid w:val="0"/>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bl>
          <w:p w14:paraId="00475C6E">
            <w:pPr>
              <w:spacing w:line="360" w:lineRule="auto"/>
              <w:ind w:firstLine="420" w:firstLineChars="200"/>
              <w:rPr>
                <w:rFonts w:hint="eastAsia"/>
                <w:color w:val="auto"/>
              </w:rPr>
            </w:pPr>
            <w:r>
              <w:rPr>
                <w:rFonts w:hint="eastAsia"/>
                <w:color w:val="auto"/>
              </w:rPr>
              <w:t>综上，本项目符合如皋市“三线一单”相关要求。</w:t>
            </w:r>
          </w:p>
          <w:p w14:paraId="67C97BDE">
            <w:pPr>
              <w:adjustRightInd w:val="0"/>
              <w:snapToGrid w:val="0"/>
              <w:spacing w:line="360" w:lineRule="auto"/>
              <w:ind w:firstLine="422" w:firstLineChars="200"/>
              <w:jc w:val="left"/>
              <w:rPr>
                <w:b/>
                <w:bCs/>
                <w:color w:val="auto"/>
                <w:szCs w:val="21"/>
              </w:rPr>
            </w:pPr>
            <w:r>
              <w:rPr>
                <w:rFonts w:hint="eastAsia"/>
                <w:b/>
                <w:bCs/>
                <w:color w:val="auto"/>
                <w:szCs w:val="21"/>
              </w:rPr>
              <w:t>5、与</w:t>
            </w:r>
            <w:r>
              <w:rPr>
                <w:b/>
                <w:bCs/>
                <w:color w:val="auto"/>
                <w:szCs w:val="21"/>
              </w:rPr>
              <w:t>《江苏省2023年度生态环境分区管控动态更新成果》</w:t>
            </w:r>
            <w:r>
              <w:rPr>
                <w:rFonts w:hint="eastAsia"/>
                <w:b/>
                <w:bCs/>
                <w:color w:val="auto"/>
                <w:szCs w:val="21"/>
              </w:rPr>
              <w:t>及《南通市</w:t>
            </w:r>
            <w:r>
              <w:rPr>
                <w:b/>
                <w:bCs/>
                <w:color w:val="auto"/>
                <w:szCs w:val="21"/>
              </w:rPr>
              <w:t>生态环境分区管控动态更新成果</w:t>
            </w:r>
            <w:r>
              <w:rPr>
                <w:rFonts w:hint="eastAsia"/>
                <w:b/>
                <w:bCs/>
                <w:color w:val="auto"/>
                <w:szCs w:val="21"/>
              </w:rPr>
              <w:t>（2023年）》</w:t>
            </w:r>
            <w:r>
              <w:rPr>
                <w:b/>
                <w:bCs/>
                <w:color w:val="auto"/>
                <w:szCs w:val="21"/>
              </w:rPr>
              <w:t>的相符性分析</w:t>
            </w:r>
          </w:p>
          <w:p w14:paraId="0E0E2848">
            <w:pPr>
              <w:adjustRightInd w:val="0"/>
              <w:snapToGrid w:val="0"/>
              <w:spacing w:line="360" w:lineRule="auto"/>
              <w:ind w:firstLine="420" w:firstLineChars="200"/>
              <w:jc w:val="left"/>
              <w:rPr>
                <w:b/>
                <w:color w:val="auto"/>
                <w:szCs w:val="21"/>
              </w:rPr>
            </w:pPr>
            <w:r>
              <w:rPr>
                <w:rFonts w:hint="eastAsia"/>
                <w:color w:val="auto"/>
                <w:szCs w:val="21"/>
              </w:rPr>
              <w:t>根据《江苏省2023年度生态环境分区管控动态更新成果》及《南通市</w:t>
            </w:r>
            <w:r>
              <w:rPr>
                <w:color w:val="auto"/>
                <w:szCs w:val="21"/>
              </w:rPr>
              <w:t>生态环境分区管控动态更新成果</w:t>
            </w:r>
            <w:r>
              <w:rPr>
                <w:rFonts w:hint="eastAsia"/>
                <w:color w:val="auto"/>
                <w:szCs w:val="21"/>
              </w:rPr>
              <w:t>（2023年）》：本项目位于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bCs/>
                <w:color w:val="auto"/>
                <w:szCs w:val="21"/>
              </w:rPr>
              <w:t>，属于一般管控区</w:t>
            </w:r>
            <w:r>
              <w:rPr>
                <w:rFonts w:hint="eastAsia"/>
                <w:color w:val="auto"/>
                <w:szCs w:val="21"/>
              </w:rPr>
              <w:t>，相符性分析如下：</w:t>
            </w:r>
          </w:p>
          <w:p w14:paraId="605C8728">
            <w:pPr>
              <w:adjustRightInd w:val="0"/>
              <w:snapToGrid w:val="0"/>
              <w:jc w:val="center"/>
              <w:rPr>
                <w:b/>
                <w:color w:val="auto"/>
                <w:szCs w:val="21"/>
              </w:rPr>
            </w:pPr>
            <w:r>
              <w:rPr>
                <w:b/>
                <w:color w:val="auto"/>
                <w:szCs w:val="21"/>
              </w:rPr>
              <w:t>表1-</w:t>
            </w:r>
            <w:r>
              <w:rPr>
                <w:rFonts w:hint="eastAsia"/>
                <w:b/>
                <w:color w:val="auto"/>
                <w:szCs w:val="21"/>
              </w:rPr>
              <w:t>5</w:t>
            </w:r>
            <w:r>
              <w:rPr>
                <w:b/>
                <w:color w:val="auto"/>
                <w:szCs w:val="21"/>
              </w:rPr>
              <w:t>与《江苏省2023年度生态环境分区管控动态更新成果》</w:t>
            </w:r>
            <w:r>
              <w:rPr>
                <w:rFonts w:hint="eastAsia"/>
                <w:b/>
                <w:color w:val="auto"/>
                <w:szCs w:val="21"/>
              </w:rPr>
              <w:t>及《南通市</w:t>
            </w:r>
            <w:r>
              <w:rPr>
                <w:b/>
                <w:color w:val="auto"/>
                <w:szCs w:val="21"/>
              </w:rPr>
              <w:t>生态环境分区管控动态更新成果</w:t>
            </w:r>
            <w:r>
              <w:rPr>
                <w:rFonts w:hint="eastAsia"/>
                <w:b/>
                <w:color w:val="auto"/>
                <w:szCs w:val="21"/>
              </w:rPr>
              <w:t>（2023年）》</w:t>
            </w:r>
            <w:r>
              <w:rPr>
                <w:b/>
                <w:color w:val="auto"/>
                <w:szCs w:val="21"/>
              </w:rPr>
              <w:t>相符性分析</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163"/>
              <w:gridCol w:w="1492"/>
              <w:gridCol w:w="808"/>
            </w:tblGrid>
            <w:tr w14:paraId="5FE54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2279D8AA">
                  <w:pPr>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管控</w:t>
                  </w:r>
                </w:p>
                <w:p w14:paraId="371E2ABF">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rPr>
                    <w:t>类别</w:t>
                  </w:r>
                </w:p>
              </w:tc>
              <w:tc>
                <w:tcPr>
                  <w:tcW w:w="4163" w:type="dxa"/>
                  <w:noWrap w:val="0"/>
                  <w:vAlign w:val="center"/>
                </w:tcPr>
                <w:p w14:paraId="14C76508">
                  <w:pPr>
                    <w:autoSpaceDE w:val="0"/>
                    <w:autoSpaceDN w:val="0"/>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管控</w:t>
                  </w:r>
                </w:p>
                <w:p w14:paraId="4DBA607A">
                  <w:pPr>
                    <w:autoSpaceDE w:val="0"/>
                    <w:autoSpaceDN w:val="0"/>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rPr>
                    <w:t>要求</w:t>
                  </w:r>
                </w:p>
              </w:tc>
              <w:tc>
                <w:tcPr>
                  <w:tcW w:w="1492" w:type="dxa"/>
                  <w:noWrap w:val="0"/>
                  <w:vAlign w:val="center"/>
                </w:tcPr>
                <w:p w14:paraId="70BC41FA">
                  <w:pPr>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相符性</w:t>
                  </w:r>
                </w:p>
                <w:p w14:paraId="52F2C358">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rPr>
                    <w:t>分析</w:t>
                  </w:r>
                </w:p>
              </w:tc>
              <w:tc>
                <w:tcPr>
                  <w:tcW w:w="808" w:type="dxa"/>
                  <w:noWrap w:val="0"/>
                  <w:vAlign w:val="center"/>
                </w:tcPr>
                <w:p w14:paraId="17F91E36">
                  <w:pPr>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是否</w:t>
                  </w:r>
                </w:p>
                <w:p w14:paraId="74CC9DD6">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rPr>
                    <w:t>相符</w:t>
                  </w:r>
                </w:p>
              </w:tc>
            </w:tr>
            <w:tr w14:paraId="5E80C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7" w:type="dxa"/>
                  <w:gridSpan w:val="4"/>
                  <w:noWrap w:val="0"/>
                  <w:vAlign w:val="center"/>
                </w:tcPr>
                <w:p w14:paraId="68DB34D2">
                  <w:pPr>
                    <w:adjustRightInd w:val="0"/>
                    <w:snapToGrid w:val="0"/>
                    <w:jc w:val="cente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江苏省省域生态环境管控要求</w:t>
                  </w:r>
                </w:p>
              </w:tc>
            </w:tr>
            <w:tr w14:paraId="60BAA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6AF9ED7F">
                  <w:pPr>
                    <w:adjustRightInd w:val="0"/>
                    <w:snapToGrid w:val="0"/>
                    <w:jc w:val="both"/>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color w:val="auto"/>
                      <w:kern w:val="0"/>
                      <w:sz w:val="21"/>
                      <w:szCs w:val="21"/>
                    </w:rPr>
                    <w:t>空间布局约束</w:t>
                  </w:r>
                </w:p>
              </w:tc>
              <w:tc>
                <w:tcPr>
                  <w:tcW w:w="4163" w:type="dxa"/>
                  <w:noWrap w:val="0"/>
                  <w:vAlign w:val="center"/>
                </w:tcPr>
                <w:p w14:paraId="78AA048D">
                  <w:pPr>
                    <w:numPr>
                      <w:ilvl w:val="0"/>
                      <w:numId w:val="2"/>
                    </w:numPr>
                    <w:adjustRightInd w:val="0"/>
                    <w:snapToGrid w:val="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14710F7E">
                  <w:pPr>
                    <w:numPr>
                      <w:ilvl w:val="0"/>
                      <w:numId w:val="2"/>
                    </w:numPr>
                    <w:adjustRightInd w:val="0"/>
                    <w:snapToGrid w:val="0"/>
                    <w:ind w:left="0" w:leftChars="0"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牢牢把握推动长江经济带发展“共抓大保护，不搞大开发”战略导向，对省域范围内需要重点保护的岸线、河段和区域实行严格管控，管住控好排放量大、耗能高、产能过剩的产业，推动长江经济带高质量发展。</w:t>
                  </w:r>
                </w:p>
                <w:p w14:paraId="0CCF9EDC">
                  <w:pPr>
                    <w:numPr>
                      <w:ilvl w:val="0"/>
                      <w:numId w:val="0"/>
                    </w:numPr>
                    <w:adjustRightInd w:val="0"/>
                    <w:snapToGrid w:val="0"/>
                    <w:ind w:left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0C8C3421">
                  <w:pPr>
                    <w:adjustRightInd w:val="0"/>
                    <w:snapToGrid w:val="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24BA9B07">
                  <w:pPr>
                    <w:adjustRightInd w:val="0"/>
                    <w:snapToGrid w:val="0"/>
                    <w:jc w:val="both"/>
                    <w:rPr>
                      <w:rFonts w:hint="eastAsia" w:ascii="Times New Roman" w:hAnsi="Times New Roman" w:cs="Times New Roman"/>
                      <w:b/>
                      <w:bCs/>
                      <w:color w:val="auto"/>
                      <w:kern w:val="0"/>
                      <w:sz w:val="21"/>
                      <w:szCs w:val="21"/>
                      <w:lang w:val="en-US" w:eastAsia="zh-CN"/>
                    </w:rPr>
                  </w:pPr>
                  <w:r>
                    <w:rPr>
                      <w:rFonts w:hint="default" w:ascii="Times New Roman" w:hAnsi="Times New Roman" w:eastAsia="宋体" w:cs="Times New Roman"/>
                      <w:color w:val="auto"/>
                      <w:szCs w:val="21"/>
                    </w:rPr>
                    <mc:AlternateContent>
                      <mc:Choice Requires="wps">
                        <w:drawing>
                          <wp:anchor distT="0" distB="0" distL="114300" distR="114300" simplePos="0" relativeHeight="251670528" behindDoc="0" locked="0" layoutInCell="1" allowOverlap="1">
                            <wp:simplePos x="0" y="0"/>
                            <wp:positionH relativeFrom="column">
                              <wp:posOffset>-1211580</wp:posOffset>
                            </wp:positionH>
                            <wp:positionV relativeFrom="paragraph">
                              <wp:posOffset>192405</wp:posOffset>
                            </wp:positionV>
                            <wp:extent cx="394970" cy="373443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22910" cy="1506220"/>
                                    </a:xfrm>
                                    <a:prstGeom prst="rect">
                                      <a:avLst/>
                                    </a:prstGeom>
                                    <a:noFill/>
                                    <a:ln>
                                      <a:noFill/>
                                    </a:ln>
                                    <a:effectLst/>
                                  </wps:spPr>
                                  <wps:txbx>
                                    <w:txbxContent>
                                      <w:p w14:paraId="5E85F9F9">
                                        <w:pPr>
                                          <w:jc w:val="center"/>
                                          <w:rPr>
                                            <w:rFonts w:hint="eastAsia"/>
                                          </w:rPr>
                                        </w:pPr>
                                        <w:r>
                                          <w:rPr>
                                            <w:rFonts w:hint="eastAsia"/>
                                          </w:rPr>
                                          <w:t>其</w:t>
                                        </w:r>
                                      </w:p>
                                      <w:p w14:paraId="187CE676">
                                        <w:pPr>
                                          <w:jc w:val="center"/>
                                          <w:rPr>
                                            <w:rFonts w:hint="eastAsia"/>
                                          </w:rPr>
                                        </w:pPr>
                                        <w:r>
                                          <w:rPr>
                                            <w:rFonts w:hint="eastAsia"/>
                                          </w:rPr>
                                          <w:t>他</w:t>
                                        </w:r>
                                      </w:p>
                                      <w:p w14:paraId="2D8410B4">
                                        <w:pPr>
                                          <w:jc w:val="center"/>
                                          <w:rPr>
                                            <w:rFonts w:hint="eastAsia"/>
                                          </w:rPr>
                                        </w:pPr>
                                        <w:r>
                                          <w:rPr>
                                            <w:rFonts w:hint="eastAsia"/>
                                          </w:rPr>
                                          <w:t>符</w:t>
                                        </w:r>
                                      </w:p>
                                      <w:p w14:paraId="571C11D0">
                                        <w:pPr>
                                          <w:jc w:val="center"/>
                                          <w:rPr>
                                            <w:rFonts w:hint="eastAsia"/>
                                          </w:rPr>
                                        </w:pPr>
                                        <w:r>
                                          <w:rPr>
                                            <w:rFonts w:hint="eastAsia"/>
                                          </w:rPr>
                                          <w:t>合</w:t>
                                        </w:r>
                                      </w:p>
                                      <w:p w14:paraId="2A51F77D">
                                        <w:pPr>
                                          <w:jc w:val="center"/>
                                          <w:rPr>
                                            <w:rFonts w:hint="eastAsia"/>
                                          </w:rPr>
                                        </w:pPr>
                                        <w:r>
                                          <w:rPr>
                                            <w:rFonts w:hint="eastAsia"/>
                                          </w:rPr>
                                          <w:t>性</w:t>
                                        </w:r>
                                      </w:p>
                                      <w:p w14:paraId="0399B972">
                                        <w:pPr>
                                          <w:jc w:val="center"/>
                                          <w:rPr>
                                            <w:rFonts w:hint="eastAsia"/>
                                          </w:rPr>
                                        </w:pPr>
                                        <w:r>
                                          <w:rPr>
                                            <w:rFonts w:hint="eastAsia"/>
                                          </w:rPr>
                                          <w:t>分</w:t>
                                        </w:r>
                                      </w:p>
                                      <w:p w14:paraId="051B42EB">
                                        <w:pPr>
                                          <w:jc w:val="center"/>
                                          <w:rPr>
                                            <w:rFonts w:hint="eastAsia"/>
                                          </w:rPr>
                                        </w:pPr>
                                        <w:r>
                                          <w:rPr>
                                            <w:rFonts w:hint="eastAsia"/>
                                          </w:rPr>
                                          <w:t>析</w:t>
                                        </w:r>
                                      </w:p>
                                    </w:txbxContent>
                                  </wps:txbx>
                                  <wps:bodyPr upright="1"/>
                                </wps:wsp>
                              </a:graphicData>
                            </a:graphic>
                          </wp:anchor>
                        </w:drawing>
                      </mc:Choice>
                      <mc:Fallback>
                        <w:pict>
                          <v:shape id="_x0000_s1026" o:spid="_x0000_s1026" o:spt="202" type="#_x0000_t202" style="position:absolute;left:0pt;margin-left:-95.4pt;margin-top:15.15pt;height:294.05pt;width:31.1pt;z-index:251670528;mso-width-relative:page;mso-height-relative:page;" filled="f" stroked="f" coordsize="21600,21600" o:gfxdata="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1aUq2QAAAAwBAAAPAAAAAAAAAAEAIAAAACIAAABkcnMvZG93bnJldi54bWxQSwECFAAUAAAACACH&#10;TuJAbQqgZbEBAABeAwAADgAAAAAAAAABACAAAAAoAQAAZHJzL2Uyb0RvYy54bWxQSwUGAAAAAAYA&#10;BgBZAQAASwUAAAAA&#10;">
                            <v:fill on="f" focussize="0,0"/>
                            <v:stroke on="f"/>
                            <v:imagedata o:title=""/>
                            <o:lock v:ext="edit" aspectratio="f"/>
                            <v:textbox>
                              <w:txbxContent>
                                <w:p w14:paraId="5E85F9F9">
                                  <w:pPr>
                                    <w:jc w:val="center"/>
                                    <w:rPr>
                                      <w:rFonts w:hint="eastAsia"/>
                                    </w:rPr>
                                  </w:pPr>
                                  <w:r>
                                    <w:rPr>
                                      <w:rFonts w:hint="eastAsia"/>
                                    </w:rPr>
                                    <w:t>其</w:t>
                                  </w:r>
                                </w:p>
                                <w:p w14:paraId="187CE676">
                                  <w:pPr>
                                    <w:jc w:val="center"/>
                                    <w:rPr>
                                      <w:rFonts w:hint="eastAsia"/>
                                    </w:rPr>
                                  </w:pPr>
                                  <w:r>
                                    <w:rPr>
                                      <w:rFonts w:hint="eastAsia"/>
                                    </w:rPr>
                                    <w:t>他</w:t>
                                  </w:r>
                                </w:p>
                                <w:p w14:paraId="2D8410B4">
                                  <w:pPr>
                                    <w:jc w:val="center"/>
                                    <w:rPr>
                                      <w:rFonts w:hint="eastAsia"/>
                                    </w:rPr>
                                  </w:pPr>
                                  <w:r>
                                    <w:rPr>
                                      <w:rFonts w:hint="eastAsia"/>
                                    </w:rPr>
                                    <w:t>符</w:t>
                                  </w:r>
                                </w:p>
                                <w:p w14:paraId="571C11D0">
                                  <w:pPr>
                                    <w:jc w:val="center"/>
                                    <w:rPr>
                                      <w:rFonts w:hint="eastAsia"/>
                                    </w:rPr>
                                  </w:pPr>
                                  <w:r>
                                    <w:rPr>
                                      <w:rFonts w:hint="eastAsia"/>
                                    </w:rPr>
                                    <w:t>合</w:t>
                                  </w:r>
                                </w:p>
                                <w:p w14:paraId="2A51F77D">
                                  <w:pPr>
                                    <w:jc w:val="center"/>
                                    <w:rPr>
                                      <w:rFonts w:hint="eastAsia"/>
                                    </w:rPr>
                                  </w:pPr>
                                  <w:r>
                                    <w:rPr>
                                      <w:rFonts w:hint="eastAsia"/>
                                    </w:rPr>
                                    <w:t>性</w:t>
                                  </w:r>
                                </w:p>
                                <w:p w14:paraId="0399B972">
                                  <w:pPr>
                                    <w:jc w:val="center"/>
                                    <w:rPr>
                                      <w:rFonts w:hint="eastAsia"/>
                                    </w:rPr>
                                  </w:pPr>
                                  <w:r>
                                    <w:rPr>
                                      <w:rFonts w:hint="eastAsia"/>
                                    </w:rPr>
                                    <w:t>分</w:t>
                                  </w:r>
                                </w:p>
                                <w:p w14:paraId="051B42EB">
                                  <w:pPr>
                                    <w:jc w:val="center"/>
                                    <w:rPr>
                                      <w:rFonts w:hint="eastAsia"/>
                                    </w:rPr>
                                  </w:pPr>
                                  <w:r>
                                    <w:rPr>
                                      <w:rFonts w:hint="eastAsia"/>
                                    </w:rPr>
                                    <w:t>析</w:t>
                                  </w:r>
                                </w:p>
                              </w:txbxContent>
                            </v:textbox>
                          </v:shape>
                        </w:pict>
                      </mc:Fallback>
                    </mc:AlternateContent>
                  </w:r>
                  <w:r>
                    <w:rPr>
                      <w:rFonts w:hint="default" w:ascii="Times New Roman" w:hAnsi="Times New Roman" w:eastAsia="宋体" w:cs="Times New Roman"/>
                      <w:color w:val="auto"/>
                      <w:kern w:val="0"/>
                      <w:sz w:val="21"/>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492" w:type="dxa"/>
                  <w:noWrap w:val="0"/>
                  <w:vAlign w:val="center"/>
                </w:tcPr>
                <w:p w14:paraId="40138639">
                  <w:pPr>
                    <w:adjustRightInd w:val="0"/>
                    <w:snapToGrid w:val="0"/>
                    <w:jc w:val="both"/>
                    <w:rPr>
                      <w:rFonts w:hint="eastAsia" w:ascii="Times New Roman" w:hAnsi="Times New Roman" w:cs="Times New Roman"/>
                      <w:b/>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本项目不占用生态管控空间区域及国家级生态保护红线，符合空间布局约束方面的要求</w:t>
                  </w:r>
                  <w:r>
                    <w:rPr>
                      <w:rFonts w:hint="eastAsia" w:ascii="Times New Roman" w:hAnsi="Times New Roman" w:eastAsia="宋体" w:cs="Times New Roman"/>
                      <w:b w:val="0"/>
                      <w:bCs w:val="0"/>
                      <w:color w:val="auto"/>
                      <w:kern w:val="0"/>
                      <w:sz w:val="21"/>
                      <w:szCs w:val="21"/>
                      <w:lang w:eastAsia="zh-CN"/>
                    </w:rPr>
                    <w:t>；</w:t>
                  </w:r>
                  <w:r>
                    <w:rPr>
                      <w:rFonts w:hint="default" w:ascii="Times New Roman" w:hAnsi="Times New Roman" w:eastAsia="宋体" w:cs="Times New Roman"/>
                      <w:b w:val="0"/>
                      <w:bCs w:val="0"/>
                      <w:color w:val="auto"/>
                      <w:kern w:val="0"/>
                      <w:sz w:val="21"/>
                      <w:szCs w:val="21"/>
                    </w:rPr>
                    <w:t>本项目不涉及重点保护的长江岸线、河段和区域</w:t>
                  </w:r>
                  <w:r>
                    <w:rPr>
                      <w:rFonts w:hint="eastAsia" w:ascii="Times New Roman" w:hAnsi="Times New Roman" w:eastAsia="宋体" w:cs="Times New Roman"/>
                      <w:b w:val="0"/>
                      <w:bCs w:val="0"/>
                      <w:color w:val="auto"/>
                      <w:kern w:val="0"/>
                      <w:sz w:val="21"/>
                      <w:szCs w:val="21"/>
                      <w:lang w:eastAsia="zh-CN"/>
                    </w:rPr>
                    <w:t>；</w:t>
                  </w:r>
                  <w:r>
                    <w:rPr>
                      <w:rFonts w:hint="default" w:ascii="Times New Roman" w:hAnsi="Times New Roman" w:eastAsia="宋体" w:cs="Times New Roman"/>
                      <w:b w:val="0"/>
                      <w:bCs w:val="0"/>
                      <w:color w:val="auto"/>
                      <w:kern w:val="0"/>
                      <w:sz w:val="21"/>
                      <w:szCs w:val="21"/>
                    </w:rPr>
                    <w:t>本项目不位于长江干支流两侧1公里范围内，不属于钢铁行业。</w:t>
                  </w:r>
                </w:p>
              </w:tc>
              <w:tc>
                <w:tcPr>
                  <w:tcW w:w="808" w:type="dxa"/>
                  <w:noWrap w:val="0"/>
                  <w:vAlign w:val="center"/>
                </w:tcPr>
                <w:p w14:paraId="0C088631">
                  <w:pPr>
                    <w:adjustRightInd w:val="0"/>
                    <w:snapToGrid w:val="0"/>
                    <w:jc w:val="center"/>
                    <w:rPr>
                      <w:rFonts w:hint="eastAsia" w:ascii="Times New Roman" w:hAnsi="Times New Roman" w:cs="Times New Roman"/>
                      <w:b/>
                      <w:bCs/>
                      <w:color w:val="auto"/>
                      <w:kern w:val="0"/>
                      <w:sz w:val="21"/>
                      <w:szCs w:val="21"/>
                      <w:lang w:val="en-US" w:eastAsia="zh-CN"/>
                    </w:rPr>
                  </w:pPr>
                  <w:r>
                    <w:rPr>
                      <w:rFonts w:hint="eastAsia" w:cs="Times New Roman"/>
                      <w:color w:val="auto"/>
                      <w:kern w:val="0"/>
                      <w:sz w:val="21"/>
                      <w:szCs w:val="21"/>
                      <w:lang w:val="en-US" w:eastAsia="zh-CN"/>
                    </w:rPr>
                    <w:t>相符</w:t>
                  </w:r>
                </w:p>
              </w:tc>
            </w:tr>
            <w:tr w14:paraId="2F4F8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62643C40">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color w:val="auto"/>
                      <w:kern w:val="0"/>
                      <w:sz w:val="21"/>
                      <w:szCs w:val="21"/>
                    </w:rPr>
                    <w:t>污染物排放管控</w:t>
                  </w:r>
                </w:p>
              </w:tc>
              <w:tc>
                <w:tcPr>
                  <w:tcW w:w="4163" w:type="dxa"/>
                  <w:noWrap w:val="0"/>
                  <w:vAlign w:val="center"/>
                </w:tcPr>
                <w:p w14:paraId="29D30841">
                  <w:pPr>
                    <w:adjustRightInd w:val="0"/>
                    <w:snapToGrid w:val="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1.坚持生态环境质量只能更好、不能变坏，实施污染物总量控制，以环境容量定产业、定项目、定规模，确保开发建设行为不突破生态环境承载</w:t>
                  </w:r>
                </w:p>
                <w:p w14:paraId="6876F728">
                  <w:pPr>
                    <w:adjustRightInd w:val="0"/>
                    <w:snapToGrid w:val="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力。</w:t>
                  </w:r>
                </w:p>
                <w:p w14:paraId="592DF30F">
                  <w:pPr>
                    <w:adjustRightInd w:val="0"/>
                    <w:snapToGrid w:val="0"/>
                    <w:jc w:val="both"/>
                    <w:rPr>
                      <w:rFonts w:hint="eastAsia" w:ascii="Times New Roman" w:hAnsi="Times New Roman" w:cs="Times New Roman"/>
                      <w:b/>
                      <w:bCs/>
                      <w:color w:val="auto"/>
                      <w:kern w:val="0"/>
                      <w:sz w:val="21"/>
                      <w:szCs w:val="21"/>
                      <w:lang w:val="en-US" w:eastAsia="zh-CN"/>
                    </w:rPr>
                  </w:pPr>
                  <w:r>
                    <w:rPr>
                      <w:rFonts w:hint="default" w:ascii="Times New Roman" w:hAnsi="Times New Roman" w:eastAsia="宋体" w:cs="Times New Roman"/>
                      <w:color w:val="auto"/>
                      <w:kern w:val="0"/>
                      <w:sz w:val="21"/>
                      <w:szCs w:val="21"/>
                    </w:rPr>
                    <w:t>2.2025年，主要污染物排放减排完成国家下达任务，单位工业增加值二氧化碳排放量下降20%,主要高耗能行业单位产品二氧化碳排放达到世界先进水平。实施氨氧化物(NOx)和VOCs协同减排，推进多污染物和关联区域连防联控。</w:t>
                  </w:r>
                </w:p>
              </w:tc>
              <w:tc>
                <w:tcPr>
                  <w:tcW w:w="1492" w:type="dxa"/>
                  <w:noWrap w:val="0"/>
                  <w:vAlign w:val="center"/>
                </w:tcPr>
                <w:p w14:paraId="5C8204B9">
                  <w:pPr>
                    <w:adjustRightInd w:val="0"/>
                    <w:snapToGrid w:val="0"/>
                    <w:jc w:val="both"/>
                    <w:rPr>
                      <w:rFonts w:hint="eastAsia" w:ascii="Times New Roman" w:hAnsi="Times New Roman" w:cs="Times New Roman"/>
                      <w:b/>
                      <w:bCs/>
                      <w:color w:val="auto"/>
                      <w:kern w:val="0"/>
                      <w:sz w:val="21"/>
                      <w:szCs w:val="21"/>
                      <w:lang w:val="en-US" w:eastAsia="zh-CN"/>
                    </w:rPr>
                  </w:pPr>
                  <w:r>
                    <w:rPr>
                      <w:rFonts w:hint="eastAsia" w:ascii="Times New Roman" w:hAnsi="Times New Roman" w:eastAsia="宋体" w:cs="Times New Roman"/>
                      <w:color w:val="auto"/>
                      <w:szCs w:val="21"/>
                      <w:shd w:val="clear" w:color="auto" w:fill="auto"/>
                      <w:lang w:val="en-US" w:eastAsia="zh-CN"/>
                    </w:rPr>
                    <w:t>本项目属于简化管理，项目建成后将实施污染物总量控制，新增大气污染物总量和水污染物总量能在如皋市范围内平衡。故不会突破生态环境承载力。</w:t>
                  </w:r>
                </w:p>
              </w:tc>
              <w:tc>
                <w:tcPr>
                  <w:tcW w:w="808" w:type="dxa"/>
                  <w:noWrap w:val="0"/>
                  <w:vAlign w:val="center"/>
                </w:tcPr>
                <w:p w14:paraId="180D7A50">
                  <w:pPr>
                    <w:adjustRightInd w:val="0"/>
                    <w:snapToGrid w:val="0"/>
                    <w:jc w:val="center"/>
                    <w:rPr>
                      <w:rFonts w:hint="eastAsia" w:ascii="Times New Roman" w:hAnsi="Times New Roman" w:cs="Times New Roman"/>
                      <w:b/>
                      <w:bCs/>
                      <w:color w:val="auto"/>
                      <w:kern w:val="0"/>
                      <w:sz w:val="21"/>
                      <w:szCs w:val="21"/>
                      <w:lang w:val="en-US" w:eastAsia="zh-CN"/>
                    </w:rPr>
                  </w:pPr>
                  <w:r>
                    <w:rPr>
                      <w:rFonts w:hint="eastAsia" w:cs="Times New Roman"/>
                      <w:color w:val="auto"/>
                      <w:kern w:val="0"/>
                      <w:sz w:val="21"/>
                      <w:szCs w:val="21"/>
                      <w:lang w:val="en-US" w:eastAsia="zh-CN"/>
                    </w:rPr>
                    <w:t>相符</w:t>
                  </w:r>
                </w:p>
              </w:tc>
            </w:tr>
            <w:tr w14:paraId="53FC2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4F9F0AC3">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2BCDF5E4">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风险</w:t>
                  </w:r>
                </w:p>
                <w:p w14:paraId="07CC6136">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color w:val="auto"/>
                      <w:kern w:val="0"/>
                      <w:sz w:val="21"/>
                      <w:szCs w:val="21"/>
                    </w:rPr>
                    <w:t>防控</w:t>
                  </w:r>
                </w:p>
              </w:tc>
              <w:tc>
                <w:tcPr>
                  <w:tcW w:w="4163" w:type="dxa"/>
                  <w:noWrap w:val="0"/>
                  <w:vAlign w:val="center"/>
                </w:tcPr>
                <w:p w14:paraId="29D7D86F">
                  <w:pPr>
                    <w:numPr>
                      <w:ilvl w:val="0"/>
                      <w:numId w:val="3"/>
                    </w:numPr>
                    <w:adjustRightInd w:val="0"/>
                    <w:snapToGrid w:val="0"/>
                    <w:jc w:val="left"/>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强化饮用水水源环境风险管控。县级以上城市全部建成应急水源或双源供水。</w:t>
                  </w:r>
                </w:p>
                <w:p w14:paraId="4BE1C19B">
                  <w:pPr>
                    <w:numPr>
                      <w:ilvl w:val="0"/>
                      <w:numId w:val="3"/>
                    </w:numPr>
                    <w:adjustRightInd w:val="0"/>
                    <w:snapToGrid w:val="0"/>
                    <w:ind w:left="0" w:leftChars="0" w:firstLine="0" w:firstLineChars="0"/>
                    <w:jc w:val="both"/>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 估、风险管控、治理修复。</w:t>
                  </w:r>
                </w:p>
                <w:p w14:paraId="5B56BB05">
                  <w:pPr>
                    <w:numPr>
                      <w:ilvl w:val="0"/>
                      <w:numId w:val="3"/>
                    </w:numPr>
                    <w:adjustRightInd w:val="0"/>
                    <w:snapToGrid w:val="0"/>
                    <w:ind w:left="0" w:leftChars="0" w:firstLine="0" w:firstLineChars="0"/>
                    <w:jc w:val="both"/>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强化环境事故应急管理。深化跨部门、跨区域环境应急协调联动，分区域建立环境应急物资储备库。各级工业园区(集聚区)和企业的环境应急装备和储备物资应纳入储备体系。</w:t>
                  </w:r>
                </w:p>
                <w:p w14:paraId="6E0E4196">
                  <w:pPr>
                    <w:numPr>
                      <w:ilvl w:val="0"/>
                      <w:numId w:val="0"/>
                    </w:numPr>
                    <w:adjustRightInd w:val="0"/>
                    <w:snapToGrid w:val="0"/>
                    <w:ind w:left="0" w:leftChars="0" w:firstLine="0" w:firstLineChars="0"/>
                    <w:jc w:val="both"/>
                    <w:rPr>
                      <w:rFonts w:hint="eastAsia" w:ascii="Times New Roman" w:hAnsi="Times New Roman" w:cs="Times New Roman"/>
                      <w:b/>
                      <w:bCs/>
                      <w:color w:val="auto"/>
                      <w:kern w:val="0"/>
                      <w:sz w:val="21"/>
                      <w:szCs w:val="21"/>
                      <w:lang w:val="en-US" w:eastAsia="zh-CN"/>
                    </w:rPr>
                  </w:pPr>
                  <w:r>
                    <w:rPr>
                      <w:color w:val="auto"/>
                      <w:szCs w:val="21"/>
                    </w:rPr>
                    <mc:AlternateContent>
                      <mc:Choice Requires="wps">
                        <w:drawing>
                          <wp:anchor distT="0" distB="0" distL="114300" distR="114300" simplePos="0" relativeHeight="251665408" behindDoc="0" locked="0" layoutInCell="1" allowOverlap="1">
                            <wp:simplePos x="0" y="0"/>
                            <wp:positionH relativeFrom="column">
                              <wp:posOffset>-1277620</wp:posOffset>
                            </wp:positionH>
                            <wp:positionV relativeFrom="paragraph">
                              <wp:posOffset>1152525</wp:posOffset>
                            </wp:positionV>
                            <wp:extent cx="422910" cy="150622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22910" cy="1506220"/>
                                    </a:xfrm>
                                    <a:prstGeom prst="rect">
                                      <a:avLst/>
                                    </a:prstGeom>
                                    <a:noFill/>
                                    <a:ln>
                                      <a:noFill/>
                                    </a:ln>
                                  </wps:spPr>
                                  <wps:txbx>
                                    <w:txbxContent>
                                      <w:p w14:paraId="01A6063D">
                                        <w:pPr>
                                          <w:jc w:val="center"/>
                                          <w:rPr>
                                            <w:rFonts w:hint="eastAsia"/>
                                          </w:rPr>
                                        </w:pPr>
                                        <w:r>
                                          <w:rPr>
                                            <w:rFonts w:hint="eastAsia"/>
                                          </w:rPr>
                                          <w:t>其</w:t>
                                        </w:r>
                                      </w:p>
                                      <w:p w14:paraId="68D6FDEC">
                                        <w:pPr>
                                          <w:jc w:val="center"/>
                                          <w:rPr>
                                            <w:rFonts w:hint="eastAsia"/>
                                          </w:rPr>
                                        </w:pPr>
                                        <w:r>
                                          <w:rPr>
                                            <w:rFonts w:hint="eastAsia"/>
                                          </w:rPr>
                                          <w:t>他</w:t>
                                        </w:r>
                                      </w:p>
                                      <w:p w14:paraId="7B43E119">
                                        <w:pPr>
                                          <w:jc w:val="center"/>
                                          <w:rPr>
                                            <w:rFonts w:hint="eastAsia"/>
                                          </w:rPr>
                                        </w:pPr>
                                        <w:r>
                                          <w:rPr>
                                            <w:rFonts w:hint="eastAsia"/>
                                          </w:rPr>
                                          <w:t>符</w:t>
                                        </w:r>
                                      </w:p>
                                      <w:p w14:paraId="087ACF42">
                                        <w:pPr>
                                          <w:jc w:val="center"/>
                                          <w:rPr>
                                            <w:rFonts w:hint="eastAsia"/>
                                          </w:rPr>
                                        </w:pPr>
                                        <w:r>
                                          <w:rPr>
                                            <w:rFonts w:hint="eastAsia"/>
                                          </w:rPr>
                                          <w:t>合</w:t>
                                        </w:r>
                                      </w:p>
                                      <w:p w14:paraId="6A666765">
                                        <w:pPr>
                                          <w:jc w:val="center"/>
                                          <w:rPr>
                                            <w:rFonts w:hint="eastAsia"/>
                                          </w:rPr>
                                        </w:pPr>
                                        <w:r>
                                          <w:rPr>
                                            <w:rFonts w:hint="eastAsia"/>
                                          </w:rPr>
                                          <w:t>性</w:t>
                                        </w:r>
                                      </w:p>
                                      <w:p w14:paraId="0EADDA63">
                                        <w:pPr>
                                          <w:jc w:val="center"/>
                                          <w:rPr>
                                            <w:rFonts w:hint="eastAsia"/>
                                          </w:rPr>
                                        </w:pPr>
                                        <w:r>
                                          <w:rPr>
                                            <w:rFonts w:hint="eastAsia"/>
                                          </w:rPr>
                                          <w:t>分</w:t>
                                        </w:r>
                                      </w:p>
                                      <w:p w14:paraId="3EBB3B6B">
                                        <w:pPr>
                                          <w:jc w:val="center"/>
                                          <w:rPr>
                                            <w:rFonts w:hint="eastAsia"/>
                                          </w:rPr>
                                        </w:pPr>
                                        <w:r>
                                          <w:rPr>
                                            <w:rFonts w:hint="eastAsia"/>
                                          </w:rPr>
                                          <w:t>析</w:t>
                                        </w:r>
                                      </w:p>
                                    </w:txbxContent>
                                  </wps:txbx>
                                  <wps:bodyPr upright="1"/>
                                </wps:wsp>
                              </a:graphicData>
                            </a:graphic>
                          </wp:anchor>
                        </w:drawing>
                      </mc:Choice>
                      <mc:Fallback>
                        <w:pict>
                          <v:shape id="_x0000_s1026" o:spid="_x0000_s1026" o:spt="202" type="#_x0000_t202" style="position:absolute;left:0pt;margin-left:-100.6pt;margin-top:90.75pt;height:118.6pt;width:33.3pt;z-index:251665408;mso-width-relative:page;mso-height-relative:page;" filled="f" stroked="f" coordsize="21600,21600" o:gfxdata="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eOr&#10;+doAAAANAQAADwAAAAAAAAABACAAAAAiAAAAZHJzL2Rvd25yZXYueG1sUEsBAhQAFAAAAAgAh07i&#10;QEgpA0euAQAAUAMAAA4AAAAAAAAAAQAgAAAAKQEAAGRycy9lMm9Eb2MueG1sUEsFBgAAAAAGAAYA&#10;WQEAAEkFAAAAAA==&#10;">
                            <v:fill on="f" focussize="0,0"/>
                            <v:stroke on="f"/>
                            <v:imagedata o:title=""/>
                            <o:lock v:ext="edit" aspectratio="f"/>
                            <v:textbox>
                              <w:txbxContent>
                                <w:p w14:paraId="01A6063D">
                                  <w:pPr>
                                    <w:jc w:val="center"/>
                                    <w:rPr>
                                      <w:rFonts w:hint="eastAsia"/>
                                    </w:rPr>
                                  </w:pPr>
                                  <w:r>
                                    <w:rPr>
                                      <w:rFonts w:hint="eastAsia"/>
                                    </w:rPr>
                                    <w:t>其</w:t>
                                  </w:r>
                                </w:p>
                                <w:p w14:paraId="68D6FDEC">
                                  <w:pPr>
                                    <w:jc w:val="center"/>
                                    <w:rPr>
                                      <w:rFonts w:hint="eastAsia"/>
                                    </w:rPr>
                                  </w:pPr>
                                  <w:r>
                                    <w:rPr>
                                      <w:rFonts w:hint="eastAsia"/>
                                    </w:rPr>
                                    <w:t>他</w:t>
                                  </w:r>
                                </w:p>
                                <w:p w14:paraId="7B43E119">
                                  <w:pPr>
                                    <w:jc w:val="center"/>
                                    <w:rPr>
                                      <w:rFonts w:hint="eastAsia"/>
                                    </w:rPr>
                                  </w:pPr>
                                  <w:r>
                                    <w:rPr>
                                      <w:rFonts w:hint="eastAsia"/>
                                    </w:rPr>
                                    <w:t>符</w:t>
                                  </w:r>
                                </w:p>
                                <w:p w14:paraId="087ACF42">
                                  <w:pPr>
                                    <w:jc w:val="center"/>
                                    <w:rPr>
                                      <w:rFonts w:hint="eastAsia"/>
                                    </w:rPr>
                                  </w:pPr>
                                  <w:r>
                                    <w:rPr>
                                      <w:rFonts w:hint="eastAsia"/>
                                    </w:rPr>
                                    <w:t>合</w:t>
                                  </w:r>
                                </w:p>
                                <w:p w14:paraId="6A666765">
                                  <w:pPr>
                                    <w:jc w:val="center"/>
                                    <w:rPr>
                                      <w:rFonts w:hint="eastAsia"/>
                                    </w:rPr>
                                  </w:pPr>
                                  <w:r>
                                    <w:rPr>
                                      <w:rFonts w:hint="eastAsia"/>
                                    </w:rPr>
                                    <w:t>性</w:t>
                                  </w:r>
                                </w:p>
                                <w:p w14:paraId="0EADDA63">
                                  <w:pPr>
                                    <w:jc w:val="center"/>
                                    <w:rPr>
                                      <w:rFonts w:hint="eastAsia"/>
                                    </w:rPr>
                                  </w:pPr>
                                  <w:r>
                                    <w:rPr>
                                      <w:rFonts w:hint="eastAsia"/>
                                    </w:rPr>
                                    <w:t>分</w:t>
                                  </w:r>
                                </w:p>
                                <w:p w14:paraId="3EBB3B6B">
                                  <w:pPr>
                                    <w:jc w:val="center"/>
                                    <w:rPr>
                                      <w:rFonts w:hint="eastAsia"/>
                                    </w:rPr>
                                  </w:pPr>
                                  <w:r>
                                    <w:rPr>
                                      <w:rFonts w:hint="eastAsia"/>
                                    </w:rPr>
                                    <w:t>析</w:t>
                                  </w:r>
                                </w:p>
                              </w:txbxContent>
                            </v:textbox>
                          </v:shape>
                        </w:pict>
                      </mc:Fallback>
                    </mc:AlternateContent>
                  </w:r>
                  <w:r>
                    <w:rPr>
                      <w:rFonts w:hint="eastAsia" w:ascii="Times New Roman" w:hAnsi="Times New Roman" w:cs="Times New Roman"/>
                      <w:b w:val="0"/>
                      <w:bCs w:val="0"/>
                      <w:color w:val="auto"/>
                      <w:kern w:val="0"/>
                      <w:sz w:val="21"/>
                      <w:szCs w:val="21"/>
                      <w:lang w:val="en-US" w:eastAsia="zh-CN"/>
                    </w:rPr>
                    <w:t>4.</w:t>
                  </w:r>
                  <w:r>
                    <w:rPr>
                      <w:rFonts w:hint="default" w:ascii="Times New Roman" w:hAnsi="Times New Roman" w:cs="Times New Roman"/>
                      <w:b w:val="0"/>
                      <w:bCs w:val="0"/>
                      <w:color w:val="auto"/>
                      <w:kern w:val="0"/>
                      <w:sz w:val="21"/>
                      <w:szCs w:val="21"/>
                    </w:rPr>
                    <w:t>强化环境风险防控能力建设。按照统一信息平台、统一监管力度、统一应急等级、协同应急救援的思路，在沿江发展带、沿海发展带、环太湖等地区构建区域性环境风险预警应急响应</w:t>
                  </w:r>
                  <w:r>
                    <w:rPr>
                      <w:rFonts w:hint="eastAsia" w:ascii="Times New Roman" w:hAnsi="Times New Roman" w:cs="Times New Roman"/>
                      <w:b w:val="0"/>
                      <w:bCs w:val="0"/>
                      <w:color w:val="auto"/>
                      <w:kern w:val="0"/>
                      <w:sz w:val="21"/>
                      <w:szCs w:val="21"/>
                      <w:lang w:val="en-US" w:eastAsia="zh-CN"/>
                    </w:rPr>
                    <w:t>机制，实施区域突发环境风险预警联防联控。</w:t>
                  </w:r>
                </w:p>
              </w:tc>
              <w:tc>
                <w:tcPr>
                  <w:tcW w:w="1492" w:type="dxa"/>
                  <w:noWrap w:val="0"/>
                  <w:vAlign w:val="center"/>
                </w:tcPr>
                <w:p w14:paraId="58D1875F">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val="0"/>
                      <w:bCs w:val="0"/>
                      <w:color w:val="auto"/>
                      <w:kern w:val="0"/>
                      <w:sz w:val="21"/>
                      <w:szCs w:val="21"/>
                      <w:lang w:bidi="ar"/>
                    </w:rPr>
                    <w:t>本项目建成后将制定环境风险应急预案，同时企业内储备有足够的环境应急物资，实现环境风险联防联控，故能满足环境风险防控的相关要求。</w:t>
                  </w:r>
                </w:p>
              </w:tc>
              <w:tc>
                <w:tcPr>
                  <w:tcW w:w="808" w:type="dxa"/>
                  <w:noWrap w:val="0"/>
                  <w:vAlign w:val="center"/>
                </w:tcPr>
                <w:p w14:paraId="3D5A0AA8">
                  <w:pPr>
                    <w:adjustRightInd w:val="0"/>
                    <w:snapToGrid w:val="0"/>
                    <w:jc w:val="center"/>
                    <w:rPr>
                      <w:rFonts w:hint="eastAsia" w:ascii="Times New Roman" w:hAnsi="Times New Roman" w:cs="Times New Roman"/>
                      <w:b/>
                      <w:bCs/>
                      <w:color w:val="auto"/>
                      <w:kern w:val="0"/>
                      <w:sz w:val="21"/>
                      <w:szCs w:val="21"/>
                      <w:lang w:val="en-US" w:eastAsia="zh-CN"/>
                    </w:rPr>
                  </w:pPr>
                  <w:r>
                    <w:rPr>
                      <w:rFonts w:hint="eastAsia" w:cs="Times New Roman"/>
                      <w:color w:val="auto"/>
                      <w:kern w:val="0"/>
                      <w:sz w:val="21"/>
                      <w:szCs w:val="21"/>
                      <w:lang w:val="en-US" w:eastAsia="zh-CN"/>
                    </w:rPr>
                    <w:t>相符</w:t>
                  </w:r>
                </w:p>
              </w:tc>
            </w:tr>
            <w:tr w14:paraId="3F157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26D68EB8">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资源</w:t>
                  </w:r>
                </w:p>
                <w:p w14:paraId="1A25FD19">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利用</w:t>
                  </w:r>
                </w:p>
                <w:p w14:paraId="7664561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效率</w:t>
                  </w:r>
                </w:p>
                <w:p w14:paraId="7A3C0013">
                  <w:pPr>
                    <w:adjustRightInd w:val="0"/>
                    <w:snapToGrid w:val="0"/>
                    <w:jc w:val="center"/>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color w:val="auto"/>
                      <w:kern w:val="0"/>
                      <w:sz w:val="21"/>
                      <w:szCs w:val="21"/>
                    </w:rPr>
                    <w:t>要求</w:t>
                  </w:r>
                </w:p>
              </w:tc>
              <w:tc>
                <w:tcPr>
                  <w:tcW w:w="4163" w:type="dxa"/>
                  <w:noWrap w:val="0"/>
                  <w:vAlign w:val="center"/>
                </w:tcPr>
                <w:p w14:paraId="579E306C">
                  <w:pPr>
                    <w:numPr>
                      <w:ilvl w:val="0"/>
                      <w:numId w:val="0"/>
                    </w:numPr>
                    <w:adjustRightInd w:val="0"/>
                    <w:snapToGrid w:val="0"/>
                    <w:jc w:val="left"/>
                    <w:rPr>
                      <w:rFonts w:hint="eastAsia"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rPr>
                    <w:t>1.水资源利用总量及效率要求:到2025年，全省用水总量控制在525.9亿立方米以内，万元地区生产总值用水量、万元工业增加值用水量下降完成国家下达目标，农田灌溉水有效利用系数提高到0.625</w:t>
                  </w:r>
                  <w:r>
                    <w:rPr>
                      <w:rFonts w:hint="eastAsia" w:ascii="Times New Roman" w:hAnsi="Times New Roman" w:eastAsia="宋体" w:cs="Times New Roman"/>
                      <w:b w:val="0"/>
                      <w:bCs w:val="0"/>
                      <w:color w:val="auto"/>
                      <w:kern w:val="0"/>
                      <w:sz w:val="21"/>
                      <w:szCs w:val="21"/>
                      <w:lang w:eastAsia="zh-CN"/>
                    </w:rPr>
                    <w:t>。</w:t>
                  </w:r>
                </w:p>
                <w:p w14:paraId="0FF76E16">
                  <w:pPr>
                    <w:numPr>
                      <w:ilvl w:val="0"/>
                      <w:numId w:val="0"/>
                    </w:numPr>
                    <w:adjustRightInd w:val="0"/>
                    <w:snapToGrid w:val="0"/>
                    <w:jc w:val="left"/>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2.土地资源总量要求:到2025年，江苏省耕地保有量不低于5977万亩，其中永久基本农田保护面积不低于5344万亩。</w:t>
                  </w:r>
                </w:p>
                <w:p w14:paraId="119ABE71">
                  <w:pPr>
                    <w:numPr>
                      <w:ilvl w:val="0"/>
                      <w:numId w:val="0"/>
                    </w:numPr>
                    <w:adjustRightInd w:val="0"/>
                    <w:snapToGrid w:val="0"/>
                    <w:ind w:left="0" w:leftChars="0" w:firstLine="0" w:firstLineChars="0"/>
                    <w:jc w:val="left"/>
                    <w:rPr>
                      <w:rFonts w:hint="eastAsia" w:ascii="Times New Roman" w:hAnsi="Times New Roman" w:cs="Times New Roman"/>
                      <w:b/>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3.禁燃区要求:在禁燃区内，禁止销售、燃用高污染燃料;禁止新建、扩建燃用高污染燃料的设施，已建成的，应当在城市人民政府规定的期限内改用天然气、页岩气、液化石油气、电或者其他清洁能源</w:t>
                  </w:r>
                  <w:r>
                    <w:rPr>
                      <w:rFonts w:hint="eastAsia" w:ascii="Times New Roman" w:hAnsi="Times New Roman" w:eastAsia="宋体" w:cs="Times New Roman"/>
                      <w:b w:val="0"/>
                      <w:bCs w:val="0"/>
                      <w:color w:val="auto"/>
                      <w:kern w:val="0"/>
                      <w:sz w:val="21"/>
                      <w:szCs w:val="21"/>
                      <w:lang w:eastAsia="zh-CN"/>
                    </w:rPr>
                    <w:t>。</w:t>
                  </w:r>
                </w:p>
              </w:tc>
              <w:tc>
                <w:tcPr>
                  <w:tcW w:w="1492" w:type="dxa"/>
                  <w:noWrap w:val="0"/>
                  <w:vAlign w:val="center"/>
                </w:tcPr>
                <w:p w14:paraId="0BC47EA9">
                  <w:pPr>
                    <w:numPr>
                      <w:ilvl w:val="0"/>
                      <w:numId w:val="0"/>
                    </w:numPr>
                    <w:adjustRightInd w:val="0"/>
                    <w:snapToGrid w:val="0"/>
                    <w:ind w:left="0" w:leftChars="0" w:firstLine="0" w:firstLineChars="0"/>
                    <w:jc w:val="left"/>
                    <w:rPr>
                      <w:rFonts w:hint="eastAsia" w:ascii="Times New Roman" w:hAnsi="Times New Roman" w:cs="Times New Roman"/>
                      <w:b/>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本项目水耗较低；本项目不占用基本农田；生产过程中不使用高污染燃料，符合禁燃区的相关要求。</w:t>
                  </w:r>
                </w:p>
              </w:tc>
              <w:tc>
                <w:tcPr>
                  <w:tcW w:w="808" w:type="dxa"/>
                  <w:noWrap w:val="0"/>
                  <w:vAlign w:val="center"/>
                </w:tcPr>
                <w:p w14:paraId="72BC3A23">
                  <w:pPr>
                    <w:numPr>
                      <w:ilvl w:val="0"/>
                      <w:numId w:val="0"/>
                    </w:numPr>
                    <w:adjustRightInd w:val="0"/>
                    <w:snapToGrid w:val="0"/>
                    <w:ind w:left="0" w:leftChars="0" w:firstLine="0" w:firstLineChars="0"/>
                    <w:jc w:val="left"/>
                    <w:rPr>
                      <w:rFonts w:hint="eastAsia" w:ascii="Times New Roman" w:hAnsi="Times New Roman" w:cs="Times New Roman"/>
                      <w:b/>
                      <w:bCs/>
                      <w:color w:val="auto"/>
                      <w:kern w:val="0"/>
                      <w:sz w:val="21"/>
                      <w:szCs w:val="21"/>
                      <w:lang w:val="en-US" w:eastAsia="zh-CN"/>
                    </w:rPr>
                  </w:pPr>
                  <w:r>
                    <w:rPr>
                      <w:rFonts w:hint="eastAsia" w:cs="Times New Roman"/>
                      <w:color w:val="auto"/>
                      <w:kern w:val="0"/>
                      <w:sz w:val="21"/>
                      <w:szCs w:val="21"/>
                      <w:lang w:val="en-US" w:eastAsia="zh-CN"/>
                    </w:rPr>
                    <w:t>相符</w:t>
                  </w:r>
                </w:p>
              </w:tc>
            </w:tr>
            <w:tr w14:paraId="061EB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7" w:type="dxa"/>
                  <w:gridSpan w:val="4"/>
                  <w:noWrap w:val="0"/>
                  <w:vAlign w:val="center"/>
                </w:tcPr>
                <w:p w14:paraId="4B86156D">
                  <w:pPr>
                    <w:adjustRightInd w:val="0"/>
                    <w:snapToGrid w:val="0"/>
                    <w:jc w:val="center"/>
                    <w:rPr>
                      <w:rFonts w:eastAsia="Times New Roman"/>
                      <w:b/>
                      <w:bCs/>
                      <w:color w:val="auto"/>
                      <w:kern w:val="0"/>
                      <w:szCs w:val="21"/>
                    </w:rPr>
                  </w:pPr>
                  <w:r>
                    <w:rPr>
                      <w:rFonts w:hint="eastAsia" w:ascii="Times New Roman" w:hAnsi="Times New Roman" w:cs="Times New Roman"/>
                      <w:b/>
                      <w:bCs/>
                      <w:color w:val="auto"/>
                      <w:kern w:val="0"/>
                      <w:sz w:val="21"/>
                      <w:szCs w:val="21"/>
                      <w:lang w:val="en-US" w:eastAsia="zh-CN"/>
                    </w:rPr>
                    <w:t>江苏省重点区域（流域）生态环境分区管控要求</w:t>
                  </w:r>
                </w:p>
              </w:tc>
            </w:tr>
            <w:tr w14:paraId="6569A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7" w:type="dxa"/>
                  <w:gridSpan w:val="4"/>
                  <w:noWrap w:val="0"/>
                  <w:vAlign w:val="center"/>
                </w:tcPr>
                <w:p w14:paraId="696A9AC8">
                  <w:pPr>
                    <w:adjustRightInd w:val="0"/>
                    <w:snapToGrid w:val="0"/>
                    <w:jc w:val="center"/>
                    <w:rPr>
                      <w:rFonts w:eastAsia="Times New Roman"/>
                      <w:b/>
                      <w:bCs/>
                      <w:color w:val="auto"/>
                      <w:kern w:val="0"/>
                      <w:szCs w:val="21"/>
                    </w:rPr>
                  </w:pPr>
                  <w:r>
                    <w:rPr>
                      <w:rFonts w:eastAsia="Times New Roman"/>
                      <w:b/>
                      <w:bCs/>
                      <w:color w:val="auto"/>
                      <w:kern w:val="0"/>
                      <w:szCs w:val="21"/>
                    </w:rPr>
                    <w:t>生态环境准入清单（长江流域）</w:t>
                  </w:r>
                </w:p>
              </w:tc>
            </w:tr>
            <w:tr w14:paraId="44AA4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59E009A4">
                  <w:pPr>
                    <w:adjustRightInd w:val="0"/>
                    <w:snapToGrid w:val="0"/>
                    <w:jc w:val="center"/>
                    <w:rPr>
                      <w:rFonts w:eastAsia="Times New Roman"/>
                      <w:b/>
                      <w:bCs/>
                      <w:color w:val="auto"/>
                      <w:kern w:val="0"/>
                      <w:szCs w:val="21"/>
                    </w:rPr>
                  </w:pPr>
                  <w:bookmarkStart w:id="1" w:name="_Hlk182387982"/>
                  <w:r>
                    <w:rPr>
                      <w:rFonts w:eastAsia="Times New Roman"/>
                      <w:b/>
                      <w:bCs/>
                      <w:color w:val="auto"/>
                      <w:kern w:val="0"/>
                      <w:szCs w:val="21"/>
                    </w:rPr>
                    <w:t>管控</w:t>
                  </w:r>
                </w:p>
                <w:p w14:paraId="67EBBE4E">
                  <w:pPr>
                    <w:adjustRightInd w:val="0"/>
                    <w:snapToGrid w:val="0"/>
                    <w:jc w:val="center"/>
                    <w:rPr>
                      <w:rFonts w:eastAsia="Times New Roman"/>
                      <w:b/>
                      <w:bCs/>
                      <w:color w:val="auto"/>
                      <w:kern w:val="0"/>
                      <w:szCs w:val="21"/>
                    </w:rPr>
                  </w:pPr>
                  <w:r>
                    <w:rPr>
                      <w:rFonts w:eastAsia="Times New Roman"/>
                      <w:b/>
                      <w:bCs/>
                      <w:color w:val="auto"/>
                      <w:kern w:val="0"/>
                      <w:szCs w:val="21"/>
                    </w:rPr>
                    <w:t>类别</w:t>
                  </w:r>
                </w:p>
              </w:tc>
              <w:tc>
                <w:tcPr>
                  <w:tcW w:w="4163" w:type="dxa"/>
                  <w:noWrap w:val="0"/>
                  <w:vAlign w:val="center"/>
                </w:tcPr>
                <w:p w14:paraId="287D4790">
                  <w:pPr>
                    <w:autoSpaceDE w:val="0"/>
                    <w:autoSpaceDN w:val="0"/>
                    <w:adjustRightInd w:val="0"/>
                    <w:snapToGrid w:val="0"/>
                    <w:jc w:val="center"/>
                    <w:rPr>
                      <w:rFonts w:eastAsia="Times New Roman"/>
                      <w:b/>
                      <w:bCs/>
                      <w:color w:val="auto"/>
                      <w:kern w:val="0"/>
                      <w:szCs w:val="21"/>
                    </w:rPr>
                  </w:pPr>
                  <w:r>
                    <w:rPr>
                      <w:rFonts w:eastAsia="Times New Roman"/>
                      <w:b/>
                      <w:bCs/>
                      <w:color w:val="auto"/>
                      <w:kern w:val="0"/>
                      <w:szCs w:val="21"/>
                    </w:rPr>
                    <w:t>管控</w:t>
                  </w:r>
                </w:p>
                <w:p w14:paraId="1EEA4E26">
                  <w:pPr>
                    <w:autoSpaceDE w:val="0"/>
                    <w:autoSpaceDN w:val="0"/>
                    <w:adjustRightInd w:val="0"/>
                    <w:snapToGrid w:val="0"/>
                    <w:jc w:val="center"/>
                    <w:rPr>
                      <w:rFonts w:eastAsia="Times New Roman"/>
                      <w:b/>
                      <w:bCs/>
                      <w:color w:val="auto"/>
                      <w:kern w:val="0"/>
                      <w:szCs w:val="21"/>
                    </w:rPr>
                  </w:pPr>
                  <w:r>
                    <w:rPr>
                      <w:rFonts w:eastAsia="Times New Roman"/>
                      <w:b/>
                      <w:bCs/>
                      <w:color w:val="auto"/>
                      <w:kern w:val="0"/>
                      <w:szCs w:val="21"/>
                    </w:rPr>
                    <w:t>要求</w:t>
                  </w:r>
                </w:p>
              </w:tc>
              <w:tc>
                <w:tcPr>
                  <w:tcW w:w="1492" w:type="dxa"/>
                  <w:tcBorders>
                    <w:top w:val="single" w:color="auto" w:sz="4" w:space="0"/>
                    <w:bottom w:val="single" w:color="auto" w:sz="4" w:space="0"/>
                    <w:right w:val="single" w:color="auto" w:sz="4" w:space="0"/>
                  </w:tcBorders>
                  <w:noWrap w:val="0"/>
                  <w:vAlign w:val="center"/>
                </w:tcPr>
                <w:p w14:paraId="3A6968B1">
                  <w:pPr>
                    <w:adjustRightInd w:val="0"/>
                    <w:snapToGrid w:val="0"/>
                    <w:jc w:val="center"/>
                    <w:rPr>
                      <w:rFonts w:eastAsia="Times New Roman"/>
                      <w:b/>
                      <w:bCs/>
                      <w:color w:val="auto"/>
                      <w:kern w:val="0"/>
                      <w:szCs w:val="21"/>
                    </w:rPr>
                  </w:pPr>
                  <w:r>
                    <w:rPr>
                      <w:rFonts w:eastAsia="Times New Roman"/>
                      <w:b/>
                      <w:bCs/>
                      <w:color w:val="auto"/>
                      <w:kern w:val="0"/>
                      <w:szCs w:val="21"/>
                    </w:rPr>
                    <w:t>相符性</w:t>
                  </w:r>
                </w:p>
                <w:p w14:paraId="08A04A7A">
                  <w:pPr>
                    <w:adjustRightInd w:val="0"/>
                    <w:snapToGrid w:val="0"/>
                    <w:jc w:val="center"/>
                    <w:rPr>
                      <w:rFonts w:eastAsia="Times New Roman"/>
                      <w:b/>
                      <w:bCs/>
                      <w:color w:val="auto"/>
                      <w:kern w:val="0"/>
                      <w:szCs w:val="21"/>
                    </w:rPr>
                  </w:pPr>
                  <w:r>
                    <w:rPr>
                      <w:rFonts w:eastAsia="Times New Roman"/>
                      <w:b/>
                      <w:bCs/>
                      <w:color w:val="auto"/>
                      <w:kern w:val="0"/>
                      <w:szCs w:val="21"/>
                    </w:rPr>
                    <w:t>分析</w:t>
                  </w:r>
                </w:p>
              </w:tc>
              <w:tc>
                <w:tcPr>
                  <w:tcW w:w="808" w:type="dxa"/>
                  <w:tcBorders>
                    <w:left w:val="single" w:color="auto" w:sz="4" w:space="0"/>
                  </w:tcBorders>
                  <w:noWrap w:val="0"/>
                  <w:vAlign w:val="center"/>
                </w:tcPr>
                <w:p w14:paraId="66A595F9">
                  <w:pPr>
                    <w:adjustRightInd w:val="0"/>
                    <w:snapToGrid w:val="0"/>
                    <w:jc w:val="center"/>
                    <w:rPr>
                      <w:rFonts w:eastAsia="Times New Roman"/>
                      <w:b/>
                      <w:bCs/>
                      <w:color w:val="auto"/>
                      <w:kern w:val="0"/>
                      <w:szCs w:val="21"/>
                    </w:rPr>
                  </w:pPr>
                  <w:r>
                    <w:rPr>
                      <w:rFonts w:eastAsia="Times New Roman"/>
                      <w:b/>
                      <w:bCs/>
                      <w:color w:val="auto"/>
                      <w:kern w:val="0"/>
                      <w:szCs w:val="21"/>
                    </w:rPr>
                    <w:t>是否</w:t>
                  </w:r>
                </w:p>
                <w:p w14:paraId="06E33F27">
                  <w:pPr>
                    <w:adjustRightInd w:val="0"/>
                    <w:snapToGrid w:val="0"/>
                    <w:jc w:val="center"/>
                    <w:rPr>
                      <w:rFonts w:eastAsia="Times New Roman"/>
                      <w:b/>
                      <w:bCs/>
                      <w:color w:val="auto"/>
                      <w:kern w:val="0"/>
                      <w:szCs w:val="21"/>
                    </w:rPr>
                  </w:pPr>
                  <w:r>
                    <w:rPr>
                      <w:rFonts w:eastAsia="Times New Roman"/>
                      <w:b/>
                      <w:bCs/>
                      <w:color w:val="auto"/>
                      <w:kern w:val="0"/>
                      <w:szCs w:val="21"/>
                    </w:rPr>
                    <w:t>相符</w:t>
                  </w:r>
                </w:p>
              </w:tc>
            </w:tr>
            <w:bookmarkEnd w:id="1"/>
            <w:tr w14:paraId="35EE5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1AC0D9F8">
                  <w:pPr>
                    <w:adjustRightInd w:val="0"/>
                    <w:snapToGrid w:val="0"/>
                    <w:rPr>
                      <w:rFonts w:eastAsia="Times New Roman"/>
                      <w:color w:val="auto"/>
                      <w:kern w:val="0"/>
                      <w:szCs w:val="21"/>
                    </w:rPr>
                  </w:pPr>
                </w:p>
                <w:p w14:paraId="6D452BFA">
                  <w:pPr>
                    <w:adjustRightInd w:val="0"/>
                    <w:snapToGrid w:val="0"/>
                    <w:rPr>
                      <w:rFonts w:eastAsia="Times New Roman"/>
                      <w:color w:val="auto"/>
                      <w:kern w:val="0"/>
                      <w:szCs w:val="21"/>
                    </w:rPr>
                  </w:pPr>
                </w:p>
                <w:p w14:paraId="45F8FE02">
                  <w:pPr>
                    <w:adjustRightInd w:val="0"/>
                    <w:snapToGrid w:val="0"/>
                    <w:rPr>
                      <w:rFonts w:eastAsia="Times New Roman"/>
                      <w:color w:val="auto"/>
                      <w:kern w:val="0"/>
                      <w:szCs w:val="21"/>
                    </w:rPr>
                  </w:pPr>
                </w:p>
                <w:p w14:paraId="6C3A4507">
                  <w:pPr>
                    <w:adjustRightInd w:val="0"/>
                    <w:snapToGrid w:val="0"/>
                    <w:rPr>
                      <w:rFonts w:eastAsia="Times New Roman"/>
                      <w:color w:val="auto"/>
                      <w:kern w:val="0"/>
                      <w:szCs w:val="21"/>
                    </w:rPr>
                  </w:pPr>
                </w:p>
                <w:p w14:paraId="08D8E4DA">
                  <w:pPr>
                    <w:adjustRightInd w:val="0"/>
                    <w:snapToGrid w:val="0"/>
                    <w:rPr>
                      <w:rFonts w:eastAsia="Times New Roman"/>
                      <w:color w:val="auto"/>
                      <w:kern w:val="0"/>
                      <w:szCs w:val="21"/>
                    </w:rPr>
                  </w:pPr>
                </w:p>
                <w:p w14:paraId="69742020">
                  <w:pPr>
                    <w:adjustRightInd w:val="0"/>
                    <w:snapToGrid w:val="0"/>
                    <w:rPr>
                      <w:rFonts w:eastAsia="Times New Roman"/>
                      <w:color w:val="auto"/>
                      <w:kern w:val="0"/>
                      <w:szCs w:val="21"/>
                    </w:rPr>
                  </w:pPr>
                </w:p>
                <w:p w14:paraId="6E908DE0">
                  <w:pPr>
                    <w:adjustRightInd w:val="0"/>
                    <w:snapToGrid w:val="0"/>
                    <w:rPr>
                      <w:rFonts w:eastAsia="Times New Roman"/>
                      <w:color w:val="auto"/>
                      <w:kern w:val="0"/>
                      <w:szCs w:val="21"/>
                    </w:rPr>
                  </w:pPr>
                </w:p>
                <w:p w14:paraId="55F92164">
                  <w:pPr>
                    <w:adjustRightInd w:val="0"/>
                    <w:snapToGrid w:val="0"/>
                    <w:rPr>
                      <w:rFonts w:eastAsia="Times New Roman"/>
                      <w:color w:val="auto"/>
                      <w:kern w:val="0"/>
                      <w:szCs w:val="21"/>
                    </w:rPr>
                  </w:pPr>
                </w:p>
                <w:p w14:paraId="68E44CB4">
                  <w:pPr>
                    <w:adjustRightInd w:val="0"/>
                    <w:snapToGrid w:val="0"/>
                    <w:rPr>
                      <w:rFonts w:eastAsia="Times New Roman"/>
                      <w:color w:val="auto"/>
                      <w:kern w:val="0"/>
                      <w:szCs w:val="21"/>
                    </w:rPr>
                  </w:pPr>
                </w:p>
                <w:p w14:paraId="06E1BB53">
                  <w:pPr>
                    <w:adjustRightInd w:val="0"/>
                    <w:snapToGrid w:val="0"/>
                    <w:rPr>
                      <w:rFonts w:eastAsia="Times New Roman"/>
                      <w:color w:val="auto"/>
                      <w:kern w:val="0"/>
                      <w:szCs w:val="21"/>
                    </w:rPr>
                  </w:pPr>
                </w:p>
                <w:p w14:paraId="7E0518C0">
                  <w:pPr>
                    <w:adjustRightInd w:val="0"/>
                    <w:snapToGrid w:val="0"/>
                    <w:rPr>
                      <w:rFonts w:eastAsia="Times New Roman"/>
                      <w:color w:val="auto"/>
                      <w:kern w:val="0"/>
                      <w:szCs w:val="21"/>
                    </w:rPr>
                  </w:pPr>
                  <w:r>
                    <w:rPr>
                      <w:rFonts w:eastAsia="Times New Roman"/>
                      <w:color w:val="auto"/>
                      <w:kern w:val="0"/>
                      <w:szCs w:val="21"/>
                    </w:rPr>
                    <w:t>空间布局约束</w:t>
                  </w:r>
                </w:p>
              </w:tc>
              <w:tc>
                <w:tcPr>
                  <w:tcW w:w="4163" w:type="dxa"/>
                  <w:noWrap w:val="0"/>
                  <w:vAlign w:val="center"/>
                </w:tcPr>
                <w:p w14:paraId="791E0A06">
                  <w:pPr>
                    <w:autoSpaceDE w:val="0"/>
                    <w:autoSpaceDN w:val="0"/>
                    <w:adjustRightInd w:val="0"/>
                    <w:snapToGrid w:val="0"/>
                    <w:rPr>
                      <w:rFonts w:eastAsia="Times New Roman"/>
                      <w:color w:val="auto"/>
                      <w:kern w:val="0"/>
                      <w:szCs w:val="21"/>
                    </w:rPr>
                  </w:pPr>
                  <w:r>
                    <w:rPr>
                      <w:rFonts w:eastAsia="Times New Roman"/>
                      <w:color w:val="auto"/>
                      <w:kern w:val="0"/>
                      <w:szCs w:val="21"/>
                    </w:rPr>
                    <w:t>1、始终把长江生态修复放在首位，坚持共抓大保护、不搞大开发，引导长江流域产业转型升级和布局优化调整，实现科学发展、有序发展、高质量发展。</w:t>
                  </w:r>
                </w:p>
                <w:p w14:paraId="3EE1CA68">
                  <w:pPr>
                    <w:autoSpaceDE w:val="0"/>
                    <w:autoSpaceDN w:val="0"/>
                    <w:adjustRightInd w:val="0"/>
                    <w:snapToGrid w:val="0"/>
                    <w:rPr>
                      <w:rFonts w:eastAsia="Times New Roman"/>
                      <w:color w:val="auto"/>
                      <w:kern w:val="0"/>
                      <w:szCs w:val="21"/>
                    </w:rPr>
                  </w:pPr>
                  <w:r>
                    <w:rPr>
                      <w:rFonts w:eastAsia="Times New Roman"/>
                      <w:color w:val="auto"/>
                      <w:kern w:val="0"/>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D12D012">
                  <w:pPr>
                    <w:autoSpaceDE w:val="0"/>
                    <w:autoSpaceDN w:val="0"/>
                    <w:adjustRightInd w:val="0"/>
                    <w:snapToGrid w:val="0"/>
                    <w:rPr>
                      <w:rFonts w:eastAsia="Times New Roman"/>
                      <w:color w:val="auto"/>
                      <w:kern w:val="0"/>
                      <w:szCs w:val="21"/>
                    </w:rPr>
                  </w:pPr>
                  <w:r>
                    <w:rPr>
                      <w:rFonts w:eastAsia="Times New Roman"/>
                      <w:color w:val="auto"/>
                      <w:kern w:val="0"/>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18C14582">
                  <w:pPr>
                    <w:autoSpaceDE w:val="0"/>
                    <w:autoSpaceDN w:val="0"/>
                    <w:adjustRightInd w:val="0"/>
                    <w:snapToGrid w:val="0"/>
                    <w:rPr>
                      <w:rFonts w:eastAsia="Times New Roman"/>
                      <w:color w:val="auto"/>
                      <w:kern w:val="0"/>
                      <w:szCs w:val="21"/>
                    </w:rPr>
                  </w:pPr>
                  <w:r>
                    <w:rPr>
                      <w:rFonts w:eastAsia="Times New Roman"/>
                      <w:color w:val="auto"/>
                      <w:kern w:val="0"/>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5B01CAB4">
                  <w:pPr>
                    <w:autoSpaceDE w:val="0"/>
                    <w:autoSpaceDN w:val="0"/>
                    <w:adjustRightInd w:val="0"/>
                    <w:snapToGrid w:val="0"/>
                    <w:rPr>
                      <w:rFonts w:eastAsia="Times New Roman"/>
                      <w:color w:val="auto"/>
                      <w:kern w:val="0"/>
                      <w:szCs w:val="21"/>
                    </w:rPr>
                  </w:pPr>
                  <w:r>
                    <w:rPr>
                      <w:rFonts w:eastAsia="Times New Roman"/>
                      <w:color w:val="auto"/>
                      <w:kern w:val="0"/>
                      <w:szCs w:val="21"/>
                    </w:rPr>
                    <w:t>5、禁止新建独立焦化项目。</w:t>
                  </w:r>
                </w:p>
              </w:tc>
              <w:tc>
                <w:tcPr>
                  <w:tcW w:w="1492" w:type="dxa"/>
                  <w:tcBorders>
                    <w:top w:val="single" w:color="auto" w:sz="4" w:space="0"/>
                    <w:bottom w:val="single" w:color="auto" w:sz="4" w:space="0"/>
                    <w:right w:val="single" w:color="auto" w:sz="4" w:space="0"/>
                  </w:tcBorders>
                  <w:noWrap w:val="0"/>
                  <w:vAlign w:val="center"/>
                </w:tcPr>
                <w:p w14:paraId="7C3B4C0B">
                  <w:pPr>
                    <w:adjustRightInd w:val="0"/>
                    <w:snapToGrid w:val="0"/>
                    <w:rPr>
                      <w:rFonts w:eastAsia="Times New Roman"/>
                      <w:color w:val="auto"/>
                      <w:kern w:val="0"/>
                      <w:szCs w:val="21"/>
                    </w:rPr>
                  </w:pPr>
                  <w:r>
                    <w:rPr>
                      <w:rFonts w:eastAsia="Times New Roman"/>
                      <w:color w:val="auto"/>
                      <w:kern w:val="0"/>
                      <w:szCs w:val="21"/>
                    </w:rPr>
                    <w:t>本项目不在生态保护红线和永久基本农田范围内，不属于化学工业园区、大宗进口油气资源使用项目，不在长江干流和主要支流岸线1公里范围内，不属于码头建设项目、过江干线通道建设项目及焦化项目</w:t>
                  </w:r>
                </w:p>
              </w:tc>
              <w:tc>
                <w:tcPr>
                  <w:tcW w:w="808" w:type="dxa"/>
                  <w:tcBorders>
                    <w:left w:val="single" w:color="auto" w:sz="4" w:space="0"/>
                  </w:tcBorders>
                  <w:noWrap w:val="0"/>
                  <w:vAlign w:val="center"/>
                </w:tcPr>
                <w:p w14:paraId="42A1D166">
                  <w:pPr>
                    <w:adjustRightInd w:val="0"/>
                    <w:snapToGrid w:val="0"/>
                    <w:jc w:val="center"/>
                    <w:rPr>
                      <w:rFonts w:hint="eastAsia" w:eastAsia="宋体"/>
                      <w:color w:val="auto"/>
                      <w:kern w:val="0"/>
                      <w:szCs w:val="21"/>
                      <w:lang w:eastAsia="zh-CN"/>
                    </w:rPr>
                  </w:pPr>
                  <w:r>
                    <w:rPr>
                      <w:rFonts w:hint="eastAsia" w:eastAsia="宋体"/>
                      <w:color w:val="auto"/>
                      <w:kern w:val="0"/>
                      <w:szCs w:val="21"/>
                      <w:lang w:val="en-US" w:eastAsia="zh-CN"/>
                    </w:rPr>
                    <w:t>符合</w:t>
                  </w:r>
                </w:p>
              </w:tc>
            </w:tr>
            <w:tr w14:paraId="37301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5E3221D3">
                  <w:pPr>
                    <w:adjustRightInd w:val="0"/>
                    <w:snapToGrid w:val="0"/>
                    <w:rPr>
                      <w:rFonts w:eastAsia="Times New Roman"/>
                      <w:color w:val="auto"/>
                      <w:kern w:val="0"/>
                      <w:szCs w:val="21"/>
                    </w:rPr>
                  </w:pPr>
                  <w:r>
                    <w:rPr>
                      <w:rFonts w:eastAsia="Times New Roman"/>
                      <w:color w:val="auto"/>
                      <w:kern w:val="0"/>
                      <w:szCs w:val="21"/>
                    </w:rPr>
                    <w:t>污染物排放管控</w:t>
                  </w:r>
                </w:p>
              </w:tc>
              <w:tc>
                <w:tcPr>
                  <w:tcW w:w="4163" w:type="dxa"/>
                  <w:noWrap w:val="0"/>
                  <w:vAlign w:val="center"/>
                </w:tcPr>
                <w:p w14:paraId="75E64DAA">
                  <w:pPr>
                    <w:autoSpaceDE w:val="0"/>
                    <w:autoSpaceDN w:val="0"/>
                    <w:adjustRightInd w:val="0"/>
                    <w:snapToGrid w:val="0"/>
                    <w:rPr>
                      <w:rFonts w:eastAsia="Times New Roman"/>
                      <w:color w:val="auto"/>
                      <w:kern w:val="0"/>
                      <w:szCs w:val="21"/>
                    </w:rPr>
                  </w:pPr>
                  <w:r>
                    <w:rPr>
                      <w:rFonts w:eastAsia="Times New Roman"/>
                      <w:color w:val="auto"/>
                      <w:kern w:val="0"/>
                      <w:szCs w:val="21"/>
                    </w:rPr>
                    <w:t>1、根据《江苏省长江水污染防治条例》实施污染物总量控制制度。</w:t>
                  </w:r>
                </w:p>
                <w:p w14:paraId="43DEB6B2">
                  <w:pPr>
                    <w:autoSpaceDE w:val="0"/>
                    <w:autoSpaceDN w:val="0"/>
                    <w:adjustRightInd w:val="0"/>
                    <w:snapToGrid w:val="0"/>
                    <w:rPr>
                      <w:rFonts w:eastAsia="Times New Roman"/>
                      <w:color w:val="auto"/>
                      <w:kern w:val="0"/>
                      <w:szCs w:val="21"/>
                    </w:rPr>
                  </w:pPr>
                  <w:r>
                    <w:rPr>
                      <w:rFonts w:eastAsia="Times New Roman"/>
                      <w:color w:val="auto"/>
                      <w:kern w:val="0"/>
                      <w:szCs w:val="21"/>
                    </w:rPr>
                    <w:t>2、全面加强和规范长江入河排污口管理，有效管控入河污染物排放，形成权责清晰、监控到位、管理规范的长江入河排污口监管体系，加快改善长江水环境质量。</w:t>
                  </w:r>
                </w:p>
              </w:tc>
              <w:tc>
                <w:tcPr>
                  <w:tcW w:w="1492" w:type="dxa"/>
                  <w:tcBorders>
                    <w:top w:val="single" w:color="auto" w:sz="4" w:space="0"/>
                    <w:bottom w:val="single" w:color="auto" w:sz="4" w:space="0"/>
                    <w:right w:val="single" w:color="auto" w:sz="4" w:space="0"/>
                  </w:tcBorders>
                  <w:noWrap w:val="0"/>
                  <w:vAlign w:val="center"/>
                </w:tcPr>
                <w:p w14:paraId="73DEC37F">
                  <w:pPr>
                    <w:adjustRightInd w:val="0"/>
                    <w:snapToGrid w:val="0"/>
                    <w:rPr>
                      <w:rFonts w:eastAsia="Times New Roman"/>
                      <w:color w:val="auto"/>
                      <w:kern w:val="0"/>
                      <w:szCs w:val="21"/>
                    </w:rPr>
                  </w:pPr>
                  <w:r>
                    <w:rPr>
                      <w:rFonts w:hint="eastAsia" w:ascii="Times New Roman" w:hAnsi="Times New Roman" w:eastAsia="宋体" w:cs="Times New Roman"/>
                      <w:color w:val="auto"/>
                      <w:szCs w:val="21"/>
                      <w:shd w:val="clear" w:color="auto" w:fill="auto"/>
                      <w:lang w:val="en-US" w:eastAsia="zh-CN"/>
                    </w:rPr>
                    <w:t>本项目属于简化管理，项目建成后将实施污染物总量控制，新增大气污染物总量和水污染物总量能在如皋市范围内平衡。故不会突破生态环境承载力。</w:t>
                  </w:r>
                </w:p>
              </w:tc>
              <w:tc>
                <w:tcPr>
                  <w:tcW w:w="808" w:type="dxa"/>
                  <w:tcBorders>
                    <w:left w:val="single" w:color="auto" w:sz="4" w:space="0"/>
                  </w:tcBorders>
                  <w:noWrap w:val="0"/>
                  <w:vAlign w:val="center"/>
                </w:tcPr>
                <w:p w14:paraId="3E035AE4">
                  <w:pPr>
                    <w:adjustRightInd w:val="0"/>
                    <w:snapToGrid w:val="0"/>
                    <w:jc w:val="center"/>
                    <w:rPr>
                      <w:rFonts w:hint="default" w:eastAsia="宋体"/>
                      <w:color w:val="auto"/>
                      <w:kern w:val="0"/>
                      <w:szCs w:val="21"/>
                      <w:lang w:val="en-US" w:eastAsia="zh-CN"/>
                    </w:rPr>
                  </w:pPr>
                  <w:r>
                    <w:rPr>
                      <w:rFonts w:hint="eastAsia" w:eastAsia="宋体"/>
                      <w:color w:val="auto"/>
                      <w:kern w:val="0"/>
                      <w:szCs w:val="21"/>
                      <w:lang w:val="en-US" w:eastAsia="zh-CN"/>
                    </w:rPr>
                    <w:t>符合</w:t>
                  </w:r>
                </w:p>
              </w:tc>
            </w:tr>
            <w:tr w14:paraId="5B3DD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35B4054A">
                  <w:pPr>
                    <w:adjustRightInd w:val="0"/>
                    <w:snapToGrid w:val="0"/>
                    <w:rPr>
                      <w:rFonts w:eastAsia="Times New Roman"/>
                      <w:color w:val="auto"/>
                      <w:kern w:val="0"/>
                      <w:szCs w:val="21"/>
                    </w:rPr>
                  </w:pPr>
                  <w:r>
                    <w:rPr>
                      <w:rFonts w:eastAsia="Times New Roman"/>
                      <w:color w:val="auto"/>
                      <w:kern w:val="0"/>
                      <w:szCs w:val="21"/>
                    </w:rPr>
                    <w:t>环境</w:t>
                  </w:r>
                </w:p>
                <w:p w14:paraId="014F5EFF">
                  <w:pPr>
                    <w:adjustRightInd w:val="0"/>
                    <w:snapToGrid w:val="0"/>
                    <w:rPr>
                      <w:rFonts w:eastAsia="Times New Roman"/>
                      <w:color w:val="auto"/>
                      <w:kern w:val="0"/>
                      <w:szCs w:val="21"/>
                    </w:rPr>
                  </w:pPr>
                  <w:r>
                    <w:rPr>
                      <w:rFonts w:eastAsia="Times New Roman"/>
                      <w:color w:val="auto"/>
                      <w:kern w:val="0"/>
                      <w:szCs w:val="21"/>
                    </w:rPr>
                    <w:t>风险</w:t>
                  </w:r>
                </w:p>
                <w:p w14:paraId="201F15E5">
                  <w:pPr>
                    <w:adjustRightInd w:val="0"/>
                    <w:snapToGrid w:val="0"/>
                    <w:rPr>
                      <w:rFonts w:eastAsia="Times New Roman"/>
                      <w:color w:val="auto"/>
                      <w:kern w:val="0"/>
                      <w:szCs w:val="21"/>
                    </w:rPr>
                  </w:pPr>
                  <w:r>
                    <w:rPr>
                      <w:rFonts w:eastAsia="Times New Roman"/>
                      <w:color w:val="auto"/>
                      <w:kern w:val="0"/>
                      <w:szCs w:val="21"/>
                    </w:rPr>
                    <w:t>防控</w:t>
                  </w:r>
                </w:p>
              </w:tc>
              <w:tc>
                <w:tcPr>
                  <w:tcW w:w="4163" w:type="dxa"/>
                  <w:noWrap w:val="0"/>
                  <w:vAlign w:val="center"/>
                </w:tcPr>
                <w:p w14:paraId="36B045D8">
                  <w:pPr>
                    <w:autoSpaceDE w:val="0"/>
                    <w:autoSpaceDN w:val="0"/>
                    <w:adjustRightInd w:val="0"/>
                    <w:snapToGrid w:val="0"/>
                    <w:rPr>
                      <w:rFonts w:eastAsia="Times New Roman"/>
                      <w:color w:val="auto"/>
                      <w:szCs w:val="21"/>
                    </w:rPr>
                  </w:pPr>
                  <w:r>
                    <w:rPr>
                      <w:rFonts w:eastAsia="Times New Roman"/>
                      <w:color w:val="auto"/>
                      <w:szCs w:val="21"/>
                    </w:rPr>
                    <w:t>1、防范沿江环境风险。深化沿江石化、化工、医药、纺织、印染、化纤、危化品和石油类仓储、涉重金属和危险废物处置等重点企业环境风险防控。</w:t>
                  </w:r>
                </w:p>
                <w:p w14:paraId="17ED119B">
                  <w:pPr>
                    <w:autoSpaceDE w:val="0"/>
                    <w:autoSpaceDN w:val="0"/>
                    <w:adjustRightInd w:val="0"/>
                    <w:snapToGrid w:val="0"/>
                    <w:rPr>
                      <w:rFonts w:eastAsia="Times New Roman"/>
                      <w:color w:val="auto"/>
                      <w:szCs w:val="21"/>
                    </w:rPr>
                  </w:pPr>
                  <w:r>
                    <w:rPr>
                      <w:rFonts w:eastAsia="Times New Roman"/>
                      <w:color w:val="auto"/>
                      <w:szCs w:val="21"/>
                    </w:rPr>
                    <w:t>2、加强饮用水水源保护。优化水源保护区划定，推动饮用水水源地规范化建设。</w:t>
                  </w:r>
                </w:p>
              </w:tc>
              <w:tc>
                <w:tcPr>
                  <w:tcW w:w="1492" w:type="dxa"/>
                  <w:tcBorders>
                    <w:top w:val="single" w:color="auto" w:sz="4" w:space="0"/>
                    <w:bottom w:val="single" w:color="auto" w:sz="4" w:space="0"/>
                    <w:right w:val="single" w:color="auto" w:sz="4" w:space="0"/>
                  </w:tcBorders>
                  <w:noWrap w:val="0"/>
                  <w:vAlign w:val="center"/>
                </w:tcPr>
                <w:p w14:paraId="173874F3">
                  <w:pPr>
                    <w:widowControl/>
                    <w:jc w:val="left"/>
                    <w:rPr>
                      <w:rFonts w:eastAsia="Times New Roman"/>
                      <w:color w:val="auto"/>
                      <w:szCs w:val="21"/>
                    </w:rPr>
                  </w:pPr>
                  <w:r>
                    <w:rPr>
                      <w:rFonts w:eastAsia="Times New Roman"/>
                      <w:color w:val="auto"/>
                      <w:kern w:val="0"/>
                      <w:szCs w:val="21"/>
                      <w:lang w:bidi="ar"/>
                    </w:rPr>
                    <w:t xml:space="preserve">本项目建成后将制定环境风险应急预案，同时企业内储备有足够的环境应急物资，实现环境 </w:t>
                  </w:r>
                </w:p>
                <w:p w14:paraId="2DDE4DE5">
                  <w:pPr>
                    <w:widowControl/>
                    <w:jc w:val="left"/>
                    <w:rPr>
                      <w:rFonts w:eastAsia="Times New Roman"/>
                      <w:color w:val="auto"/>
                      <w:kern w:val="0"/>
                      <w:szCs w:val="21"/>
                    </w:rPr>
                  </w:pPr>
                  <w:r>
                    <w:rPr>
                      <w:rFonts w:eastAsia="Times New Roman"/>
                      <w:color w:val="auto"/>
                      <w:kern w:val="0"/>
                      <w:szCs w:val="21"/>
                      <w:lang w:bidi="ar"/>
                    </w:rPr>
                    <w:t>风险联防联控，故能满足环境风险防控的相关要求。</w:t>
                  </w:r>
                </w:p>
              </w:tc>
              <w:tc>
                <w:tcPr>
                  <w:tcW w:w="808" w:type="dxa"/>
                  <w:tcBorders>
                    <w:left w:val="single" w:color="auto" w:sz="4" w:space="0"/>
                  </w:tcBorders>
                  <w:noWrap w:val="0"/>
                  <w:vAlign w:val="center"/>
                </w:tcPr>
                <w:p w14:paraId="67369F64">
                  <w:pPr>
                    <w:adjustRightInd w:val="0"/>
                    <w:snapToGrid w:val="0"/>
                    <w:jc w:val="center"/>
                    <w:rPr>
                      <w:rFonts w:hint="eastAsia" w:eastAsia="宋体"/>
                      <w:color w:val="auto"/>
                      <w:kern w:val="0"/>
                      <w:szCs w:val="21"/>
                      <w:lang w:eastAsia="zh-CN"/>
                    </w:rPr>
                  </w:pPr>
                  <w:r>
                    <w:rPr>
                      <w:rFonts w:hint="eastAsia" w:eastAsia="宋体"/>
                      <w:color w:val="auto"/>
                      <w:kern w:val="0"/>
                      <w:szCs w:val="21"/>
                      <w:lang w:val="en-US" w:eastAsia="zh-CN"/>
                    </w:rPr>
                    <w:t>符合</w:t>
                  </w:r>
                </w:p>
              </w:tc>
            </w:tr>
            <w:tr w14:paraId="4D559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5203CE5B">
                  <w:pPr>
                    <w:adjustRightInd w:val="0"/>
                    <w:snapToGrid w:val="0"/>
                    <w:rPr>
                      <w:rFonts w:eastAsia="Times New Roman"/>
                      <w:color w:val="auto"/>
                      <w:kern w:val="0"/>
                      <w:szCs w:val="21"/>
                    </w:rPr>
                  </w:pPr>
                  <w:r>
                    <w:rPr>
                      <w:rFonts w:eastAsia="Times New Roman"/>
                      <w:color w:val="auto"/>
                      <w:kern w:val="0"/>
                      <w:szCs w:val="21"/>
                    </w:rPr>
                    <w:t>资源</w:t>
                  </w:r>
                </w:p>
                <w:p w14:paraId="3A9760C3">
                  <w:pPr>
                    <w:adjustRightInd w:val="0"/>
                    <w:snapToGrid w:val="0"/>
                    <w:rPr>
                      <w:rFonts w:eastAsia="Times New Roman"/>
                      <w:color w:val="auto"/>
                      <w:kern w:val="0"/>
                      <w:szCs w:val="21"/>
                    </w:rPr>
                  </w:pPr>
                  <w:r>
                    <w:rPr>
                      <w:rFonts w:eastAsia="Times New Roman"/>
                      <w:color w:val="auto"/>
                      <w:kern w:val="0"/>
                      <w:szCs w:val="21"/>
                    </w:rPr>
                    <w:t>利用</w:t>
                  </w:r>
                </w:p>
                <w:p w14:paraId="4E3C54A1">
                  <w:pPr>
                    <w:adjustRightInd w:val="0"/>
                    <w:snapToGrid w:val="0"/>
                    <w:rPr>
                      <w:rFonts w:eastAsia="Times New Roman"/>
                      <w:color w:val="auto"/>
                      <w:kern w:val="0"/>
                      <w:szCs w:val="21"/>
                    </w:rPr>
                  </w:pPr>
                  <w:r>
                    <w:rPr>
                      <w:rFonts w:eastAsia="Times New Roman"/>
                      <w:color w:val="auto"/>
                      <w:kern w:val="0"/>
                      <w:szCs w:val="21"/>
                    </w:rPr>
                    <w:t>效率</w:t>
                  </w:r>
                </w:p>
                <w:p w14:paraId="6C6DD64B">
                  <w:pPr>
                    <w:adjustRightInd w:val="0"/>
                    <w:snapToGrid w:val="0"/>
                    <w:rPr>
                      <w:rFonts w:eastAsia="Times New Roman"/>
                      <w:color w:val="auto"/>
                      <w:kern w:val="0"/>
                      <w:szCs w:val="21"/>
                    </w:rPr>
                  </w:pPr>
                  <w:r>
                    <w:rPr>
                      <w:rFonts w:eastAsia="Times New Roman"/>
                      <w:color w:val="auto"/>
                      <w:kern w:val="0"/>
                      <w:szCs w:val="21"/>
                    </w:rPr>
                    <w:t>要求</w:t>
                  </w:r>
                </w:p>
              </w:tc>
              <w:tc>
                <w:tcPr>
                  <w:tcW w:w="4163" w:type="dxa"/>
                  <w:noWrap w:val="0"/>
                  <w:vAlign w:val="center"/>
                </w:tcPr>
                <w:p w14:paraId="20055BB3">
                  <w:pPr>
                    <w:autoSpaceDE w:val="0"/>
                    <w:autoSpaceDN w:val="0"/>
                    <w:adjustRightInd w:val="0"/>
                    <w:snapToGrid w:val="0"/>
                    <w:rPr>
                      <w:rFonts w:eastAsia="Times New Roman"/>
                      <w:color w:val="auto"/>
                      <w:kern w:val="0"/>
                      <w:szCs w:val="21"/>
                    </w:rPr>
                  </w:pPr>
                  <w:r>
                    <w:rPr>
                      <w:rFonts w:eastAsia="Times New Roman"/>
                      <w:color w:val="auto"/>
                      <w:kern w:val="0"/>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492" w:type="dxa"/>
                  <w:tcBorders>
                    <w:top w:val="single" w:color="auto" w:sz="4" w:space="0"/>
                    <w:bottom w:val="single" w:color="auto" w:sz="4" w:space="0"/>
                    <w:right w:val="single" w:color="auto" w:sz="4" w:space="0"/>
                  </w:tcBorders>
                  <w:noWrap w:val="0"/>
                  <w:vAlign w:val="center"/>
                </w:tcPr>
                <w:p w14:paraId="4680724E">
                  <w:pPr>
                    <w:adjustRightInd w:val="0"/>
                    <w:snapToGrid w:val="0"/>
                    <w:rPr>
                      <w:rFonts w:eastAsia="Times New Roman"/>
                      <w:color w:val="auto"/>
                      <w:kern w:val="0"/>
                      <w:szCs w:val="21"/>
                    </w:rPr>
                  </w:pPr>
                  <w:r>
                    <w:rPr>
                      <w:rFonts w:eastAsia="Times New Roman"/>
                      <w:color w:val="auto"/>
                      <w:kern w:val="0"/>
                      <w:szCs w:val="21"/>
                    </w:rPr>
                    <w:t>本项目不属于化工、尾矿库项目</w:t>
                  </w:r>
                </w:p>
              </w:tc>
              <w:tc>
                <w:tcPr>
                  <w:tcW w:w="808" w:type="dxa"/>
                  <w:tcBorders>
                    <w:left w:val="single" w:color="auto" w:sz="4" w:space="0"/>
                  </w:tcBorders>
                  <w:noWrap w:val="0"/>
                  <w:vAlign w:val="center"/>
                </w:tcPr>
                <w:p w14:paraId="5E102B95">
                  <w:pPr>
                    <w:adjustRightInd w:val="0"/>
                    <w:snapToGrid w:val="0"/>
                    <w:jc w:val="center"/>
                    <w:rPr>
                      <w:rFonts w:hint="eastAsia" w:eastAsia="宋体"/>
                      <w:color w:val="auto"/>
                      <w:kern w:val="0"/>
                      <w:szCs w:val="21"/>
                      <w:lang w:eastAsia="zh-CN"/>
                    </w:rPr>
                  </w:pPr>
                  <w:r>
                    <w:rPr>
                      <w:rFonts w:hint="eastAsia" w:eastAsia="宋体"/>
                      <w:color w:val="auto"/>
                      <w:kern w:val="0"/>
                      <w:szCs w:val="21"/>
                      <w:lang w:val="en-US" w:eastAsia="zh-CN"/>
                    </w:rPr>
                    <w:t>符合</w:t>
                  </w:r>
                </w:p>
              </w:tc>
            </w:tr>
            <w:tr w14:paraId="170A9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7" w:type="dxa"/>
                  <w:gridSpan w:val="4"/>
                  <w:noWrap w:val="0"/>
                  <w:vAlign w:val="center"/>
                </w:tcPr>
                <w:p w14:paraId="63BE4040">
                  <w:pPr>
                    <w:adjustRightInd w:val="0"/>
                    <w:snapToGrid w:val="0"/>
                    <w:jc w:val="center"/>
                    <w:rPr>
                      <w:rFonts w:eastAsia="Times New Roman"/>
                      <w:b/>
                      <w:bCs/>
                      <w:color w:val="auto"/>
                      <w:kern w:val="0"/>
                      <w:szCs w:val="21"/>
                    </w:rPr>
                  </w:pPr>
                  <w:r>
                    <w:rPr>
                      <w:rFonts w:eastAsia="Times New Roman"/>
                      <w:b/>
                      <w:bCs/>
                      <w:color w:val="auto"/>
                      <w:kern w:val="0"/>
                      <w:szCs w:val="21"/>
                    </w:rPr>
                    <w:t>生态环境准入清单（沿海地区）</w:t>
                  </w:r>
                </w:p>
              </w:tc>
            </w:tr>
            <w:tr w14:paraId="00CD3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22401ED8">
                  <w:pPr>
                    <w:adjustRightInd w:val="0"/>
                    <w:snapToGrid w:val="0"/>
                    <w:jc w:val="center"/>
                    <w:rPr>
                      <w:rFonts w:eastAsia="Times New Roman"/>
                      <w:b/>
                      <w:bCs/>
                      <w:color w:val="auto"/>
                      <w:kern w:val="0"/>
                      <w:szCs w:val="21"/>
                    </w:rPr>
                  </w:pPr>
                  <w:r>
                    <w:rPr>
                      <w:rFonts w:eastAsia="Times New Roman"/>
                      <w:b/>
                      <w:bCs/>
                      <w:color w:val="auto"/>
                      <w:kern w:val="0"/>
                      <w:szCs w:val="21"/>
                    </w:rPr>
                    <w:t>管控</w:t>
                  </w:r>
                </w:p>
                <w:p w14:paraId="47C61115">
                  <w:pPr>
                    <w:adjustRightInd w:val="0"/>
                    <w:snapToGrid w:val="0"/>
                    <w:jc w:val="center"/>
                    <w:rPr>
                      <w:rFonts w:eastAsia="Times New Roman"/>
                      <w:color w:val="auto"/>
                      <w:kern w:val="0"/>
                      <w:szCs w:val="21"/>
                    </w:rPr>
                  </w:pPr>
                  <w:r>
                    <w:rPr>
                      <w:rFonts w:eastAsia="Times New Roman"/>
                      <w:b/>
                      <w:bCs/>
                      <w:color w:val="auto"/>
                      <w:kern w:val="0"/>
                      <w:szCs w:val="21"/>
                    </w:rPr>
                    <w:t>类别</w:t>
                  </w:r>
                </w:p>
              </w:tc>
              <w:tc>
                <w:tcPr>
                  <w:tcW w:w="4163" w:type="dxa"/>
                  <w:noWrap w:val="0"/>
                  <w:vAlign w:val="center"/>
                </w:tcPr>
                <w:p w14:paraId="15BCB07F">
                  <w:pPr>
                    <w:autoSpaceDE w:val="0"/>
                    <w:autoSpaceDN w:val="0"/>
                    <w:adjustRightInd w:val="0"/>
                    <w:snapToGrid w:val="0"/>
                    <w:jc w:val="center"/>
                    <w:rPr>
                      <w:rFonts w:eastAsia="Times New Roman"/>
                      <w:b/>
                      <w:bCs/>
                      <w:color w:val="auto"/>
                      <w:kern w:val="0"/>
                      <w:szCs w:val="21"/>
                    </w:rPr>
                  </w:pPr>
                  <w:r>
                    <w:rPr>
                      <w:rFonts w:eastAsia="Times New Roman"/>
                      <w:b/>
                      <w:bCs/>
                      <w:color w:val="auto"/>
                      <w:kern w:val="0"/>
                      <w:szCs w:val="21"/>
                    </w:rPr>
                    <w:t>管控</w:t>
                  </w:r>
                </w:p>
                <w:p w14:paraId="00ECAFC8">
                  <w:pPr>
                    <w:autoSpaceDE w:val="0"/>
                    <w:autoSpaceDN w:val="0"/>
                    <w:adjustRightInd w:val="0"/>
                    <w:snapToGrid w:val="0"/>
                    <w:jc w:val="center"/>
                    <w:rPr>
                      <w:rFonts w:eastAsia="Times New Roman"/>
                      <w:color w:val="auto"/>
                      <w:kern w:val="0"/>
                      <w:szCs w:val="21"/>
                    </w:rPr>
                  </w:pPr>
                  <w:r>
                    <w:rPr>
                      <w:rFonts w:eastAsia="Times New Roman"/>
                      <w:b/>
                      <w:bCs/>
                      <w:color w:val="auto"/>
                      <w:kern w:val="0"/>
                      <w:szCs w:val="21"/>
                    </w:rPr>
                    <w:t>要求</w:t>
                  </w:r>
                </w:p>
              </w:tc>
              <w:tc>
                <w:tcPr>
                  <w:tcW w:w="1492" w:type="dxa"/>
                  <w:tcBorders>
                    <w:top w:val="single" w:color="auto" w:sz="4" w:space="0"/>
                    <w:bottom w:val="single" w:color="auto" w:sz="4" w:space="0"/>
                    <w:right w:val="single" w:color="auto" w:sz="4" w:space="0"/>
                  </w:tcBorders>
                  <w:noWrap w:val="0"/>
                  <w:vAlign w:val="center"/>
                </w:tcPr>
                <w:p w14:paraId="357BFEF6">
                  <w:pPr>
                    <w:adjustRightInd w:val="0"/>
                    <w:snapToGrid w:val="0"/>
                    <w:jc w:val="center"/>
                    <w:rPr>
                      <w:rFonts w:eastAsia="Times New Roman"/>
                      <w:b/>
                      <w:bCs/>
                      <w:color w:val="auto"/>
                      <w:kern w:val="0"/>
                      <w:szCs w:val="21"/>
                    </w:rPr>
                  </w:pPr>
                  <w:r>
                    <w:rPr>
                      <w:rFonts w:eastAsia="Times New Roman"/>
                      <w:b/>
                      <w:bCs/>
                      <w:color w:val="auto"/>
                      <w:kern w:val="0"/>
                      <w:szCs w:val="21"/>
                    </w:rPr>
                    <w:t>相符性</w:t>
                  </w:r>
                </w:p>
                <w:p w14:paraId="3415DB2F">
                  <w:pPr>
                    <w:adjustRightInd w:val="0"/>
                    <w:snapToGrid w:val="0"/>
                    <w:jc w:val="center"/>
                    <w:rPr>
                      <w:rFonts w:eastAsia="Times New Roman"/>
                      <w:color w:val="auto"/>
                      <w:kern w:val="0"/>
                      <w:szCs w:val="21"/>
                    </w:rPr>
                  </w:pPr>
                  <w:r>
                    <w:rPr>
                      <w:rFonts w:eastAsia="Times New Roman"/>
                      <w:b/>
                      <w:bCs/>
                      <w:color w:val="auto"/>
                      <w:kern w:val="0"/>
                      <w:szCs w:val="21"/>
                    </w:rPr>
                    <w:t>分析</w:t>
                  </w:r>
                </w:p>
              </w:tc>
              <w:tc>
                <w:tcPr>
                  <w:tcW w:w="808" w:type="dxa"/>
                  <w:tcBorders>
                    <w:left w:val="single" w:color="auto" w:sz="4" w:space="0"/>
                  </w:tcBorders>
                  <w:noWrap w:val="0"/>
                  <w:vAlign w:val="center"/>
                </w:tcPr>
                <w:p w14:paraId="3CDDF11A">
                  <w:pPr>
                    <w:adjustRightInd w:val="0"/>
                    <w:snapToGrid w:val="0"/>
                    <w:jc w:val="center"/>
                    <w:rPr>
                      <w:rFonts w:eastAsia="Times New Roman"/>
                      <w:b/>
                      <w:bCs/>
                      <w:color w:val="auto"/>
                      <w:kern w:val="0"/>
                      <w:szCs w:val="21"/>
                    </w:rPr>
                  </w:pPr>
                  <w:r>
                    <w:rPr>
                      <w:rFonts w:eastAsia="Times New Roman"/>
                      <w:b/>
                      <w:bCs/>
                      <w:color w:val="auto"/>
                      <w:kern w:val="0"/>
                      <w:szCs w:val="21"/>
                    </w:rPr>
                    <w:t>是否</w:t>
                  </w:r>
                </w:p>
                <w:p w14:paraId="2DF30009">
                  <w:pPr>
                    <w:adjustRightInd w:val="0"/>
                    <w:snapToGrid w:val="0"/>
                    <w:jc w:val="center"/>
                    <w:rPr>
                      <w:rFonts w:eastAsia="Times New Roman"/>
                      <w:color w:val="auto"/>
                      <w:kern w:val="0"/>
                      <w:szCs w:val="21"/>
                    </w:rPr>
                  </w:pPr>
                  <w:r>
                    <w:rPr>
                      <w:rFonts w:eastAsia="Times New Roman"/>
                      <w:b/>
                      <w:bCs/>
                      <w:color w:val="auto"/>
                      <w:kern w:val="0"/>
                      <w:szCs w:val="21"/>
                    </w:rPr>
                    <w:t>相符</w:t>
                  </w:r>
                </w:p>
              </w:tc>
            </w:tr>
            <w:tr w14:paraId="7CA13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12DA7277">
                  <w:pPr>
                    <w:adjustRightInd w:val="0"/>
                    <w:snapToGrid w:val="0"/>
                    <w:rPr>
                      <w:rFonts w:eastAsia="Times New Roman"/>
                      <w:color w:val="auto"/>
                      <w:kern w:val="0"/>
                      <w:szCs w:val="21"/>
                    </w:rPr>
                  </w:pPr>
                  <w:r>
                    <w:rPr>
                      <w:rFonts w:eastAsia="Times New Roman"/>
                      <w:color w:val="auto"/>
                      <w:kern w:val="0"/>
                      <w:szCs w:val="21"/>
                    </w:rPr>
                    <w:t>空间布局约束</w:t>
                  </w:r>
                </w:p>
              </w:tc>
              <w:tc>
                <w:tcPr>
                  <w:tcW w:w="4163" w:type="dxa"/>
                  <w:noWrap w:val="0"/>
                  <w:vAlign w:val="center"/>
                </w:tcPr>
                <w:p w14:paraId="4655DA90">
                  <w:pPr>
                    <w:autoSpaceDE w:val="0"/>
                    <w:autoSpaceDN w:val="0"/>
                    <w:adjustRightInd w:val="0"/>
                    <w:snapToGrid w:val="0"/>
                    <w:rPr>
                      <w:rFonts w:eastAsia="Times New Roman"/>
                      <w:color w:val="auto"/>
                      <w:kern w:val="0"/>
                      <w:szCs w:val="21"/>
                    </w:rPr>
                  </w:pPr>
                  <w:r>
                    <w:rPr>
                      <w:rFonts w:eastAsia="Times New Roman"/>
                      <w:color w:val="auto"/>
                      <w:kern w:val="0"/>
                      <w:szCs w:val="21"/>
                    </w:rPr>
                    <w:t>1、禁止在沿海陆域内新建不具备有效治理措施的化学制浆造纸、化工、印染、制革、电镀、酿造、炼油、岸边冲滩拆船以及其他严重污染海洋环境的工业生产项目。</w:t>
                  </w:r>
                </w:p>
                <w:p w14:paraId="53F5204C">
                  <w:pPr>
                    <w:autoSpaceDE w:val="0"/>
                    <w:autoSpaceDN w:val="0"/>
                    <w:adjustRightInd w:val="0"/>
                    <w:snapToGrid w:val="0"/>
                    <w:rPr>
                      <w:rFonts w:eastAsia="Times New Roman"/>
                      <w:color w:val="auto"/>
                      <w:kern w:val="0"/>
                      <w:szCs w:val="21"/>
                    </w:rPr>
                  </w:pPr>
                  <w:r>
                    <w:rPr>
                      <w:rFonts w:eastAsia="Times New Roman"/>
                      <w:color w:val="auto"/>
                      <w:kern w:val="0"/>
                      <w:szCs w:val="21"/>
                    </w:rPr>
                    <w:t>2、沿海地区严格控制新建医药、农药和染料中间体项目。</w:t>
                  </w:r>
                </w:p>
              </w:tc>
              <w:tc>
                <w:tcPr>
                  <w:tcW w:w="1492" w:type="dxa"/>
                  <w:tcBorders>
                    <w:top w:val="single" w:color="auto" w:sz="4" w:space="0"/>
                    <w:bottom w:val="single" w:color="auto" w:sz="4" w:space="0"/>
                    <w:right w:val="single" w:color="auto" w:sz="4" w:space="0"/>
                  </w:tcBorders>
                  <w:noWrap w:val="0"/>
                  <w:vAlign w:val="center"/>
                </w:tcPr>
                <w:p w14:paraId="20B9DC87">
                  <w:pPr>
                    <w:adjustRightInd w:val="0"/>
                    <w:snapToGrid w:val="0"/>
                    <w:rPr>
                      <w:rFonts w:eastAsia="Times New Roman"/>
                      <w:color w:val="auto"/>
                      <w:kern w:val="0"/>
                      <w:szCs w:val="21"/>
                    </w:rPr>
                  </w:pPr>
                  <w:r>
                    <w:rPr>
                      <w:rFonts w:eastAsia="Times New Roman"/>
                      <w:color w:val="auto"/>
                      <w:kern w:val="0"/>
                      <w:szCs w:val="21"/>
                    </w:rPr>
                    <w:t>本项目不属于化学制浆造纸、化工、印染、制革、电镀、酿造、炼油、岸边冲滩拆船以及其他严重污染海洋环境的工业生产项目，不属于医药、农药和染料中间体项目</w:t>
                  </w:r>
                </w:p>
              </w:tc>
              <w:tc>
                <w:tcPr>
                  <w:tcW w:w="808" w:type="dxa"/>
                  <w:tcBorders>
                    <w:left w:val="single" w:color="auto" w:sz="4" w:space="0"/>
                  </w:tcBorders>
                  <w:noWrap w:val="0"/>
                  <w:vAlign w:val="center"/>
                </w:tcPr>
                <w:p w14:paraId="5E0BC92C">
                  <w:pPr>
                    <w:adjustRightInd w:val="0"/>
                    <w:snapToGrid w:val="0"/>
                    <w:jc w:val="center"/>
                    <w:rPr>
                      <w:rFonts w:eastAsia="Times New Roman"/>
                      <w:color w:val="auto"/>
                      <w:kern w:val="0"/>
                      <w:szCs w:val="21"/>
                    </w:rPr>
                  </w:pPr>
                  <w:r>
                    <w:rPr>
                      <w:rFonts w:eastAsia="Times New Roman"/>
                      <w:color w:val="auto"/>
                      <w:kern w:val="0"/>
                      <w:szCs w:val="21"/>
                    </w:rPr>
                    <w:t>是</w:t>
                  </w:r>
                </w:p>
              </w:tc>
            </w:tr>
            <w:tr w14:paraId="68CD6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64033E91">
                  <w:pPr>
                    <w:adjustRightInd w:val="0"/>
                    <w:snapToGrid w:val="0"/>
                    <w:rPr>
                      <w:rFonts w:eastAsia="Times New Roman"/>
                      <w:color w:val="auto"/>
                      <w:kern w:val="0"/>
                      <w:szCs w:val="21"/>
                    </w:rPr>
                  </w:pPr>
                </w:p>
                <w:p w14:paraId="23AD163C">
                  <w:pPr>
                    <w:adjustRightInd w:val="0"/>
                    <w:snapToGrid w:val="0"/>
                    <w:rPr>
                      <w:rFonts w:eastAsia="Times New Roman"/>
                      <w:color w:val="auto"/>
                      <w:kern w:val="0"/>
                      <w:szCs w:val="21"/>
                    </w:rPr>
                  </w:pPr>
                  <w:r>
                    <w:rPr>
                      <w:rFonts w:eastAsia="Times New Roman"/>
                      <w:color w:val="auto"/>
                      <w:kern w:val="0"/>
                      <w:szCs w:val="21"/>
                    </w:rPr>
                    <w:t>污染物排放管控</w:t>
                  </w:r>
                </w:p>
              </w:tc>
              <w:tc>
                <w:tcPr>
                  <w:tcW w:w="4163" w:type="dxa"/>
                  <w:noWrap w:val="0"/>
                  <w:vAlign w:val="center"/>
                </w:tcPr>
                <w:p w14:paraId="2DC21614">
                  <w:pPr>
                    <w:autoSpaceDE w:val="0"/>
                    <w:autoSpaceDN w:val="0"/>
                    <w:adjustRightInd w:val="0"/>
                    <w:snapToGrid w:val="0"/>
                    <w:rPr>
                      <w:rFonts w:eastAsia="Times New Roman"/>
                      <w:color w:val="auto"/>
                      <w:kern w:val="0"/>
                      <w:szCs w:val="21"/>
                    </w:rPr>
                  </w:pPr>
                  <w:r>
                    <w:rPr>
                      <w:rFonts w:eastAsia="Times New Roman"/>
                      <w:color w:val="auto"/>
                      <w:kern w:val="0"/>
                      <w:szCs w:val="21"/>
                    </w:rPr>
                    <w:t>按照《江苏省海洋环境保护条例》实施重点海域排污总量控制制度。</w:t>
                  </w:r>
                </w:p>
              </w:tc>
              <w:tc>
                <w:tcPr>
                  <w:tcW w:w="1492" w:type="dxa"/>
                  <w:tcBorders>
                    <w:top w:val="single" w:color="auto" w:sz="4" w:space="0"/>
                    <w:bottom w:val="single" w:color="auto" w:sz="4" w:space="0"/>
                    <w:right w:val="single" w:color="auto" w:sz="4" w:space="0"/>
                  </w:tcBorders>
                  <w:noWrap w:val="0"/>
                  <w:vAlign w:val="center"/>
                </w:tcPr>
                <w:p w14:paraId="61ED3397">
                  <w:pPr>
                    <w:adjustRightInd w:val="0"/>
                    <w:snapToGrid w:val="0"/>
                    <w:rPr>
                      <w:rFonts w:eastAsia="Times New Roman"/>
                      <w:color w:val="auto"/>
                      <w:kern w:val="0"/>
                      <w:szCs w:val="21"/>
                    </w:rPr>
                  </w:pPr>
                  <w:r>
                    <w:rPr>
                      <w:rFonts w:hint="eastAsia" w:ascii="Times New Roman" w:hAnsi="Times New Roman" w:eastAsia="宋体" w:cs="Times New Roman"/>
                      <w:color w:val="auto"/>
                      <w:szCs w:val="21"/>
                      <w:shd w:val="clear" w:color="auto" w:fill="auto"/>
                      <w:lang w:val="en-US" w:eastAsia="zh-CN"/>
                    </w:rPr>
                    <w:t>本项目属于简化管理，项目建成后将实施污染物总量控制，新增大气污染物总量和水污染物总量能在如皋市范围内平衡。故不会突破生态环境承载力。</w:t>
                  </w:r>
                </w:p>
              </w:tc>
              <w:tc>
                <w:tcPr>
                  <w:tcW w:w="808" w:type="dxa"/>
                  <w:tcBorders>
                    <w:left w:val="single" w:color="auto" w:sz="4" w:space="0"/>
                  </w:tcBorders>
                  <w:noWrap w:val="0"/>
                  <w:vAlign w:val="center"/>
                </w:tcPr>
                <w:p w14:paraId="4E31BD15">
                  <w:pPr>
                    <w:adjustRightInd w:val="0"/>
                    <w:snapToGrid w:val="0"/>
                    <w:jc w:val="center"/>
                    <w:rPr>
                      <w:rFonts w:eastAsia="Times New Roman"/>
                      <w:color w:val="auto"/>
                      <w:kern w:val="0"/>
                      <w:szCs w:val="21"/>
                    </w:rPr>
                  </w:pPr>
                  <w:r>
                    <w:rPr>
                      <w:rFonts w:eastAsia="Times New Roman"/>
                      <w:color w:val="auto"/>
                      <w:kern w:val="0"/>
                      <w:szCs w:val="21"/>
                    </w:rPr>
                    <w:t>是</w:t>
                  </w:r>
                </w:p>
              </w:tc>
            </w:tr>
            <w:tr w14:paraId="00870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35709539">
                  <w:pPr>
                    <w:adjustRightInd w:val="0"/>
                    <w:snapToGrid w:val="0"/>
                    <w:rPr>
                      <w:rFonts w:eastAsia="Times New Roman"/>
                      <w:color w:val="auto"/>
                      <w:kern w:val="0"/>
                      <w:szCs w:val="21"/>
                    </w:rPr>
                  </w:pPr>
                  <w:r>
                    <w:rPr>
                      <w:rFonts w:eastAsia="Times New Roman"/>
                      <w:color w:val="auto"/>
                      <w:kern w:val="0"/>
                      <w:szCs w:val="21"/>
                    </w:rPr>
                    <w:t>环境风险防控</w:t>
                  </w:r>
                </w:p>
              </w:tc>
              <w:tc>
                <w:tcPr>
                  <w:tcW w:w="4163" w:type="dxa"/>
                  <w:noWrap w:val="0"/>
                  <w:vAlign w:val="center"/>
                </w:tcPr>
                <w:p w14:paraId="461D6399">
                  <w:pPr>
                    <w:autoSpaceDE w:val="0"/>
                    <w:autoSpaceDN w:val="0"/>
                    <w:adjustRightInd w:val="0"/>
                    <w:snapToGrid w:val="0"/>
                    <w:rPr>
                      <w:rFonts w:eastAsia="Times New Roman"/>
                      <w:color w:val="auto"/>
                      <w:kern w:val="0"/>
                      <w:szCs w:val="21"/>
                    </w:rPr>
                  </w:pPr>
                  <w:r>
                    <w:rPr>
                      <w:rFonts w:eastAsia="Times New Roman"/>
                      <w:color w:val="auto"/>
                      <w:kern w:val="0"/>
                      <w:szCs w:val="21"/>
                    </w:rPr>
                    <w:t>1、禁止向海洋倾倒汞及汞化合物、强放射性物质等国家规定的一类废弃物。</w:t>
                  </w:r>
                </w:p>
                <w:p w14:paraId="5D95831F">
                  <w:pPr>
                    <w:autoSpaceDE w:val="0"/>
                    <w:autoSpaceDN w:val="0"/>
                    <w:adjustRightInd w:val="0"/>
                    <w:snapToGrid w:val="0"/>
                    <w:rPr>
                      <w:rFonts w:eastAsia="Times New Roman"/>
                      <w:color w:val="auto"/>
                      <w:kern w:val="0"/>
                      <w:szCs w:val="21"/>
                    </w:rPr>
                  </w:pPr>
                  <w:r>
                    <w:rPr>
                      <w:rFonts w:eastAsia="Times New Roman"/>
                      <w:color w:val="auto"/>
                      <w:kern w:val="0"/>
                      <w:szCs w:val="21"/>
                    </w:rPr>
                    <w:t>2、加强对赤潮、浒苔绿潮、溢油、危险化学品泄漏及海洋核辐射等海上突发性海洋灾害事故的应急监视，防治突发性海洋环境灾害。</w:t>
                  </w:r>
                </w:p>
                <w:p w14:paraId="043A7578">
                  <w:pPr>
                    <w:autoSpaceDE w:val="0"/>
                    <w:autoSpaceDN w:val="0"/>
                    <w:adjustRightInd w:val="0"/>
                    <w:snapToGrid w:val="0"/>
                    <w:rPr>
                      <w:rFonts w:eastAsia="Times New Roman"/>
                      <w:color w:val="auto"/>
                      <w:kern w:val="0"/>
                      <w:szCs w:val="21"/>
                    </w:rPr>
                  </w:pPr>
                  <w:r>
                    <w:rPr>
                      <w:rFonts w:eastAsia="Times New Roman"/>
                      <w:color w:val="auto"/>
                      <w:kern w:val="0"/>
                      <w:szCs w:val="21"/>
                    </w:rPr>
                    <w:t>3、沿海地区应加强危险货物运输风险、船舶污染事故风险应急管控。</w:t>
                  </w:r>
                </w:p>
              </w:tc>
              <w:tc>
                <w:tcPr>
                  <w:tcW w:w="1492" w:type="dxa"/>
                  <w:tcBorders>
                    <w:top w:val="single" w:color="auto" w:sz="4" w:space="0"/>
                    <w:bottom w:val="single" w:color="auto" w:sz="4" w:space="0"/>
                    <w:right w:val="single" w:color="auto" w:sz="4" w:space="0"/>
                  </w:tcBorders>
                  <w:noWrap w:val="0"/>
                  <w:vAlign w:val="center"/>
                </w:tcPr>
                <w:p w14:paraId="33AA54F4">
                  <w:pPr>
                    <w:adjustRightInd w:val="0"/>
                    <w:snapToGrid w:val="0"/>
                    <w:rPr>
                      <w:rFonts w:eastAsia="Times New Roman"/>
                      <w:color w:val="auto"/>
                      <w:kern w:val="0"/>
                      <w:szCs w:val="21"/>
                    </w:rPr>
                  </w:pPr>
                  <w:r>
                    <w:rPr>
                      <w:rFonts w:eastAsia="Times New Roman"/>
                      <w:color w:val="auto"/>
                      <w:kern w:val="0"/>
                      <w:szCs w:val="21"/>
                    </w:rPr>
                    <w:t>本项目固废零排放，不向海洋倾倒汞及汞化合物、强放射性物质等国家规定的一类废弃物，本项目所有物料均采用陆运。</w:t>
                  </w:r>
                </w:p>
              </w:tc>
              <w:tc>
                <w:tcPr>
                  <w:tcW w:w="808" w:type="dxa"/>
                  <w:tcBorders>
                    <w:left w:val="single" w:color="auto" w:sz="4" w:space="0"/>
                  </w:tcBorders>
                  <w:noWrap w:val="0"/>
                  <w:vAlign w:val="center"/>
                </w:tcPr>
                <w:p w14:paraId="1606E19C">
                  <w:pPr>
                    <w:adjustRightInd w:val="0"/>
                    <w:snapToGrid w:val="0"/>
                    <w:jc w:val="center"/>
                    <w:rPr>
                      <w:rFonts w:eastAsia="Times New Roman"/>
                      <w:color w:val="auto"/>
                      <w:kern w:val="0"/>
                      <w:szCs w:val="21"/>
                    </w:rPr>
                  </w:pPr>
                  <w:r>
                    <w:rPr>
                      <w:rFonts w:eastAsia="Times New Roman"/>
                      <w:color w:val="auto"/>
                      <w:kern w:val="0"/>
                      <w:szCs w:val="21"/>
                    </w:rPr>
                    <w:t>是</w:t>
                  </w:r>
                </w:p>
              </w:tc>
            </w:tr>
            <w:tr w14:paraId="2BD0A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044A425C">
                  <w:pPr>
                    <w:adjustRightInd w:val="0"/>
                    <w:snapToGrid w:val="0"/>
                    <w:rPr>
                      <w:rFonts w:eastAsia="Times New Roman"/>
                      <w:color w:val="auto"/>
                      <w:kern w:val="0"/>
                      <w:szCs w:val="21"/>
                    </w:rPr>
                  </w:pPr>
                  <w:r>
                    <w:rPr>
                      <w:rFonts w:eastAsia="Times New Roman"/>
                      <w:color w:val="auto"/>
                      <w:kern w:val="0"/>
                      <w:szCs w:val="21"/>
                    </w:rPr>
                    <w:t>资源利用效率要求</w:t>
                  </w:r>
                </w:p>
              </w:tc>
              <w:tc>
                <w:tcPr>
                  <w:tcW w:w="4163" w:type="dxa"/>
                  <w:noWrap w:val="0"/>
                  <w:vAlign w:val="center"/>
                </w:tcPr>
                <w:p w14:paraId="1A82C2B0">
                  <w:pPr>
                    <w:autoSpaceDE w:val="0"/>
                    <w:autoSpaceDN w:val="0"/>
                    <w:adjustRightInd w:val="0"/>
                    <w:snapToGrid w:val="0"/>
                    <w:rPr>
                      <w:rFonts w:eastAsia="Times New Roman"/>
                      <w:color w:val="auto"/>
                      <w:kern w:val="0"/>
                      <w:szCs w:val="21"/>
                    </w:rPr>
                  </w:pPr>
                  <w:r>
                    <w:rPr>
                      <w:rFonts w:eastAsia="Times New Roman"/>
                      <w:color w:val="auto"/>
                      <w:kern w:val="0"/>
                      <w:szCs w:val="21"/>
                    </w:rPr>
                    <w:t>至2025年，大陆自然岸线保有率不低于36.1%。</w:t>
                  </w:r>
                </w:p>
              </w:tc>
              <w:tc>
                <w:tcPr>
                  <w:tcW w:w="1492" w:type="dxa"/>
                  <w:tcBorders>
                    <w:top w:val="single" w:color="auto" w:sz="4" w:space="0"/>
                    <w:bottom w:val="single" w:color="auto" w:sz="4" w:space="0"/>
                    <w:right w:val="single" w:color="auto" w:sz="4" w:space="0"/>
                  </w:tcBorders>
                  <w:noWrap w:val="0"/>
                  <w:vAlign w:val="center"/>
                </w:tcPr>
                <w:p w14:paraId="457B2B48">
                  <w:pPr>
                    <w:adjustRightInd w:val="0"/>
                    <w:snapToGrid w:val="0"/>
                    <w:rPr>
                      <w:rFonts w:eastAsia="Times New Roman"/>
                      <w:color w:val="auto"/>
                      <w:kern w:val="0"/>
                      <w:szCs w:val="21"/>
                    </w:rPr>
                  </w:pPr>
                  <w:r>
                    <w:rPr>
                      <w:rFonts w:eastAsia="Times New Roman"/>
                      <w:color w:val="auto"/>
                      <w:kern w:val="0"/>
                      <w:szCs w:val="21"/>
                    </w:rPr>
                    <w:t>本项目不涉及岸线的开发利用</w:t>
                  </w:r>
                </w:p>
              </w:tc>
              <w:tc>
                <w:tcPr>
                  <w:tcW w:w="808" w:type="dxa"/>
                  <w:tcBorders>
                    <w:left w:val="single" w:color="auto" w:sz="4" w:space="0"/>
                  </w:tcBorders>
                  <w:noWrap w:val="0"/>
                  <w:vAlign w:val="center"/>
                </w:tcPr>
                <w:p w14:paraId="540D9AE9">
                  <w:pPr>
                    <w:adjustRightInd w:val="0"/>
                    <w:snapToGrid w:val="0"/>
                    <w:jc w:val="center"/>
                    <w:rPr>
                      <w:rFonts w:eastAsia="Times New Roman"/>
                      <w:color w:val="auto"/>
                      <w:kern w:val="0"/>
                      <w:szCs w:val="21"/>
                    </w:rPr>
                  </w:pPr>
                  <w:r>
                    <w:rPr>
                      <w:rFonts w:eastAsia="Times New Roman"/>
                      <w:color w:val="auto"/>
                      <w:kern w:val="0"/>
                      <w:szCs w:val="21"/>
                    </w:rPr>
                    <w:t>是</w:t>
                  </w:r>
                </w:p>
              </w:tc>
            </w:tr>
            <w:tr w14:paraId="713D6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7" w:type="dxa"/>
                  <w:gridSpan w:val="4"/>
                  <w:noWrap w:val="0"/>
                  <w:vAlign w:val="center"/>
                </w:tcPr>
                <w:p w14:paraId="3F44208B">
                  <w:pPr>
                    <w:adjustRightInd w:val="0"/>
                    <w:snapToGrid w:val="0"/>
                    <w:jc w:val="center"/>
                    <w:rPr>
                      <w:rFonts w:eastAsia="Times New Roman"/>
                      <w:color w:val="auto"/>
                      <w:kern w:val="0"/>
                      <w:szCs w:val="21"/>
                    </w:rPr>
                  </w:pPr>
                  <w:r>
                    <w:rPr>
                      <w:rFonts w:eastAsia="Times New Roman"/>
                      <w:b/>
                      <w:bCs/>
                      <w:color w:val="auto"/>
                      <w:kern w:val="0"/>
                      <w:szCs w:val="21"/>
                    </w:rPr>
                    <w:t>生态环境准入清单（</w:t>
                  </w:r>
                  <w:r>
                    <w:rPr>
                      <w:rFonts w:hint="eastAsia" w:eastAsia="Times New Roman"/>
                      <w:b/>
                      <w:bCs/>
                      <w:color w:val="auto"/>
                      <w:kern w:val="0"/>
                      <w:szCs w:val="21"/>
                    </w:rPr>
                    <w:t>南通市</w:t>
                  </w:r>
                  <w:r>
                    <w:rPr>
                      <w:rFonts w:eastAsia="Times New Roman"/>
                      <w:b/>
                      <w:bCs/>
                      <w:color w:val="auto"/>
                      <w:kern w:val="0"/>
                      <w:szCs w:val="21"/>
                    </w:rPr>
                    <w:t>）</w:t>
                  </w:r>
                </w:p>
              </w:tc>
            </w:tr>
            <w:tr w14:paraId="08736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4426D1AB">
                  <w:pPr>
                    <w:adjustRightInd w:val="0"/>
                    <w:snapToGrid w:val="0"/>
                    <w:jc w:val="center"/>
                    <w:rPr>
                      <w:rFonts w:eastAsia="Times New Roman"/>
                      <w:b/>
                      <w:bCs/>
                      <w:color w:val="auto"/>
                      <w:kern w:val="0"/>
                      <w:szCs w:val="21"/>
                    </w:rPr>
                  </w:pPr>
                  <w:r>
                    <w:rPr>
                      <w:rFonts w:eastAsia="Times New Roman"/>
                      <w:b/>
                      <w:bCs/>
                      <w:color w:val="auto"/>
                      <w:kern w:val="0"/>
                      <w:szCs w:val="21"/>
                    </w:rPr>
                    <w:t>管控</w:t>
                  </w:r>
                </w:p>
                <w:p w14:paraId="7EA4CCFC">
                  <w:pPr>
                    <w:adjustRightInd w:val="0"/>
                    <w:snapToGrid w:val="0"/>
                    <w:jc w:val="center"/>
                    <w:rPr>
                      <w:rFonts w:eastAsia="Times New Roman"/>
                      <w:color w:val="auto"/>
                      <w:kern w:val="0"/>
                      <w:szCs w:val="21"/>
                    </w:rPr>
                  </w:pPr>
                  <w:r>
                    <w:rPr>
                      <w:rFonts w:eastAsia="Times New Roman"/>
                      <w:b/>
                      <w:bCs/>
                      <w:color w:val="auto"/>
                      <w:kern w:val="0"/>
                      <w:szCs w:val="21"/>
                    </w:rPr>
                    <w:t>类别</w:t>
                  </w:r>
                </w:p>
              </w:tc>
              <w:tc>
                <w:tcPr>
                  <w:tcW w:w="4163" w:type="dxa"/>
                  <w:noWrap w:val="0"/>
                  <w:vAlign w:val="center"/>
                </w:tcPr>
                <w:p w14:paraId="7C9045B0">
                  <w:pPr>
                    <w:autoSpaceDE w:val="0"/>
                    <w:autoSpaceDN w:val="0"/>
                    <w:adjustRightInd w:val="0"/>
                    <w:snapToGrid w:val="0"/>
                    <w:jc w:val="center"/>
                    <w:rPr>
                      <w:rFonts w:eastAsia="Times New Roman"/>
                      <w:color w:val="auto"/>
                      <w:kern w:val="0"/>
                      <w:szCs w:val="21"/>
                    </w:rPr>
                  </w:pPr>
                  <w:r>
                    <w:rPr>
                      <w:rFonts w:eastAsia="Times New Roman"/>
                      <w:b/>
                      <w:bCs/>
                      <w:color w:val="auto"/>
                      <w:kern w:val="0"/>
                      <w:szCs w:val="21"/>
                    </w:rPr>
                    <w:t>管控要求</w:t>
                  </w:r>
                </w:p>
              </w:tc>
              <w:tc>
                <w:tcPr>
                  <w:tcW w:w="1492" w:type="dxa"/>
                  <w:tcBorders>
                    <w:top w:val="single" w:color="auto" w:sz="4" w:space="0"/>
                    <w:bottom w:val="single" w:color="auto" w:sz="4" w:space="0"/>
                    <w:right w:val="single" w:color="auto" w:sz="4" w:space="0"/>
                  </w:tcBorders>
                  <w:noWrap w:val="0"/>
                  <w:vAlign w:val="center"/>
                </w:tcPr>
                <w:p w14:paraId="2F71D781">
                  <w:pPr>
                    <w:adjustRightInd w:val="0"/>
                    <w:snapToGrid w:val="0"/>
                    <w:jc w:val="center"/>
                    <w:rPr>
                      <w:rFonts w:eastAsia="Times New Roman"/>
                      <w:color w:val="auto"/>
                      <w:kern w:val="0"/>
                      <w:szCs w:val="21"/>
                    </w:rPr>
                  </w:pPr>
                  <w:r>
                    <w:rPr>
                      <w:rFonts w:eastAsia="Times New Roman"/>
                      <w:b/>
                      <w:bCs/>
                      <w:color w:val="auto"/>
                      <w:kern w:val="0"/>
                      <w:szCs w:val="21"/>
                    </w:rPr>
                    <w:t>相符性分析</w:t>
                  </w:r>
                </w:p>
              </w:tc>
              <w:tc>
                <w:tcPr>
                  <w:tcW w:w="808" w:type="dxa"/>
                  <w:tcBorders>
                    <w:left w:val="single" w:color="auto" w:sz="4" w:space="0"/>
                  </w:tcBorders>
                  <w:noWrap w:val="0"/>
                  <w:vAlign w:val="center"/>
                </w:tcPr>
                <w:p w14:paraId="587C5DFA">
                  <w:pPr>
                    <w:adjustRightInd w:val="0"/>
                    <w:snapToGrid w:val="0"/>
                    <w:jc w:val="center"/>
                    <w:rPr>
                      <w:rFonts w:eastAsia="Times New Roman"/>
                      <w:b/>
                      <w:bCs/>
                      <w:color w:val="auto"/>
                      <w:kern w:val="0"/>
                      <w:szCs w:val="21"/>
                    </w:rPr>
                  </w:pPr>
                  <w:r>
                    <w:rPr>
                      <w:rFonts w:eastAsia="Times New Roman"/>
                      <w:b/>
                      <w:bCs/>
                      <w:color w:val="auto"/>
                      <w:kern w:val="0"/>
                      <w:szCs w:val="21"/>
                    </w:rPr>
                    <w:t>是否</w:t>
                  </w:r>
                </w:p>
                <w:p w14:paraId="456A9DF6">
                  <w:pPr>
                    <w:adjustRightInd w:val="0"/>
                    <w:snapToGrid w:val="0"/>
                    <w:jc w:val="center"/>
                    <w:rPr>
                      <w:rFonts w:eastAsia="Times New Roman"/>
                      <w:color w:val="auto"/>
                      <w:kern w:val="0"/>
                      <w:szCs w:val="21"/>
                    </w:rPr>
                  </w:pPr>
                  <w:r>
                    <w:rPr>
                      <w:rFonts w:eastAsia="Times New Roman"/>
                      <w:b/>
                      <w:bCs/>
                      <w:color w:val="auto"/>
                      <w:kern w:val="0"/>
                      <w:szCs w:val="21"/>
                    </w:rPr>
                    <w:t>相符</w:t>
                  </w:r>
                </w:p>
              </w:tc>
            </w:tr>
            <w:tr w14:paraId="3CF5A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227EF1F8">
                  <w:pPr>
                    <w:adjustRightInd w:val="0"/>
                    <w:snapToGrid w:val="0"/>
                    <w:rPr>
                      <w:rFonts w:eastAsia="Times New Roman"/>
                      <w:b/>
                      <w:bCs/>
                      <w:color w:val="auto"/>
                      <w:kern w:val="0"/>
                      <w:szCs w:val="21"/>
                    </w:rPr>
                  </w:pPr>
                  <w:r>
                    <w:rPr>
                      <w:color w:val="auto"/>
                      <w:szCs w:val="21"/>
                    </w:rPr>
                    <mc:AlternateContent>
                      <mc:Choice Requires="wps">
                        <w:drawing>
                          <wp:anchor distT="0" distB="0" distL="114300" distR="114300" simplePos="0" relativeHeight="251666432" behindDoc="0" locked="0" layoutInCell="1" allowOverlap="1">
                            <wp:simplePos x="0" y="0"/>
                            <wp:positionH relativeFrom="column">
                              <wp:posOffset>-676275</wp:posOffset>
                            </wp:positionH>
                            <wp:positionV relativeFrom="paragraph">
                              <wp:posOffset>-2259330</wp:posOffset>
                            </wp:positionV>
                            <wp:extent cx="422910" cy="150622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22910" cy="1506220"/>
                                    </a:xfrm>
                                    <a:prstGeom prst="rect">
                                      <a:avLst/>
                                    </a:prstGeom>
                                    <a:noFill/>
                                    <a:ln>
                                      <a:noFill/>
                                    </a:ln>
                                  </wps:spPr>
                                  <wps:txbx>
                                    <w:txbxContent>
                                      <w:p w14:paraId="7867246C">
                                        <w:pPr>
                                          <w:jc w:val="center"/>
                                          <w:rPr>
                                            <w:rFonts w:hint="eastAsia"/>
                                          </w:rPr>
                                        </w:pPr>
                                        <w:r>
                                          <w:rPr>
                                            <w:rFonts w:hint="eastAsia"/>
                                          </w:rPr>
                                          <w:t>其</w:t>
                                        </w:r>
                                      </w:p>
                                      <w:p w14:paraId="77B063F4">
                                        <w:pPr>
                                          <w:jc w:val="center"/>
                                          <w:rPr>
                                            <w:rFonts w:hint="eastAsia"/>
                                          </w:rPr>
                                        </w:pPr>
                                        <w:r>
                                          <w:rPr>
                                            <w:rFonts w:hint="eastAsia"/>
                                          </w:rPr>
                                          <w:t>他</w:t>
                                        </w:r>
                                      </w:p>
                                      <w:p w14:paraId="636D27D6">
                                        <w:pPr>
                                          <w:jc w:val="center"/>
                                          <w:rPr>
                                            <w:rFonts w:hint="eastAsia"/>
                                          </w:rPr>
                                        </w:pPr>
                                        <w:r>
                                          <w:rPr>
                                            <w:rFonts w:hint="eastAsia"/>
                                          </w:rPr>
                                          <w:t>符</w:t>
                                        </w:r>
                                      </w:p>
                                      <w:p w14:paraId="3AACB57F">
                                        <w:pPr>
                                          <w:jc w:val="center"/>
                                          <w:rPr>
                                            <w:rFonts w:hint="eastAsia"/>
                                          </w:rPr>
                                        </w:pPr>
                                        <w:r>
                                          <w:rPr>
                                            <w:rFonts w:hint="eastAsia"/>
                                          </w:rPr>
                                          <w:t>合</w:t>
                                        </w:r>
                                      </w:p>
                                      <w:p w14:paraId="64D04612">
                                        <w:pPr>
                                          <w:jc w:val="center"/>
                                          <w:rPr>
                                            <w:rFonts w:hint="eastAsia"/>
                                          </w:rPr>
                                        </w:pPr>
                                        <w:r>
                                          <w:rPr>
                                            <w:rFonts w:hint="eastAsia"/>
                                          </w:rPr>
                                          <w:t>性</w:t>
                                        </w:r>
                                      </w:p>
                                      <w:p w14:paraId="2F8FDD08">
                                        <w:pPr>
                                          <w:jc w:val="center"/>
                                          <w:rPr>
                                            <w:rFonts w:hint="eastAsia"/>
                                          </w:rPr>
                                        </w:pPr>
                                        <w:r>
                                          <w:rPr>
                                            <w:rFonts w:hint="eastAsia"/>
                                          </w:rPr>
                                          <w:t>分</w:t>
                                        </w:r>
                                      </w:p>
                                      <w:p w14:paraId="7CEB0601">
                                        <w:pPr>
                                          <w:jc w:val="center"/>
                                          <w:rPr>
                                            <w:rFonts w:hint="eastAsia"/>
                                          </w:rPr>
                                        </w:pPr>
                                        <w:r>
                                          <w:rPr>
                                            <w:rFonts w:hint="eastAsia"/>
                                          </w:rPr>
                                          <w:t>析</w:t>
                                        </w:r>
                                      </w:p>
                                    </w:txbxContent>
                                  </wps:txbx>
                                  <wps:bodyPr upright="1"/>
                                </wps:wsp>
                              </a:graphicData>
                            </a:graphic>
                          </wp:anchor>
                        </w:drawing>
                      </mc:Choice>
                      <mc:Fallback>
                        <w:pict>
                          <v:shape id="_x0000_s1026" o:spid="_x0000_s1026" o:spt="202" type="#_x0000_t202" style="position:absolute;left:0pt;margin-left:-53.25pt;margin-top:-177.9pt;height:118.6pt;width:33.3pt;z-index:251666432;mso-width-relative:page;mso-height-relative:page;" filled="f" stroked="f" coordsize="21600,21600" o:gfxdata="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A1nR&#10;2QAAAA4BAAAPAAAAAAAAAAEAIAAAACIAAABkcnMvZG93bnJldi54bWxQSwECFAAUAAAACACHTuJA&#10;+sBrm64BAABQAwAADgAAAAAAAAABACAAAAAoAQAAZHJzL2Uyb0RvYy54bWxQSwUGAAAAAAYABgBZ&#10;AQAASAUAAAAA&#10;">
                            <v:fill on="f" focussize="0,0"/>
                            <v:stroke on="f"/>
                            <v:imagedata o:title=""/>
                            <o:lock v:ext="edit" aspectratio="f"/>
                            <v:textbox>
                              <w:txbxContent>
                                <w:p w14:paraId="7867246C">
                                  <w:pPr>
                                    <w:jc w:val="center"/>
                                    <w:rPr>
                                      <w:rFonts w:hint="eastAsia"/>
                                    </w:rPr>
                                  </w:pPr>
                                  <w:r>
                                    <w:rPr>
                                      <w:rFonts w:hint="eastAsia"/>
                                    </w:rPr>
                                    <w:t>其</w:t>
                                  </w:r>
                                </w:p>
                                <w:p w14:paraId="77B063F4">
                                  <w:pPr>
                                    <w:jc w:val="center"/>
                                    <w:rPr>
                                      <w:rFonts w:hint="eastAsia"/>
                                    </w:rPr>
                                  </w:pPr>
                                  <w:r>
                                    <w:rPr>
                                      <w:rFonts w:hint="eastAsia"/>
                                    </w:rPr>
                                    <w:t>他</w:t>
                                  </w:r>
                                </w:p>
                                <w:p w14:paraId="636D27D6">
                                  <w:pPr>
                                    <w:jc w:val="center"/>
                                    <w:rPr>
                                      <w:rFonts w:hint="eastAsia"/>
                                    </w:rPr>
                                  </w:pPr>
                                  <w:r>
                                    <w:rPr>
                                      <w:rFonts w:hint="eastAsia"/>
                                    </w:rPr>
                                    <w:t>符</w:t>
                                  </w:r>
                                </w:p>
                                <w:p w14:paraId="3AACB57F">
                                  <w:pPr>
                                    <w:jc w:val="center"/>
                                    <w:rPr>
                                      <w:rFonts w:hint="eastAsia"/>
                                    </w:rPr>
                                  </w:pPr>
                                  <w:r>
                                    <w:rPr>
                                      <w:rFonts w:hint="eastAsia"/>
                                    </w:rPr>
                                    <w:t>合</w:t>
                                  </w:r>
                                </w:p>
                                <w:p w14:paraId="64D04612">
                                  <w:pPr>
                                    <w:jc w:val="center"/>
                                    <w:rPr>
                                      <w:rFonts w:hint="eastAsia"/>
                                    </w:rPr>
                                  </w:pPr>
                                  <w:r>
                                    <w:rPr>
                                      <w:rFonts w:hint="eastAsia"/>
                                    </w:rPr>
                                    <w:t>性</w:t>
                                  </w:r>
                                </w:p>
                                <w:p w14:paraId="2F8FDD08">
                                  <w:pPr>
                                    <w:jc w:val="center"/>
                                    <w:rPr>
                                      <w:rFonts w:hint="eastAsia"/>
                                    </w:rPr>
                                  </w:pPr>
                                  <w:r>
                                    <w:rPr>
                                      <w:rFonts w:hint="eastAsia"/>
                                    </w:rPr>
                                    <w:t>分</w:t>
                                  </w:r>
                                </w:p>
                                <w:p w14:paraId="7CEB0601">
                                  <w:pPr>
                                    <w:jc w:val="center"/>
                                    <w:rPr>
                                      <w:rFonts w:hint="eastAsia"/>
                                    </w:rPr>
                                  </w:pPr>
                                  <w:r>
                                    <w:rPr>
                                      <w:rFonts w:hint="eastAsia"/>
                                    </w:rPr>
                                    <w:t>析</w:t>
                                  </w:r>
                                </w:p>
                              </w:txbxContent>
                            </v:textbox>
                          </v:shape>
                        </w:pict>
                      </mc:Fallback>
                    </mc:AlternateContent>
                  </w:r>
                  <w:r>
                    <w:rPr>
                      <w:rFonts w:eastAsia="Times New Roman"/>
                      <w:color w:val="auto"/>
                      <w:kern w:val="0"/>
                      <w:szCs w:val="21"/>
                    </w:rPr>
                    <w:t>空间布局约束</w:t>
                  </w:r>
                </w:p>
              </w:tc>
              <w:tc>
                <w:tcPr>
                  <w:tcW w:w="4163" w:type="dxa"/>
                  <w:noWrap w:val="0"/>
                  <w:vAlign w:val="center"/>
                </w:tcPr>
                <w:p w14:paraId="5A81BE4F">
                  <w:pPr>
                    <w:autoSpaceDE w:val="0"/>
                    <w:autoSpaceDN w:val="0"/>
                    <w:adjustRightInd w:val="0"/>
                    <w:snapToGrid w:val="0"/>
                    <w:rPr>
                      <w:color w:val="auto"/>
                      <w:kern w:val="0"/>
                      <w:szCs w:val="21"/>
                    </w:rPr>
                  </w:pPr>
                  <w:r>
                    <w:rPr>
                      <w:color w:val="auto"/>
                      <w:kern w:val="0"/>
                      <w:szCs w:val="21"/>
                    </w:rPr>
                    <w:t>1.落实国土空间总体规划，严守生态保护红线，陆域生态保护红线53.4917平方公里，海洋生态保护红线2480.777平方公里。南通市生态空间管控区域面积1532.87平方公里。 2.严格执行《（长江经济带发展负面清单指南）江苏省实施细则（试行）》；禁止引进列入《南通市工业结构调整指导目录》淘汰类的产业、列入《南通市工业产业技术改造负面清单》严格禁止的技术改造工艺装备及产品。 3.根据《省政府关于加强全省化工园区化工集中区规范化管理的通知》（苏政发〔2020〕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 4.落实《市政府办公室印发&lt;关于进一步促进全市乡镇工业集聚区高质量发展的实施意见&gt;的通知》（通政办发〔2022〕70号），严格控制新增集聚区，推动园区外企业入园进区。除保障农村一二三产业融合发展所需项目外，对招商中不符合规划的项目实行一票否决，各地不得为项目随意调整规划。 5.落实《市政府办公室关于印发南通市减污降碳协同增效三年行动计划（2023—2025年）的通知》（通政办发〔2023〕24号），实施“两高”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构建自主可控、安全可靠的绿色产业链。 6.落实《自然资源部国家发展改革委农业农村部关于保障和规范农村一二三产业融合发展用地的通知》（自然资发〔2021〕16号）要求，引导农村产业在县域范</w:t>
                  </w:r>
                  <w:r>
                    <w:rPr>
                      <w:color w:val="auto"/>
                      <w:szCs w:val="21"/>
                    </w:rPr>
                    <mc:AlternateContent>
                      <mc:Choice Requires="wps">
                        <w:drawing>
                          <wp:anchor distT="0" distB="0" distL="114300" distR="114300" simplePos="0" relativeHeight="251667456" behindDoc="0" locked="0" layoutInCell="1" allowOverlap="1">
                            <wp:simplePos x="0" y="0"/>
                            <wp:positionH relativeFrom="column">
                              <wp:posOffset>-1383030</wp:posOffset>
                            </wp:positionH>
                            <wp:positionV relativeFrom="paragraph">
                              <wp:posOffset>3193415</wp:posOffset>
                            </wp:positionV>
                            <wp:extent cx="422910" cy="15062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22910" cy="1506220"/>
                                    </a:xfrm>
                                    <a:prstGeom prst="rect">
                                      <a:avLst/>
                                    </a:prstGeom>
                                    <a:noFill/>
                                    <a:ln>
                                      <a:noFill/>
                                    </a:ln>
                                  </wps:spPr>
                                  <wps:txbx>
                                    <w:txbxContent>
                                      <w:p w14:paraId="5BEDE9AA">
                                        <w:pPr>
                                          <w:jc w:val="center"/>
                                          <w:rPr>
                                            <w:rFonts w:hint="eastAsia"/>
                                          </w:rPr>
                                        </w:pPr>
                                        <w:r>
                                          <w:rPr>
                                            <w:rFonts w:hint="eastAsia"/>
                                          </w:rPr>
                                          <w:t>其</w:t>
                                        </w:r>
                                      </w:p>
                                      <w:p w14:paraId="3680258C">
                                        <w:pPr>
                                          <w:jc w:val="center"/>
                                          <w:rPr>
                                            <w:rFonts w:hint="eastAsia"/>
                                          </w:rPr>
                                        </w:pPr>
                                        <w:r>
                                          <w:rPr>
                                            <w:rFonts w:hint="eastAsia"/>
                                          </w:rPr>
                                          <w:t>他</w:t>
                                        </w:r>
                                      </w:p>
                                      <w:p w14:paraId="23FE4280">
                                        <w:pPr>
                                          <w:jc w:val="center"/>
                                          <w:rPr>
                                            <w:rFonts w:hint="eastAsia"/>
                                          </w:rPr>
                                        </w:pPr>
                                        <w:r>
                                          <w:rPr>
                                            <w:rFonts w:hint="eastAsia"/>
                                          </w:rPr>
                                          <w:t>符</w:t>
                                        </w:r>
                                      </w:p>
                                      <w:p w14:paraId="09C37DB8">
                                        <w:pPr>
                                          <w:jc w:val="center"/>
                                          <w:rPr>
                                            <w:rFonts w:hint="eastAsia"/>
                                          </w:rPr>
                                        </w:pPr>
                                        <w:r>
                                          <w:rPr>
                                            <w:rFonts w:hint="eastAsia"/>
                                          </w:rPr>
                                          <w:t>合</w:t>
                                        </w:r>
                                      </w:p>
                                      <w:p w14:paraId="59BA0D60">
                                        <w:pPr>
                                          <w:jc w:val="center"/>
                                          <w:rPr>
                                            <w:rFonts w:hint="eastAsia"/>
                                          </w:rPr>
                                        </w:pPr>
                                        <w:r>
                                          <w:rPr>
                                            <w:rFonts w:hint="eastAsia"/>
                                          </w:rPr>
                                          <w:t>性</w:t>
                                        </w:r>
                                      </w:p>
                                      <w:p w14:paraId="64E29920">
                                        <w:pPr>
                                          <w:jc w:val="center"/>
                                          <w:rPr>
                                            <w:rFonts w:hint="eastAsia"/>
                                          </w:rPr>
                                        </w:pPr>
                                        <w:r>
                                          <w:rPr>
                                            <w:rFonts w:hint="eastAsia"/>
                                          </w:rPr>
                                          <w:t>分</w:t>
                                        </w:r>
                                      </w:p>
                                      <w:p w14:paraId="3747AE81">
                                        <w:pPr>
                                          <w:jc w:val="center"/>
                                          <w:rPr>
                                            <w:rFonts w:hint="eastAsia"/>
                                          </w:rPr>
                                        </w:pPr>
                                        <w:r>
                                          <w:rPr>
                                            <w:rFonts w:hint="eastAsia"/>
                                          </w:rPr>
                                          <w:t>析</w:t>
                                        </w:r>
                                      </w:p>
                                    </w:txbxContent>
                                  </wps:txbx>
                                  <wps:bodyPr upright="1"/>
                                </wps:wsp>
                              </a:graphicData>
                            </a:graphic>
                          </wp:anchor>
                        </w:drawing>
                      </mc:Choice>
                      <mc:Fallback>
                        <w:pict>
                          <v:shape id="_x0000_s1026" o:spid="_x0000_s1026" o:spt="202" type="#_x0000_t202" style="position:absolute;left:0pt;margin-left:-108.9pt;margin-top:251.45pt;height:118.6pt;width:33.3pt;z-index:251667456;mso-width-relative:page;mso-height-relative:page;" filled="f" stroked="f" coordsize="21600,21600" o:gfxdata="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waqI&#10;2QAAAA0BAAAPAAAAAAAAAAEAIAAAACIAAABkcnMvZG93bnJldi54bWxQSwECFAAUAAAACACHTuJA&#10;2601Uq4BAABQAwAADgAAAAAAAAABACAAAAAoAQAAZHJzL2Uyb0RvYy54bWxQSwUGAAAAAAYABgBZ&#10;AQAASAUAAAAA&#10;">
                            <v:fill on="f" focussize="0,0"/>
                            <v:stroke on="f"/>
                            <v:imagedata o:title=""/>
                            <o:lock v:ext="edit" aspectratio="f"/>
                            <v:textbox>
                              <w:txbxContent>
                                <w:p w14:paraId="5BEDE9AA">
                                  <w:pPr>
                                    <w:jc w:val="center"/>
                                    <w:rPr>
                                      <w:rFonts w:hint="eastAsia"/>
                                    </w:rPr>
                                  </w:pPr>
                                  <w:r>
                                    <w:rPr>
                                      <w:rFonts w:hint="eastAsia"/>
                                    </w:rPr>
                                    <w:t>其</w:t>
                                  </w:r>
                                </w:p>
                                <w:p w14:paraId="3680258C">
                                  <w:pPr>
                                    <w:jc w:val="center"/>
                                    <w:rPr>
                                      <w:rFonts w:hint="eastAsia"/>
                                    </w:rPr>
                                  </w:pPr>
                                  <w:r>
                                    <w:rPr>
                                      <w:rFonts w:hint="eastAsia"/>
                                    </w:rPr>
                                    <w:t>他</w:t>
                                  </w:r>
                                </w:p>
                                <w:p w14:paraId="23FE4280">
                                  <w:pPr>
                                    <w:jc w:val="center"/>
                                    <w:rPr>
                                      <w:rFonts w:hint="eastAsia"/>
                                    </w:rPr>
                                  </w:pPr>
                                  <w:r>
                                    <w:rPr>
                                      <w:rFonts w:hint="eastAsia"/>
                                    </w:rPr>
                                    <w:t>符</w:t>
                                  </w:r>
                                </w:p>
                                <w:p w14:paraId="09C37DB8">
                                  <w:pPr>
                                    <w:jc w:val="center"/>
                                    <w:rPr>
                                      <w:rFonts w:hint="eastAsia"/>
                                    </w:rPr>
                                  </w:pPr>
                                  <w:r>
                                    <w:rPr>
                                      <w:rFonts w:hint="eastAsia"/>
                                    </w:rPr>
                                    <w:t>合</w:t>
                                  </w:r>
                                </w:p>
                                <w:p w14:paraId="59BA0D60">
                                  <w:pPr>
                                    <w:jc w:val="center"/>
                                    <w:rPr>
                                      <w:rFonts w:hint="eastAsia"/>
                                    </w:rPr>
                                  </w:pPr>
                                  <w:r>
                                    <w:rPr>
                                      <w:rFonts w:hint="eastAsia"/>
                                    </w:rPr>
                                    <w:t>性</w:t>
                                  </w:r>
                                </w:p>
                                <w:p w14:paraId="64E29920">
                                  <w:pPr>
                                    <w:jc w:val="center"/>
                                    <w:rPr>
                                      <w:rFonts w:hint="eastAsia"/>
                                    </w:rPr>
                                  </w:pPr>
                                  <w:r>
                                    <w:rPr>
                                      <w:rFonts w:hint="eastAsia"/>
                                    </w:rPr>
                                    <w:t>分</w:t>
                                  </w:r>
                                </w:p>
                                <w:p w14:paraId="3747AE81">
                                  <w:pPr>
                                    <w:jc w:val="center"/>
                                    <w:rPr>
                                      <w:rFonts w:hint="eastAsia"/>
                                    </w:rPr>
                                  </w:pPr>
                                  <w:r>
                                    <w:rPr>
                                      <w:rFonts w:hint="eastAsia"/>
                                    </w:rPr>
                                    <w:t>析</w:t>
                                  </w:r>
                                </w:p>
                              </w:txbxContent>
                            </v:textbox>
                          </v:shape>
                        </w:pict>
                      </mc:Fallback>
                    </mc:AlternateContent>
                  </w:r>
                  <w:r>
                    <w:rPr>
                      <w:color w:val="auto"/>
                      <w:kern w:val="0"/>
                      <w:szCs w:val="21"/>
                    </w:rPr>
                    <w:t>围内统筹布局，规模较大、工业化程度高、分散布局配套设施成本高的产业项目要进产业园区；具有一定规模的农产品加工要向县城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1492" w:type="dxa"/>
                  <w:tcBorders>
                    <w:top w:val="single" w:color="auto" w:sz="4" w:space="0"/>
                    <w:bottom w:val="single" w:color="auto" w:sz="4" w:space="0"/>
                    <w:right w:val="single" w:color="auto" w:sz="4" w:space="0"/>
                  </w:tcBorders>
                  <w:noWrap w:val="0"/>
                  <w:vAlign w:val="center"/>
                </w:tcPr>
                <w:p w14:paraId="0E132A62">
                  <w:pPr>
                    <w:adjustRightInd w:val="0"/>
                    <w:snapToGrid w:val="0"/>
                    <w:rPr>
                      <w:rFonts w:hint="eastAsia"/>
                      <w:b/>
                      <w:bCs/>
                      <w:color w:val="auto"/>
                      <w:kern w:val="0"/>
                      <w:szCs w:val="21"/>
                    </w:rPr>
                  </w:pPr>
                  <w:r>
                    <w:rPr>
                      <w:rFonts w:eastAsia="Times New Roman"/>
                      <w:color w:val="auto"/>
                      <w:kern w:val="0"/>
                      <w:szCs w:val="21"/>
                    </w:rPr>
                    <w:t>本项目不在生态保护红线和永久基本农田范围内</w:t>
                  </w:r>
                  <w:r>
                    <w:rPr>
                      <w:rFonts w:hint="eastAsia" w:eastAsia="Times New Roman"/>
                      <w:color w:val="auto"/>
                      <w:kern w:val="0"/>
                      <w:szCs w:val="21"/>
                    </w:rPr>
                    <w:t>；</w:t>
                  </w:r>
                  <w:r>
                    <w:rPr>
                      <w:rFonts w:eastAsia="Times New Roman"/>
                      <w:color w:val="auto"/>
                      <w:kern w:val="0"/>
                      <w:szCs w:val="21"/>
                    </w:rPr>
                    <w:t>不</w:t>
                  </w:r>
                  <w:r>
                    <w:rPr>
                      <w:rFonts w:hint="eastAsia" w:eastAsia="Times New Roman"/>
                      <w:color w:val="auto"/>
                      <w:kern w:val="0"/>
                      <w:szCs w:val="21"/>
                    </w:rPr>
                    <w:t>属于负面清单淘汰项目；项目</w:t>
                  </w:r>
                  <w:r>
                    <w:rPr>
                      <w:rFonts w:hint="eastAsia" w:eastAsia="宋体"/>
                      <w:color w:val="auto"/>
                      <w:kern w:val="0"/>
                      <w:szCs w:val="21"/>
                      <w:lang w:val="en-US" w:eastAsia="zh-CN"/>
                    </w:rPr>
                    <w:t>不属于化工项目</w:t>
                  </w:r>
                  <w:r>
                    <w:rPr>
                      <w:rFonts w:hint="eastAsia" w:eastAsia="Times New Roman"/>
                      <w:color w:val="auto"/>
                      <w:kern w:val="0"/>
                      <w:szCs w:val="21"/>
                    </w:rPr>
                    <w:t>；项目不属于两高项目；项目不属于</w:t>
                  </w:r>
                  <w:r>
                    <w:rPr>
                      <w:color w:val="auto"/>
                      <w:kern w:val="0"/>
                      <w:szCs w:val="21"/>
                    </w:rPr>
                    <w:t>直接服务种植养殖业的农产品加工、电子商务、仓储保鲜冷链、产地低温直销配送等产业</w:t>
                  </w:r>
                  <w:r>
                    <w:rPr>
                      <w:rFonts w:hint="eastAsia"/>
                      <w:color w:val="auto"/>
                      <w:kern w:val="0"/>
                      <w:szCs w:val="21"/>
                    </w:rPr>
                    <w:t>。</w:t>
                  </w:r>
                </w:p>
              </w:tc>
              <w:tc>
                <w:tcPr>
                  <w:tcW w:w="808" w:type="dxa"/>
                  <w:tcBorders>
                    <w:left w:val="single" w:color="auto" w:sz="4" w:space="0"/>
                  </w:tcBorders>
                  <w:noWrap w:val="0"/>
                  <w:vAlign w:val="center"/>
                </w:tcPr>
                <w:p w14:paraId="394FC2CB">
                  <w:pPr>
                    <w:adjustRightInd w:val="0"/>
                    <w:snapToGrid w:val="0"/>
                    <w:jc w:val="center"/>
                    <w:rPr>
                      <w:b/>
                      <w:bCs/>
                      <w:color w:val="auto"/>
                      <w:kern w:val="0"/>
                      <w:szCs w:val="21"/>
                    </w:rPr>
                  </w:pPr>
                  <w:r>
                    <w:rPr>
                      <w:rFonts w:hint="eastAsia" w:eastAsia="Times New Roman"/>
                      <w:color w:val="auto"/>
                      <w:kern w:val="0"/>
                      <w:szCs w:val="21"/>
                    </w:rPr>
                    <w:t>是</w:t>
                  </w:r>
                </w:p>
              </w:tc>
            </w:tr>
            <w:tr w14:paraId="7B03C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28B68106">
                  <w:pPr>
                    <w:adjustRightInd w:val="0"/>
                    <w:snapToGrid w:val="0"/>
                    <w:rPr>
                      <w:rFonts w:eastAsia="Times New Roman"/>
                      <w:color w:val="auto"/>
                      <w:kern w:val="0"/>
                      <w:szCs w:val="21"/>
                    </w:rPr>
                  </w:pPr>
                </w:p>
                <w:p w14:paraId="28B5748D">
                  <w:pPr>
                    <w:adjustRightInd w:val="0"/>
                    <w:snapToGrid w:val="0"/>
                    <w:rPr>
                      <w:rFonts w:eastAsia="Times New Roman"/>
                      <w:color w:val="auto"/>
                      <w:kern w:val="0"/>
                      <w:szCs w:val="21"/>
                    </w:rPr>
                  </w:pPr>
                </w:p>
                <w:p w14:paraId="7EF96CCD">
                  <w:pPr>
                    <w:adjustRightInd w:val="0"/>
                    <w:snapToGrid w:val="0"/>
                    <w:rPr>
                      <w:rFonts w:eastAsia="Times New Roman"/>
                      <w:color w:val="auto"/>
                      <w:kern w:val="0"/>
                      <w:szCs w:val="21"/>
                    </w:rPr>
                  </w:pPr>
                </w:p>
                <w:p w14:paraId="1CF52C45">
                  <w:pPr>
                    <w:adjustRightInd w:val="0"/>
                    <w:snapToGrid w:val="0"/>
                    <w:rPr>
                      <w:rFonts w:eastAsia="Times New Roman"/>
                      <w:b/>
                      <w:bCs/>
                      <w:color w:val="auto"/>
                      <w:kern w:val="0"/>
                      <w:szCs w:val="21"/>
                    </w:rPr>
                  </w:pPr>
                  <w:r>
                    <w:rPr>
                      <w:rFonts w:eastAsia="Times New Roman"/>
                      <w:color w:val="auto"/>
                      <w:kern w:val="0"/>
                      <w:szCs w:val="21"/>
                    </w:rPr>
                    <w:t>污染物排放管控</w:t>
                  </w:r>
                </w:p>
              </w:tc>
              <w:tc>
                <w:tcPr>
                  <w:tcW w:w="4163" w:type="dxa"/>
                  <w:noWrap w:val="0"/>
                  <w:vAlign w:val="center"/>
                </w:tcPr>
                <w:p w14:paraId="268C2B81">
                  <w:pPr>
                    <w:autoSpaceDE w:val="0"/>
                    <w:autoSpaceDN w:val="0"/>
                    <w:adjustRightInd w:val="0"/>
                    <w:snapToGrid w:val="0"/>
                    <w:rPr>
                      <w:color w:val="auto"/>
                      <w:kern w:val="0"/>
                      <w:szCs w:val="21"/>
                    </w:rPr>
                  </w:pPr>
                  <w:r>
                    <w:rPr>
                      <w:color w:val="auto"/>
                      <w:kern w:val="0"/>
                      <w:szCs w:val="21"/>
                    </w:rPr>
                    <w:t>1.严格落实污染物排放总量控制制度，把主要污染物排放总量指标作为建设项目环境影响评价审批的前置条件。排放主要污染物的建设项目，在环境影响评价文件（以下简称环评文件）审批前，须取得主要污染物排放总量指标。 2.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 3.落实《省政府办公厅关于印发江苏省排污权有偿使用和交易管理暂行办法的通知》（苏政办发〔2017〕115号）及配套的实施细则中，关于新、改扩建项目获得排污权指标的相关要求。 4.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p w14:paraId="09C55693">
                  <w:pPr>
                    <w:autoSpaceDE w:val="0"/>
                    <w:autoSpaceDN w:val="0"/>
                    <w:adjustRightInd w:val="0"/>
                    <w:snapToGrid w:val="0"/>
                    <w:rPr>
                      <w:color w:val="auto"/>
                      <w:kern w:val="0"/>
                      <w:szCs w:val="21"/>
                    </w:rPr>
                  </w:pPr>
                  <w:r>
                    <w:rPr>
                      <w:color w:val="auto"/>
                      <w:kern w:val="0"/>
                      <w:szCs w:val="21"/>
                    </w:rPr>
                    <w:t>环境风险</w:t>
                  </w:r>
                </w:p>
                <w:p w14:paraId="3F02DF39">
                  <w:pPr>
                    <w:autoSpaceDE w:val="0"/>
                    <w:autoSpaceDN w:val="0"/>
                    <w:adjustRightInd w:val="0"/>
                    <w:snapToGrid w:val="0"/>
                    <w:rPr>
                      <w:color w:val="auto"/>
                      <w:kern w:val="0"/>
                      <w:szCs w:val="21"/>
                    </w:rPr>
                  </w:pPr>
                </w:p>
              </w:tc>
              <w:tc>
                <w:tcPr>
                  <w:tcW w:w="1492" w:type="dxa"/>
                  <w:tcBorders>
                    <w:top w:val="single" w:color="auto" w:sz="4" w:space="0"/>
                    <w:bottom w:val="single" w:color="auto" w:sz="4" w:space="0"/>
                    <w:right w:val="single" w:color="auto" w:sz="4" w:space="0"/>
                  </w:tcBorders>
                  <w:noWrap w:val="0"/>
                  <w:vAlign w:val="center"/>
                </w:tcPr>
                <w:p w14:paraId="3286F9CE">
                  <w:pPr>
                    <w:adjustRightInd w:val="0"/>
                    <w:snapToGrid w:val="0"/>
                    <w:rPr>
                      <w:rFonts w:eastAsia="Times New Roman"/>
                      <w:b/>
                      <w:bCs/>
                      <w:color w:val="auto"/>
                      <w:kern w:val="0"/>
                      <w:szCs w:val="21"/>
                    </w:rPr>
                  </w:pPr>
                  <w:r>
                    <w:rPr>
                      <w:rFonts w:hint="eastAsia" w:ascii="Times New Roman" w:hAnsi="Times New Roman" w:eastAsia="宋体" w:cs="Times New Roman"/>
                      <w:color w:val="auto"/>
                      <w:szCs w:val="21"/>
                      <w:shd w:val="clear" w:color="auto" w:fill="auto"/>
                      <w:lang w:val="en-US" w:eastAsia="zh-CN"/>
                    </w:rPr>
                    <w:t>本项目属于简化管理，项目建成后将实施污染物总量控制，新增大气污染物总量和水污染物总量能在如皋市范围内平衡。故不会突破生态环境承载力。</w:t>
                  </w:r>
                </w:p>
              </w:tc>
              <w:tc>
                <w:tcPr>
                  <w:tcW w:w="808" w:type="dxa"/>
                  <w:tcBorders>
                    <w:left w:val="single" w:color="auto" w:sz="4" w:space="0"/>
                  </w:tcBorders>
                  <w:noWrap w:val="0"/>
                  <w:vAlign w:val="center"/>
                </w:tcPr>
                <w:p w14:paraId="343855F9">
                  <w:pPr>
                    <w:adjustRightInd w:val="0"/>
                    <w:snapToGrid w:val="0"/>
                    <w:jc w:val="center"/>
                    <w:rPr>
                      <w:rFonts w:eastAsia="Times New Roman"/>
                      <w:b/>
                      <w:bCs/>
                      <w:color w:val="auto"/>
                      <w:kern w:val="0"/>
                      <w:szCs w:val="21"/>
                    </w:rPr>
                  </w:pPr>
                  <w:r>
                    <w:rPr>
                      <w:rFonts w:hint="eastAsia" w:eastAsia="Times New Roman"/>
                      <w:color w:val="auto"/>
                      <w:kern w:val="0"/>
                      <w:szCs w:val="21"/>
                    </w:rPr>
                    <w:t>是</w:t>
                  </w:r>
                </w:p>
              </w:tc>
            </w:tr>
            <w:tr w14:paraId="554E7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620ABD22">
                  <w:pPr>
                    <w:adjustRightInd w:val="0"/>
                    <w:snapToGrid w:val="0"/>
                    <w:rPr>
                      <w:rFonts w:eastAsia="Times New Roman"/>
                      <w:color w:val="auto"/>
                      <w:kern w:val="0"/>
                      <w:szCs w:val="21"/>
                    </w:rPr>
                  </w:pPr>
                  <w:r>
                    <w:rPr>
                      <w:color w:val="auto"/>
                      <w:szCs w:val="21"/>
                    </w:rPr>
                    <mc:AlternateContent>
                      <mc:Choice Requires="wps">
                        <w:drawing>
                          <wp:anchor distT="0" distB="0" distL="114300" distR="114300" simplePos="0" relativeHeight="251668480" behindDoc="0" locked="0" layoutInCell="1" allowOverlap="1">
                            <wp:simplePos x="0" y="0"/>
                            <wp:positionH relativeFrom="column">
                              <wp:posOffset>-932815</wp:posOffset>
                            </wp:positionH>
                            <wp:positionV relativeFrom="paragraph">
                              <wp:posOffset>-969010</wp:posOffset>
                            </wp:positionV>
                            <wp:extent cx="422910" cy="150622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422910" cy="1506220"/>
                                    </a:xfrm>
                                    <a:prstGeom prst="rect">
                                      <a:avLst/>
                                    </a:prstGeom>
                                    <a:noFill/>
                                    <a:ln>
                                      <a:noFill/>
                                    </a:ln>
                                  </wps:spPr>
                                  <wps:txbx>
                                    <w:txbxContent>
                                      <w:p w14:paraId="1DB2E908">
                                        <w:pPr>
                                          <w:jc w:val="center"/>
                                          <w:rPr>
                                            <w:rFonts w:hint="eastAsia"/>
                                          </w:rPr>
                                        </w:pPr>
                                        <w:r>
                                          <w:rPr>
                                            <w:rFonts w:hint="eastAsia"/>
                                          </w:rPr>
                                          <w:t>其</w:t>
                                        </w:r>
                                      </w:p>
                                      <w:p w14:paraId="3FB754B4">
                                        <w:pPr>
                                          <w:jc w:val="center"/>
                                          <w:rPr>
                                            <w:rFonts w:hint="eastAsia"/>
                                          </w:rPr>
                                        </w:pPr>
                                        <w:r>
                                          <w:rPr>
                                            <w:rFonts w:hint="eastAsia"/>
                                          </w:rPr>
                                          <w:t>他</w:t>
                                        </w:r>
                                      </w:p>
                                      <w:p w14:paraId="7EA69F30">
                                        <w:pPr>
                                          <w:jc w:val="center"/>
                                          <w:rPr>
                                            <w:rFonts w:hint="eastAsia"/>
                                          </w:rPr>
                                        </w:pPr>
                                        <w:r>
                                          <w:rPr>
                                            <w:rFonts w:hint="eastAsia"/>
                                          </w:rPr>
                                          <w:t>符</w:t>
                                        </w:r>
                                      </w:p>
                                      <w:p w14:paraId="11207FDB">
                                        <w:pPr>
                                          <w:jc w:val="center"/>
                                          <w:rPr>
                                            <w:rFonts w:hint="eastAsia"/>
                                          </w:rPr>
                                        </w:pPr>
                                        <w:r>
                                          <w:rPr>
                                            <w:rFonts w:hint="eastAsia"/>
                                          </w:rPr>
                                          <w:t>合</w:t>
                                        </w:r>
                                      </w:p>
                                      <w:p w14:paraId="0A2D7B90">
                                        <w:pPr>
                                          <w:jc w:val="center"/>
                                          <w:rPr>
                                            <w:rFonts w:hint="eastAsia"/>
                                          </w:rPr>
                                        </w:pPr>
                                        <w:r>
                                          <w:rPr>
                                            <w:rFonts w:hint="eastAsia"/>
                                          </w:rPr>
                                          <w:t>性</w:t>
                                        </w:r>
                                      </w:p>
                                      <w:p w14:paraId="6443F614">
                                        <w:pPr>
                                          <w:jc w:val="center"/>
                                          <w:rPr>
                                            <w:rFonts w:hint="eastAsia"/>
                                          </w:rPr>
                                        </w:pPr>
                                        <w:r>
                                          <w:rPr>
                                            <w:rFonts w:hint="eastAsia"/>
                                          </w:rPr>
                                          <w:t>分</w:t>
                                        </w:r>
                                      </w:p>
                                      <w:p w14:paraId="4EC0D984">
                                        <w:pPr>
                                          <w:jc w:val="center"/>
                                          <w:rPr>
                                            <w:rFonts w:hint="eastAsia"/>
                                          </w:rPr>
                                        </w:pPr>
                                        <w:r>
                                          <w:rPr>
                                            <w:rFonts w:hint="eastAsia"/>
                                          </w:rPr>
                                          <w:t>析</w:t>
                                        </w:r>
                                      </w:p>
                                    </w:txbxContent>
                                  </wps:txbx>
                                  <wps:bodyPr upright="1"/>
                                </wps:wsp>
                              </a:graphicData>
                            </a:graphic>
                          </wp:anchor>
                        </w:drawing>
                      </mc:Choice>
                      <mc:Fallback>
                        <w:pict>
                          <v:shape id="_x0000_s1026" o:spid="_x0000_s1026" o:spt="202" type="#_x0000_t202" style="position:absolute;left:0pt;margin-left:-73.45pt;margin-top:-76.3pt;height:118.6pt;width:33.3pt;z-index:251668480;mso-width-relative:page;mso-height-relative:page;" filled="f" stroked="f" coordsize="21600,21600" o:gfxdata="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5t&#10;vNkAAAAMAQAADwAAAAAAAAABACAAAAAiAAAAZHJzL2Rvd25yZXYueG1sUEsBAhQAFAAAAAgAh07i&#10;QBh8WuSvAQAAUAMAAA4AAAAAAAAAAQAgAAAAKAEAAGRycy9lMm9Eb2MueG1sUEsFBgAAAAAGAAYA&#10;WQEAAEkFAAAAAA==&#10;">
                            <v:fill on="f" focussize="0,0"/>
                            <v:stroke on="f"/>
                            <v:imagedata o:title=""/>
                            <o:lock v:ext="edit" aspectratio="f"/>
                            <v:textbox>
                              <w:txbxContent>
                                <w:p w14:paraId="1DB2E908">
                                  <w:pPr>
                                    <w:jc w:val="center"/>
                                    <w:rPr>
                                      <w:rFonts w:hint="eastAsia"/>
                                    </w:rPr>
                                  </w:pPr>
                                  <w:r>
                                    <w:rPr>
                                      <w:rFonts w:hint="eastAsia"/>
                                    </w:rPr>
                                    <w:t>其</w:t>
                                  </w:r>
                                </w:p>
                                <w:p w14:paraId="3FB754B4">
                                  <w:pPr>
                                    <w:jc w:val="center"/>
                                    <w:rPr>
                                      <w:rFonts w:hint="eastAsia"/>
                                    </w:rPr>
                                  </w:pPr>
                                  <w:r>
                                    <w:rPr>
                                      <w:rFonts w:hint="eastAsia"/>
                                    </w:rPr>
                                    <w:t>他</w:t>
                                  </w:r>
                                </w:p>
                                <w:p w14:paraId="7EA69F30">
                                  <w:pPr>
                                    <w:jc w:val="center"/>
                                    <w:rPr>
                                      <w:rFonts w:hint="eastAsia"/>
                                    </w:rPr>
                                  </w:pPr>
                                  <w:r>
                                    <w:rPr>
                                      <w:rFonts w:hint="eastAsia"/>
                                    </w:rPr>
                                    <w:t>符</w:t>
                                  </w:r>
                                </w:p>
                                <w:p w14:paraId="11207FDB">
                                  <w:pPr>
                                    <w:jc w:val="center"/>
                                    <w:rPr>
                                      <w:rFonts w:hint="eastAsia"/>
                                    </w:rPr>
                                  </w:pPr>
                                  <w:r>
                                    <w:rPr>
                                      <w:rFonts w:hint="eastAsia"/>
                                    </w:rPr>
                                    <w:t>合</w:t>
                                  </w:r>
                                </w:p>
                                <w:p w14:paraId="0A2D7B90">
                                  <w:pPr>
                                    <w:jc w:val="center"/>
                                    <w:rPr>
                                      <w:rFonts w:hint="eastAsia"/>
                                    </w:rPr>
                                  </w:pPr>
                                  <w:r>
                                    <w:rPr>
                                      <w:rFonts w:hint="eastAsia"/>
                                    </w:rPr>
                                    <w:t>性</w:t>
                                  </w:r>
                                </w:p>
                                <w:p w14:paraId="6443F614">
                                  <w:pPr>
                                    <w:jc w:val="center"/>
                                    <w:rPr>
                                      <w:rFonts w:hint="eastAsia"/>
                                    </w:rPr>
                                  </w:pPr>
                                  <w:r>
                                    <w:rPr>
                                      <w:rFonts w:hint="eastAsia"/>
                                    </w:rPr>
                                    <w:t>分</w:t>
                                  </w:r>
                                </w:p>
                                <w:p w14:paraId="4EC0D984">
                                  <w:pPr>
                                    <w:jc w:val="center"/>
                                    <w:rPr>
                                      <w:rFonts w:hint="eastAsia"/>
                                    </w:rPr>
                                  </w:pPr>
                                  <w:r>
                                    <w:rPr>
                                      <w:rFonts w:hint="eastAsia"/>
                                    </w:rPr>
                                    <w:t>析</w:t>
                                  </w:r>
                                </w:p>
                              </w:txbxContent>
                            </v:textbox>
                          </v:shape>
                        </w:pict>
                      </mc:Fallback>
                    </mc:AlternateContent>
                  </w:r>
                </w:p>
                <w:p w14:paraId="78D4CFD8">
                  <w:pPr>
                    <w:adjustRightInd w:val="0"/>
                    <w:snapToGrid w:val="0"/>
                    <w:rPr>
                      <w:rFonts w:eastAsia="Times New Roman"/>
                      <w:color w:val="auto"/>
                      <w:kern w:val="0"/>
                      <w:szCs w:val="21"/>
                    </w:rPr>
                  </w:pPr>
                </w:p>
                <w:p w14:paraId="257A054C">
                  <w:pPr>
                    <w:adjustRightInd w:val="0"/>
                    <w:snapToGrid w:val="0"/>
                    <w:rPr>
                      <w:rFonts w:eastAsia="Times New Roman"/>
                      <w:color w:val="auto"/>
                      <w:kern w:val="0"/>
                      <w:szCs w:val="21"/>
                    </w:rPr>
                  </w:pPr>
                </w:p>
                <w:p w14:paraId="3CDCE89D">
                  <w:pPr>
                    <w:adjustRightInd w:val="0"/>
                    <w:snapToGrid w:val="0"/>
                    <w:rPr>
                      <w:rFonts w:eastAsia="Times New Roman"/>
                      <w:color w:val="auto"/>
                      <w:kern w:val="0"/>
                      <w:szCs w:val="21"/>
                    </w:rPr>
                  </w:pPr>
                </w:p>
                <w:p w14:paraId="00E663AA">
                  <w:pPr>
                    <w:adjustRightInd w:val="0"/>
                    <w:snapToGrid w:val="0"/>
                    <w:rPr>
                      <w:rFonts w:eastAsia="Times New Roman"/>
                      <w:color w:val="auto"/>
                      <w:kern w:val="0"/>
                      <w:szCs w:val="21"/>
                    </w:rPr>
                  </w:pPr>
                </w:p>
                <w:p w14:paraId="2F3EF793">
                  <w:pPr>
                    <w:adjustRightInd w:val="0"/>
                    <w:snapToGrid w:val="0"/>
                    <w:rPr>
                      <w:rFonts w:eastAsia="Times New Roman"/>
                      <w:b/>
                      <w:bCs/>
                      <w:color w:val="auto"/>
                      <w:kern w:val="0"/>
                      <w:szCs w:val="21"/>
                    </w:rPr>
                  </w:pPr>
                  <w:r>
                    <w:rPr>
                      <w:rFonts w:eastAsia="Times New Roman"/>
                      <w:color w:val="auto"/>
                      <w:kern w:val="0"/>
                      <w:szCs w:val="21"/>
                    </w:rPr>
                    <w:t>环境风险防控</w:t>
                  </w:r>
                </w:p>
              </w:tc>
              <w:tc>
                <w:tcPr>
                  <w:tcW w:w="4163" w:type="dxa"/>
                  <w:noWrap w:val="0"/>
                  <w:vAlign w:val="center"/>
                </w:tcPr>
                <w:p w14:paraId="5C3CD7BD">
                  <w:pPr>
                    <w:autoSpaceDE w:val="0"/>
                    <w:autoSpaceDN w:val="0"/>
                    <w:adjustRightInd w:val="0"/>
                    <w:snapToGrid w:val="0"/>
                    <w:rPr>
                      <w:color w:val="auto"/>
                      <w:kern w:val="0"/>
                      <w:szCs w:val="21"/>
                    </w:rPr>
                  </w:pPr>
                  <w:r>
                    <w:rPr>
                      <w:color w:val="auto"/>
                      <w:kern w:val="0"/>
                      <w:szCs w:val="21"/>
                    </w:rPr>
                    <w:t>1.落实《南通市突发环境事件应急预案（2020年修订版）》（通政办发〔2020〕46号）。 2.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 3.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492" w:type="dxa"/>
                  <w:tcBorders>
                    <w:top w:val="single" w:color="auto" w:sz="4" w:space="0"/>
                    <w:bottom w:val="single" w:color="auto" w:sz="4" w:space="0"/>
                    <w:right w:val="single" w:color="auto" w:sz="4" w:space="0"/>
                  </w:tcBorders>
                  <w:noWrap w:val="0"/>
                  <w:vAlign w:val="center"/>
                </w:tcPr>
                <w:p w14:paraId="30645E59">
                  <w:pPr>
                    <w:widowControl/>
                    <w:jc w:val="left"/>
                    <w:rPr>
                      <w:rFonts w:eastAsia="Times New Roman"/>
                      <w:color w:val="auto"/>
                      <w:szCs w:val="21"/>
                    </w:rPr>
                  </w:pPr>
                  <w:r>
                    <w:rPr>
                      <w:rFonts w:eastAsia="Times New Roman"/>
                      <w:color w:val="auto"/>
                      <w:kern w:val="0"/>
                      <w:szCs w:val="21"/>
                      <w:lang w:bidi="ar"/>
                    </w:rPr>
                    <w:t xml:space="preserve">本项目建成后将制定环境风险应急预案，同时企业内储备有足够的环境应急物资，实现环境 </w:t>
                  </w:r>
                </w:p>
                <w:p w14:paraId="21576E21">
                  <w:pPr>
                    <w:widowControl/>
                    <w:jc w:val="left"/>
                    <w:rPr>
                      <w:rFonts w:eastAsia="Times New Roman"/>
                      <w:b/>
                      <w:bCs/>
                      <w:color w:val="auto"/>
                      <w:kern w:val="0"/>
                      <w:szCs w:val="21"/>
                    </w:rPr>
                  </w:pPr>
                  <w:r>
                    <w:rPr>
                      <w:rFonts w:eastAsia="Times New Roman"/>
                      <w:color w:val="auto"/>
                      <w:kern w:val="0"/>
                      <w:szCs w:val="21"/>
                      <w:lang w:bidi="ar"/>
                    </w:rPr>
                    <w:t>风险联防联控，故能满足环境风险防控的相关要求。</w:t>
                  </w:r>
                </w:p>
              </w:tc>
              <w:tc>
                <w:tcPr>
                  <w:tcW w:w="808" w:type="dxa"/>
                  <w:tcBorders>
                    <w:left w:val="single" w:color="auto" w:sz="4" w:space="0"/>
                  </w:tcBorders>
                  <w:noWrap w:val="0"/>
                  <w:vAlign w:val="center"/>
                </w:tcPr>
                <w:p w14:paraId="54C99029">
                  <w:pPr>
                    <w:adjustRightInd w:val="0"/>
                    <w:snapToGrid w:val="0"/>
                    <w:jc w:val="center"/>
                    <w:rPr>
                      <w:rFonts w:eastAsia="Times New Roman"/>
                      <w:b/>
                      <w:bCs/>
                      <w:color w:val="auto"/>
                      <w:kern w:val="0"/>
                      <w:szCs w:val="21"/>
                    </w:rPr>
                  </w:pPr>
                  <w:r>
                    <w:rPr>
                      <w:rFonts w:hint="eastAsia" w:eastAsia="Times New Roman"/>
                      <w:color w:val="auto"/>
                      <w:kern w:val="0"/>
                      <w:szCs w:val="21"/>
                    </w:rPr>
                    <w:t>是</w:t>
                  </w:r>
                </w:p>
              </w:tc>
            </w:tr>
            <w:tr w14:paraId="09CA3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64374633">
                  <w:pPr>
                    <w:adjustRightInd w:val="0"/>
                    <w:snapToGrid w:val="0"/>
                    <w:rPr>
                      <w:rFonts w:eastAsia="Times New Roman"/>
                      <w:b/>
                      <w:bCs/>
                      <w:color w:val="auto"/>
                      <w:kern w:val="0"/>
                      <w:szCs w:val="21"/>
                    </w:rPr>
                  </w:pPr>
                  <w:r>
                    <w:rPr>
                      <w:rFonts w:eastAsia="Times New Roman"/>
                      <w:color w:val="auto"/>
                      <w:kern w:val="0"/>
                      <w:szCs w:val="21"/>
                    </w:rPr>
                    <w:t>资源利用效率要求</w:t>
                  </w:r>
                </w:p>
              </w:tc>
              <w:tc>
                <w:tcPr>
                  <w:tcW w:w="4163" w:type="dxa"/>
                  <w:noWrap w:val="0"/>
                  <w:vAlign w:val="center"/>
                </w:tcPr>
                <w:p w14:paraId="0374433B">
                  <w:pPr>
                    <w:autoSpaceDE w:val="0"/>
                    <w:autoSpaceDN w:val="0"/>
                    <w:adjustRightInd w:val="0"/>
                    <w:snapToGrid w:val="0"/>
                    <w:rPr>
                      <w:color w:val="auto"/>
                      <w:kern w:val="0"/>
                      <w:szCs w:val="21"/>
                    </w:rPr>
                  </w:pPr>
                  <w:r>
                    <w:rPr>
                      <w:color w:val="auto"/>
                      <w:kern w:val="0"/>
                      <w:szCs w:val="21"/>
                    </w:rPr>
                    <w:t>1.根据《中华人民共和国大气污染防治法》，禁燃区禁止新建、扩建燃用高污染燃料的项目和设施，已建成的应逐步或依法限期改用天然气、电或者其他清洁能源。 2.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 3.严格控制地下水开采。落实《江苏省地下水超采区划分方案》（苏政复〔2013〕59号），在海门区的海门城区、三厂、常乐等乡镇共计136.9平方公里，实施地下水禁采；在如东县的掘港及马塘、岔河、洋口、丰利等乡镇，海门区除三阳、</w:t>
                  </w:r>
                  <w:r>
                    <w:rPr>
                      <w:color w:val="auto"/>
                      <w:szCs w:val="21"/>
                    </w:rPr>
                    <mc:AlternateContent>
                      <mc:Choice Requires="wps">
                        <w:drawing>
                          <wp:anchor distT="0" distB="0" distL="114300" distR="114300" simplePos="0" relativeHeight="251669504" behindDoc="0" locked="0" layoutInCell="1" allowOverlap="1">
                            <wp:simplePos x="0" y="0"/>
                            <wp:positionH relativeFrom="column">
                              <wp:posOffset>-1383030</wp:posOffset>
                            </wp:positionH>
                            <wp:positionV relativeFrom="paragraph">
                              <wp:posOffset>3139440</wp:posOffset>
                            </wp:positionV>
                            <wp:extent cx="422910" cy="150622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22910" cy="1506220"/>
                                    </a:xfrm>
                                    <a:prstGeom prst="rect">
                                      <a:avLst/>
                                    </a:prstGeom>
                                    <a:noFill/>
                                    <a:ln>
                                      <a:noFill/>
                                    </a:ln>
                                  </wps:spPr>
                                  <wps:txbx>
                                    <w:txbxContent>
                                      <w:p w14:paraId="5EC2AF11">
                                        <w:pPr>
                                          <w:jc w:val="center"/>
                                          <w:rPr>
                                            <w:rFonts w:hint="eastAsia"/>
                                          </w:rPr>
                                        </w:pPr>
                                        <w:r>
                                          <w:rPr>
                                            <w:rFonts w:hint="eastAsia"/>
                                          </w:rPr>
                                          <w:t>其</w:t>
                                        </w:r>
                                      </w:p>
                                      <w:p w14:paraId="7BE0B2FB">
                                        <w:pPr>
                                          <w:jc w:val="center"/>
                                          <w:rPr>
                                            <w:rFonts w:hint="eastAsia"/>
                                          </w:rPr>
                                        </w:pPr>
                                        <w:r>
                                          <w:rPr>
                                            <w:rFonts w:hint="eastAsia"/>
                                          </w:rPr>
                                          <w:t>他</w:t>
                                        </w:r>
                                      </w:p>
                                      <w:p w14:paraId="55097CAD">
                                        <w:pPr>
                                          <w:jc w:val="center"/>
                                          <w:rPr>
                                            <w:rFonts w:hint="eastAsia"/>
                                          </w:rPr>
                                        </w:pPr>
                                        <w:r>
                                          <w:rPr>
                                            <w:rFonts w:hint="eastAsia"/>
                                          </w:rPr>
                                          <w:t>符</w:t>
                                        </w:r>
                                      </w:p>
                                      <w:p w14:paraId="38D3E08E">
                                        <w:pPr>
                                          <w:jc w:val="center"/>
                                          <w:rPr>
                                            <w:rFonts w:hint="eastAsia"/>
                                          </w:rPr>
                                        </w:pPr>
                                        <w:r>
                                          <w:rPr>
                                            <w:rFonts w:hint="eastAsia"/>
                                          </w:rPr>
                                          <w:t>合</w:t>
                                        </w:r>
                                      </w:p>
                                      <w:p w14:paraId="0031B992">
                                        <w:pPr>
                                          <w:jc w:val="center"/>
                                          <w:rPr>
                                            <w:rFonts w:hint="eastAsia"/>
                                          </w:rPr>
                                        </w:pPr>
                                        <w:r>
                                          <w:rPr>
                                            <w:rFonts w:hint="eastAsia"/>
                                          </w:rPr>
                                          <w:t>性</w:t>
                                        </w:r>
                                      </w:p>
                                      <w:p w14:paraId="184AD2A1">
                                        <w:pPr>
                                          <w:jc w:val="center"/>
                                          <w:rPr>
                                            <w:rFonts w:hint="eastAsia"/>
                                          </w:rPr>
                                        </w:pPr>
                                        <w:r>
                                          <w:rPr>
                                            <w:rFonts w:hint="eastAsia"/>
                                          </w:rPr>
                                          <w:t>分</w:t>
                                        </w:r>
                                      </w:p>
                                      <w:p w14:paraId="72D63DE3">
                                        <w:pPr>
                                          <w:jc w:val="center"/>
                                          <w:rPr>
                                            <w:rFonts w:hint="eastAsia"/>
                                          </w:rPr>
                                        </w:pPr>
                                        <w:r>
                                          <w:rPr>
                                            <w:rFonts w:hint="eastAsia"/>
                                          </w:rPr>
                                          <w:t>析</w:t>
                                        </w:r>
                                      </w:p>
                                    </w:txbxContent>
                                  </wps:txbx>
                                  <wps:bodyPr upright="1"/>
                                </wps:wsp>
                              </a:graphicData>
                            </a:graphic>
                          </wp:anchor>
                        </w:drawing>
                      </mc:Choice>
                      <mc:Fallback>
                        <w:pict>
                          <v:shape id="_x0000_s1026" o:spid="_x0000_s1026" o:spt="202" type="#_x0000_t202" style="position:absolute;left:0pt;margin-left:-108.9pt;margin-top:247.2pt;height:118.6pt;width:33.3pt;z-index:251669504;mso-width-relative:page;mso-height-relative:page;" filled="f" stroked="f" coordsize="21600,21600" o:gfxdata="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sSru2wAAAA0BAAAPAAAAAAAAAAEAIAAAACIAAABkcnMvZG93bnJldi54bWxQSwECFAAUAAAACACH&#10;TuJAGYwLuq8BAABQAwAADgAAAAAAAAABACAAAAAqAQAAZHJzL2Uyb0RvYy54bWxQSwUGAAAAAAYA&#10;BgBZAQAASwUAAAAA&#10;">
                            <v:fill on="f" focussize="0,0"/>
                            <v:stroke on="f"/>
                            <v:imagedata o:title=""/>
                            <o:lock v:ext="edit" aspectratio="f"/>
                            <v:textbox>
                              <w:txbxContent>
                                <w:p w14:paraId="5EC2AF11">
                                  <w:pPr>
                                    <w:jc w:val="center"/>
                                    <w:rPr>
                                      <w:rFonts w:hint="eastAsia"/>
                                    </w:rPr>
                                  </w:pPr>
                                  <w:r>
                                    <w:rPr>
                                      <w:rFonts w:hint="eastAsia"/>
                                    </w:rPr>
                                    <w:t>其</w:t>
                                  </w:r>
                                </w:p>
                                <w:p w14:paraId="7BE0B2FB">
                                  <w:pPr>
                                    <w:jc w:val="center"/>
                                    <w:rPr>
                                      <w:rFonts w:hint="eastAsia"/>
                                    </w:rPr>
                                  </w:pPr>
                                  <w:r>
                                    <w:rPr>
                                      <w:rFonts w:hint="eastAsia"/>
                                    </w:rPr>
                                    <w:t>他</w:t>
                                  </w:r>
                                </w:p>
                                <w:p w14:paraId="55097CAD">
                                  <w:pPr>
                                    <w:jc w:val="center"/>
                                    <w:rPr>
                                      <w:rFonts w:hint="eastAsia"/>
                                    </w:rPr>
                                  </w:pPr>
                                  <w:r>
                                    <w:rPr>
                                      <w:rFonts w:hint="eastAsia"/>
                                    </w:rPr>
                                    <w:t>符</w:t>
                                  </w:r>
                                </w:p>
                                <w:p w14:paraId="38D3E08E">
                                  <w:pPr>
                                    <w:jc w:val="center"/>
                                    <w:rPr>
                                      <w:rFonts w:hint="eastAsia"/>
                                    </w:rPr>
                                  </w:pPr>
                                  <w:r>
                                    <w:rPr>
                                      <w:rFonts w:hint="eastAsia"/>
                                    </w:rPr>
                                    <w:t>合</w:t>
                                  </w:r>
                                </w:p>
                                <w:p w14:paraId="0031B992">
                                  <w:pPr>
                                    <w:jc w:val="center"/>
                                    <w:rPr>
                                      <w:rFonts w:hint="eastAsia"/>
                                    </w:rPr>
                                  </w:pPr>
                                  <w:r>
                                    <w:rPr>
                                      <w:rFonts w:hint="eastAsia"/>
                                    </w:rPr>
                                    <w:t>性</w:t>
                                  </w:r>
                                </w:p>
                                <w:p w14:paraId="184AD2A1">
                                  <w:pPr>
                                    <w:jc w:val="center"/>
                                    <w:rPr>
                                      <w:rFonts w:hint="eastAsia"/>
                                    </w:rPr>
                                  </w:pPr>
                                  <w:r>
                                    <w:rPr>
                                      <w:rFonts w:hint="eastAsia"/>
                                    </w:rPr>
                                    <w:t>分</w:t>
                                  </w:r>
                                </w:p>
                                <w:p w14:paraId="72D63DE3">
                                  <w:pPr>
                                    <w:jc w:val="center"/>
                                    <w:rPr>
                                      <w:rFonts w:hint="eastAsia"/>
                                    </w:rPr>
                                  </w:pPr>
                                  <w:r>
                                    <w:rPr>
                                      <w:rFonts w:hint="eastAsia"/>
                                    </w:rPr>
                                    <w:t>析</w:t>
                                  </w:r>
                                </w:p>
                              </w:txbxContent>
                            </v:textbox>
                          </v:shape>
                        </w:pict>
                      </mc:Fallback>
                    </mc:AlternateContent>
                  </w:r>
                  <w:r>
                    <w:rPr>
                      <w:color w:val="auto"/>
                      <w:kern w:val="0"/>
                      <w:szCs w:val="21"/>
                    </w:rPr>
                    <w:t>海永外的大部分地区，启东市的汇龙、吕四、北新等乡镇，通州区的东社镇、二甲镇，通州湾的三余镇等地2095.8平方公里，实施地下水限采。 4.落实《市政府办公室印发&lt;关于进一步促进全市乡镇工业集聚区高质量发展的实施意见&gt;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化零为整”。 5.落实《市政府办公室关于印发南通市减污降碳协同增效三年行动计划（2023—2025年）的通知》（通政办发〔2023〕24号），加强岸线动态监管，严禁工贸和港口企业无序占用港口岸线。严控煤炭消费总量，严禁新（扩）建燃煤自备电厂，新建燃煤发电机组达到煤炭清洁高效利用标杆水平，2025年底前现有机组达到标杆水平。 6.根据《省最严格水资源管理考核和节约用水工作联席会议办公室关于下达2023年度实行最严格水资源管理制度目标任务的通知》（苏水办资联﹝2023﹞2号），2023年南通市地下水用水总量为2800万立方米。</w:t>
                  </w:r>
                </w:p>
              </w:tc>
              <w:tc>
                <w:tcPr>
                  <w:tcW w:w="1492" w:type="dxa"/>
                  <w:tcBorders>
                    <w:top w:val="single" w:color="auto" w:sz="4" w:space="0"/>
                    <w:bottom w:val="single" w:color="auto" w:sz="12" w:space="0"/>
                    <w:right w:val="single" w:color="auto" w:sz="4" w:space="0"/>
                  </w:tcBorders>
                  <w:noWrap w:val="0"/>
                  <w:vAlign w:val="center"/>
                </w:tcPr>
                <w:p w14:paraId="3551A73C">
                  <w:pPr>
                    <w:adjustRightInd w:val="0"/>
                    <w:snapToGrid w:val="0"/>
                    <w:rPr>
                      <w:b/>
                      <w:bCs/>
                      <w:color w:val="auto"/>
                      <w:kern w:val="0"/>
                      <w:szCs w:val="21"/>
                    </w:rPr>
                  </w:pPr>
                  <w:r>
                    <w:rPr>
                      <w:rFonts w:hint="eastAsia" w:eastAsia="Times New Roman"/>
                      <w:color w:val="auto"/>
                      <w:kern w:val="0"/>
                      <w:szCs w:val="21"/>
                    </w:rPr>
                    <w:t>本项目</w:t>
                  </w:r>
                  <w:r>
                    <w:rPr>
                      <w:rFonts w:hint="eastAsia" w:eastAsia="宋体"/>
                      <w:color w:val="auto"/>
                      <w:kern w:val="0"/>
                      <w:szCs w:val="21"/>
                      <w:lang w:val="en-US" w:eastAsia="zh-CN"/>
                    </w:rPr>
                    <w:t>不使用高污染燃料；项目</w:t>
                  </w:r>
                  <w:r>
                    <w:rPr>
                      <w:rFonts w:hint="eastAsia" w:eastAsia="Times New Roman"/>
                      <w:color w:val="auto"/>
                      <w:kern w:val="0"/>
                      <w:szCs w:val="21"/>
                    </w:rPr>
                    <w:t>不属于化工行业；本项目不涉及地下水开采；本项目位于</w:t>
                  </w:r>
                  <w:r>
                    <w:rPr>
                      <w:rFonts w:hint="eastAsia" w:eastAsia="宋体"/>
                      <w:color w:val="auto"/>
                      <w:kern w:val="0"/>
                      <w:szCs w:val="21"/>
                      <w:lang w:val="en-US" w:eastAsia="zh-CN"/>
                    </w:rPr>
                    <w:t>如皋市工业集聚区</w:t>
                  </w:r>
                  <w:r>
                    <w:rPr>
                      <w:rFonts w:hint="eastAsia" w:eastAsia="Times New Roman"/>
                      <w:color w:val="auto"/>
                      <w:kern w:val="0"/>
                      <w:szCs w:val="21"/>
                    </w:rPr>
                    <w:t>，符合产业政策。</w:t>
                  </w:r>
                </w:p>
              </w:tc>
              <w:tc>
                <w:tcPr>
                  <w:tcW w:w="808" w:type="dxa"/>
                  <w:tcBorders>
                    <w:left w:val="single" w:color="auto" w:sz="4" w:space="0"/>
                  </w:tcBorders>
                  <w:noWrap w:val="0"/>
                  <w:vAlign w:val="center"/>
                </w:tcPr>
                <w:p w14:paraId="07E534FB">
                  <w:pPr>
                    <w:adjustRightInd w:val="0"/>
                    <w:snapToGrid w:val="0"/>
                    <w:jc w:val="center"/>
                    <w:rPr>
                      <w:rFonts w:eastAsia="Times New Roman"/>
                      <w:b/>
                      <w:bCs/>
                      <w:color w:val="auto"/>
                      <w:kern w:val="0"/>
                      <w:szCs w:val="21"/>
                    </w:rPr>
                  </w:pPr>
                  <w:r>
                    <w:rPr>
                      <w:rFonts w:hint="eastAsia" w:eastAsia="Times New Roman"/>
                      <w:color w:val="auto"/>
                      <w:kern w:val="0"/>
                      <w:szCs w:val="21"/>
                    </w:rPr>
                    <w:t>是</w:t>
                  </w:r>
                </w:p>
              </w:tc>
            </w:tr>
          </w:tbl>
          <w:p w14:paraId="3ECAD7BE">
            <w:pPr>
              <w:adjustRightInd w:val="0"/>
              <w:snapToGrid w:val="0"/>
              <w:spacing w:line="360" w:lineRule="auto"/>
              <w:ind w:firstLine="420" w:firstLineChars="200"/>
              <w:rPr>
                <w:b/>
                <w:bCs/>
                <w:color w:val="auto"/>
              </w:rPr>
            </w:pPr>
            <w:r>
              <w:rPr>
                <w:color w:val="auto"/>
                <w:szCs w:val="21"/>
              </w:rPr>
              <w:t>综上所述，本项目的建设与《江苏省2023年度生态环境分区管控动态更新成果》</w:t>
            </w:r>
            <w:r>
              <w:rPr>
                <w:rFonts w:hint="eastAsia"/>
                <w:color w:val="auto"/>
                <w:szCs w:val="21"/>
              </w:rPr>
              <w:t>及《南通市</w:t>
            </w:r>
            <w:r>
              <w:rPr>
                <w:color w:val="auto"/>
                <w:szCs w:val="21"/>
              </w:rPr>
              <w:t>生态环境分区管控动态更新成果</w:t>
            </w:r>
            <w:r>
              <w:rPr>
                <w:rFonts w:hint="eastAsia"/>
                <w:color w:val="auto"/>
                <w:szCs w:val="21"/>
              </w:rPr>
              <w:t>（2023年）》</w:t>
            </w:r>
            <w:r>
              <w:rPr>
                <w:color w:val="auto"/>
                <w:szCs w:val="21"/>
              </w:rPr>
              <w:t>相符。项目2023 年度生态环境分区管控动态更新成果位置关系图见附图</w:t>
            </w:r>
            <w:r>
              <w:rPr>
                <w:rFonts w:hint="eastAsia"/>
                <w:color w:val="auto"/>
                <w:szCs w:val="21"/>
                <w:lang w:val="en-US" w:eastAsia="zh-CN"/>
              </w:rPr>
              <w:t>13、14</w:t>
            </w:r>
            <w:r>
              <w:rPr>
                <w:color w:val="auto"/>
                <w:szCs w:val="21"/>
              </w:rPr>
              <w:t>。</w:t>
            </w:r>
          </w:p>
          <w:p w14:paraId="288B5BB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Cs w:val="21"/>
              </w:rPr>
            </w:pPr>
            <w:r>
              <w:rPr>
                <w:rFonts w:hint="eastAsia"/>
                <w:b/>
                <w:bCs/>
                <w:color w:val="auto"/>
                <w:szCs w:val="21"/>
                <w:lang w:val="en-US" w:eastAsia="zh-CN"/>
              </w:rPr>
              <w:t>6</w:t>
            </w:r>
            <w:r>
              <w:rPr>
                <w:b/>
                <w:bCs/>
                <w:color w:val="auto"/>
                <w:szCs w:val="21"/>
              </w:rPr>
              <w:t>、与相关环保政策相符性分析</w:t>
            </w:r>
          </w:p>
          <w:p w14:paraId="18085874">
            <w:pPr>
              <w:pageBreakBefore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b/>
                <w:color w:val="auto"/>
                <w:szCs w:val="21"/>
              </w:rPr>
            </w:pPr>
            <w:r>
              <w:rPr>
                <w:rFonts w:hint="eastAsia" w:ascii="Times New Roman" w:hAnsi="Times New Roman"/>
                <w:b/>
                <w:color w:val="auto"/>
                <w:szCs w:val="21"/>
                <w:lang w:val="en-US" w:eastAsia="zh-CN"/>
              </w:rPr>
              <w:t>（</w:t>
            </w:r>
            <w:r>
              <w:rPr>
                <w:rFonts w:hint="eastAsia"/>
                <w:b/>
                <w:color w:val="auto"/>
                <w:szCs w:val="21"/>
                <w:lang w:val="en-US" w:eastAsia="zh-CN"/>
              </w:rPr>
              <w:t>1</w:t>
            </w:r>
            <w:r>
              <w:rPr>
                <w:rFonts w:hint="eastAsia" w:ascii="Times New Roman" w:hAnsi="Times New Roman"/>
                <w:b/>
                <w:color w:val="auto"/>
                <w:szCs w:val="21"/>
                <w:lang w:val="en-US" w:eastAsia="zh-CN"/>
              </w:rPr>
              <w:t>）</w:t>
            </w:r>
            <w:r>
              <w:rPr>
                <w:rFonts w:hint="eastAsia" w:ascii="Times New Roman" w:hAnsi="Times New Roman"/>
                <w:b/>
                <w:color w:val="auto"/>
                <w:szCs w:val="21"/>
              </w:rPr>
              <w:t>与生态环境部《关于加强高耗能、高排放建设项目生态环境源头防控的指导意见》（环环评[202</w:t>
            </w:r>
            <w:r>
              <w:rPr>
                <w:rFonts w:hint="eastAsia" w:ascii="Times New Roman" w:hAnsi="Times New Roman"/>
                <w:b/>
                <w:color w:val="auto"/>
                <w:szCs w:val="21"/>
                <w:lang w:val="en-US" w:eastAsia="zh-CN"/>
              </w:rPr>
              <w:t>1</w:t>
            </w:r>
            <w:r>
              <w:rPr>
                <w:rFonts w:hint="eastAsia" w:ascii="Times New Roman" w:hAnsi="Times New Roman"/>
                <w:b/>
                <w:color w:val="auto"/>
                <w:szCs w:val="21"/>
              </w:rPr>
              <w:t>]45号）相符性分析</w:t>
            </w:r>
          </w:p>
          <w:p w14:paraId="6CACDEEE">
            <w:pPr>
              <w:pageBreakBefore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b w:val="0"/>
                <w:bCs/>
                <w:color w:val="auto"/>
                <w:szCs w:val="21"/>
              </w:rPr>
            </w:pPr>
            <w:r>
              <w:rPr>
                <w:rFonts w:hint="eastAsia" w:ascii="Times New Roman" w:hAnsi="Times New Roman"/>
                <w:b w:val="0"/>
                <w:bCs/>
                <w:color w:val="auto"/>
                <w:szCs w:val="21"/>
              </w:rPr>
              <w:t>根据指导意见内容，明确“两高”项目暂按煤电、石化、化工、钢铁、有色金属冶炼、建材等六个行业类别，后续对“两高”范围国家如有明确规定的，从其规定。</w:t>
            </w:r>
          </w:p>
          <w:p w14:paraId="0DE48335">
            <w:pPr>
              <w:pageBreakBefore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b w:val="0"/>
                <w:bCs/>
                <w:color w:val="auto"/>
                <w:szCs w:val="21"/>
              </w:rPr>
            </w:pPr>
            <w:r>
              <w:rPr>
                <w:rFonts w:hint="eastAsia" w:ascii="Times New Roman" w:hAnsi="Times New Roman"/>
                <w:b w:val="0"/>
                <w:bCs/>
                <w:color w:val="auto"/>
                <w:szCs w:val="21"/>
              </w:rPr>
              <w:t>本项目属于</w:t>
            </w:r>
            <w:r>
              <w:rPr>
                <w:rFonts w:hint="eastAsia"/>
                <w:color w:val="auto"/>
                <w:szCs w:val="21"/>
                <w:lang w:eastAsia="zh-CN"/>
              </w:rPr>
              <w:t>C3392有色金属铸造</w:t>
            </w:r>
            <w:r>
              <w:rPr>
                <w:rFonts w:hint="eastAsia" w:ascii="Times New Roman" w:hAnsi="Times New Roman"/>
                <w:b w:val="0"/>
                <w:bCs/>
                <w:color w:val="auto"/>
                <w:szCs w:val="21"/>
              </w:rPr>
              <w:t>，不属于煤电、石化、化工、钢铁、有色金属冶炼、建材等六个行业类别，不属于高耗能、高排放建设项目。</w:t>
            </w:r>
          </w:p>
          <w:p w14:paraId="58FD00D1">
            <w:pPr>
              <w:pageBreakBefore w:val="0"/>
              <w:numPr>
                <w:ilvl w:val="0"/>
                <w:numId w:val="0"/>
              </w:numPr>
              <w:kinsoku/>
              <w:wordWrap/>
              <w:overflowPunct/>
              <w:topLinePunct w:val="0"/>
              <w:autoSpaceDE w:val="0"/>
              <w:autoSpaceDN w:val="0"/>
              <w:bidi w:val="0"/>
              <w:adjustRightInd w:val="0"/>
              <w:snapToGrid w:val="0"/>
              <w:spacing w:line="360" w:lineRule="auto"/>
              <w:ind w:firstLine="422" w:firstLineChars="200"/>
              <w:textAlignment w:val="auto"/>
              <w:rPr>
                <w:rFonts w:hint="default" w:ascii="Times New Roman" w:hAnsi="Times New Roman" w:eastAsia="宋体"/>
                <w:b/>
                <w:color w:val="auto"/>
                <w:szCs w:val="21"/>
                <w:lang w:val="en-US" w:eastAsia="zh-CN"/>
              </w:rPr>
            </w:pPr>
            <w:r>
              <w:rPr>
                <w:rFonts w:hint="eastAsia"/>
                <w:b/>
                <w:color w:val="auto"/>
                <w:szCs w:val="21"/>
                <w:lang w:eastAsia="zh-CN"/>
              </w:rPr>
              <w:t>（</w:t>
            </w:r>
            <w:r>
              <w:rPr>
                <w:rFonts w:hint="eastAsia"/>
                <w:b/>
                <w:color w:val="auto"/>
                <w:szCs w:val="21"/>
                <w:lang w:val="en-US" w:eastAsia="zh-CN"/>
              </w:rPr>
              <w:t>2</w:t>
            </w:r>
            <w:r>
              <w:rPr>
                <w:rFonts w:hint="eastAsia"/>
                <w:b/>
                <w:color w:val="auto"/>
                <w:szCs w:val="21"/>
                <w:lang w:eastAsia="zh-CN"/>
              </w:rPr>
              <w:t>）</w:t>
            </w:r>
            <w:r>
              <w:rPr>
                <w:rFonts w:hint="eastAsia" w:ascii="Times New Roman" w:hAnsi="Times New Roman"/>
                <w:b/>
                <w:color w:val="auto"/>
                <w:szCs w:val="21"/>
              </w:rPr>
              <w:t xml:space="preserve">《市政府办公室印发&lt;关于进一步促进全市乡镇工业集聚区高质量发展的实施意见&gt;的通知》（通政办发【2022】70号）相符性分析 </w:t>
            </w:r>
            <w:r>
              <w:rPr>
                <w:rFonts w:hint="eastAsia"/>
                <w:b/>
                <w:color w:val="auto"/>
                <w:szCs w:val="21"/>
                <w:lang w:val="en-US" w:eastAsia="zh-CN"/>
              </w:rPr>
              <w:t xml:space="preserve">  </w:t>
            </w:r>
          </w:p>
          <w:p w14:paraId="0D5DC794">
            <w:pPr>
              <w:pageBreakBefore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eastAsia="宋体"/>
                <w:b/>
                <w:color w:val="auto"/>
                <w:szCs w:val="21"/>
                <w:lang w:eastAsia="zh-CN"/>
              </w:rPr>
            </w:pPr>
            <w:r>
              <w:rPr>
                <w:rFonts w:hint="eastAsia" w:ascii="Times New Roman" w:hAnsi="Times New Roman"/>
                <w:b w:val="0"/>
                <w:bCs/>
                <w:color w:val="auto"/>
                <w:sz w:val="21"/>
                <w:szCs w:val="21"/>
              </w:rPr>
              <w:t>根据《市政府办公室印发&lt;关于进一步促进全市乡镇工业集聚区高质量发展的实施意见&gt;的通知》（通政办发【2022】70号）中“各地新建项目一律进入开发区（园区）和集聚区，按照管理权限履行好审批手续。”</w:t>
            </w:r>
            <w:r>
              <w:rPr>
                <w:rFonts w:hint="eastAsia"/>
                <w:b w:val="0"/>
                <w:bCs/>
                <w:color w:val="auto"/>
                <w:sz w:val="21"/>
                <w:szCs w:val="21"/>
                <w:lang w:val="en-US" w:eastAsia="zh-CN"/>
              </w:rPr>
              <w:t>本项目</w:t>
            </w:r>
            <w:r>
              <w:rPr>
                <w:rFonts w:hint="eastAsia" w:ascii="Times New Roman" w:hAnsi="Times New Roman" w:cs="Times New Roman"/>
                <w:color w:val="auto"/>
                <w:sz w:val="21"/>
                <w:szCs w:val="21"/>
                <w:lang w:val="en-US" w:eastAsia="zh-CN"/>
              </w:rPr>
              <w:t>位于</w:t>
            </w:r>
            <w:r>
              <w:rPr>
                <w:rFonts w:hint="eastAsia"/>
                <w:color w:val="auto"/>
                <w:sz w:val="21"/>
                <w:szCs w:val="21"/>
                <w:lang w:eastAsia="zh-CN"/>
              </w:rPr>
              <w:t>如皋市城北街道陆姚社区25组188号</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租赁闲置厂房生产，</w:t>
            </w:r>
            <w:r>
              <w:rPr>
                <w:rFonts w:hint="eastAsia"/>
                <w:bCs/>
                <w:color w:val="auto"/>
                <w:sz w:val="21"/>
                <w:szCs w:val="21"/>
                <w:lang w:val="en-US" w:eastAsia="zh-CN"/>
              </w:rPr>
              <w:t>根据附图11</w:t>
            </w:r>
            <w:r>
              <w:rPr>
                <w:rFonts w:hint="eastAsia" w:hAnsi="宋体"/>
                <w:color w:val="auto"/>
                <w:szCs w:val="21"/>
                <w:lang w:val="en-US" w:eastAsia="zh-CN"/>
              </w:rPr>
              <w:t>如皋市市域国土空间规划分区图</w:t>
            </w: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项目地属于工业发展区，根据如皋市自然资源和规划局经济技术开发区分局提供的工业用地证明，项目地用途为工业用地。</w:t>
            </w:r>
            <w:r>
              <w:rPr>
                <w:rFonts w:hint="eastAsia" w:ascii="Times New Roman" w:hAnsi="Times New Roman"/>
                <w:b w:val="0"/>
                <w:bCs/>
                <w:color w:val="auto"/>
                <w:sz w:val="21"/>
                <w:szCs w:val="21"/>
              </w:rPr>
              <w:t>因此本项目符合《市政府办公室印发&lt;关于进一步促进全市乡镇工业集聚区高质量发展的实施意见&gt;的通知》</w:t>
            </w:r>
            <w:r>
              <w:rPr>
                <w:rFonts w:hint="eastAsia" w:ascii="Times New Roman" w:hAnsi="Times New Roman"/>
                <w:b w:val="0"/>
                <w:bCs/>
                <w:color w:val="auto"/>
                <w:szCs w:val="21"/>
              </w:rPr>
              <w:t>。</w:t>
            </w:r>
          </w:p>
          <w:p w14:paraId="655FC7D2">
            <w:pPr>
              <w:pageBreakBefore w:val="0"/>
              <w:kinsoku/>
              <w:wordWrap/>
              <w:overflowPunct/>
              <w:topLinePunct w:val="0"/>
              <w:bidi w:val="0"/>
              <w:spacing w:line="360" w:lineRule="auto"/>
              <w:ind w:firstLine="482"/>
              <w:textAlignment w:val="auto"/>
              <w:rPr>
                <w:rFonts w:ascii="Times New Roman" w:hAnsi="Times New Roman"/>
                <w:b/>
                <w:bCs/>
                <w:color w:val="auto"/>
                <w:szCs w:val="21"/>
              </w:rPr>
            </w:pPr>
            <w:r>
              <w:rPr>
                <w:rFonts w:ascii="Times New Roman" w:hAnsi="Times New Roman"/>
                <w:b/>
                <w:bCs/>
                <w:color w:val="auto"/>
                <w:szCs w:val="21"/>
              </w:rPr>
              <w:t>（</w:t>
            </w:r>
            <w:r>
              <w:rPr>
                <w:rFonts w:hint="eastAsia"/>
                <w:b/>
                <w:bCs/>
                <w:color w:val="auto"/>
                <w:szCs w:val="21"/>
                <w:lang w:val="en-US" w:eastAsia="zh-CN"/>
              </w:rPr>
              <w:t>3</w:t>
            </w:r>
            <w:r>
              <w:rPr>
                <w:rFonts w:ascii="Times New Roman" w:hAnsi="Times New Roman"/>
                <w:b/>
                <w:bCs/>
                <w:color w:val="auto"/>
                <w:szCs w:val="21"/>
              </w:rPr>
              <w:t>）与《江苏省通榆河水污染防治条例》相符性分析</w:t>
            </w:r>
          </w:p>
          <w:p w14:paraId="73C5401A">
            <w:pPr>
              <w:pageBreakBefore w:val="0"/>
              <w:kinsoku/>
              <w:wordWrap/>
              <w:overflowPunct/>
              <w:topLinePunct w:val="0"/>
              <w:autoSpaceDE w:val="0"/>
              <w:autoSpaceDN w:val="0"/>
              <w:bidi w:val="0"/>
              <w:adjustRightInd w:val="0"/>
              <w:snapToGrid w:val="0"/>
              <w:spacing w:line="360" w:lineRule="auto"/>
              <w:ind w:firstLine="482"/>
              <w:textAlignment w:val="auto"/>
              <w:rPr>
                <w:rFonts w:hint="eastAsia"/>
                <w:color w:val="auto"/>
                <w:sz w:val="21"/>
                <w:szCs w:val="21"/>
                <w:lang w:eastAsia="zh-CN"/>
              </w:rPr>
            </w:pPr>
            <w:r>
              <w:rPr>
                <w:rFonts w:hint="eastAsia"/>
                <w:color w:val="auto"/>
                <w:sz w:val="21"/>
                <w:szCs w:val="21"/>
                <w:lang w:val="en-US" w:eastAsia="zh-CN"/>
              </w:rPr>
              <w:t>根据《江苏省通榆河水污染防治条例》（2018 年修改）的规定：通榆河实行分级保护，划分为三级保护区。通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通榆河，南起南通长江北岸，北至连云港市赣榆县，包括焦港河，以及新沂河南偏泓、盐河、八一河、引水河、沭南航道、沭北航道、蔷薇河、青龙大沟、龙北干渠相关河段；主要供水河道，包括蔷薇河、三阳河、卤汀河、泰东河、新通扬运河、引江河、如泰运河、如海运河。如皋市为通榆河沿线地区，通榆河包括焦港河，主要供水河道如皋市境内有：如泰运河（介于焦港河和如海运河之间段）、如海运河</w:t>
            </w:r>
            <w:r>
              <w:rPr>
                <w:rFonts w:hint="eastAsia"/>
                <w:color w:val="auto"/>
                <w:sz w:val="21"/>
                <w:szCs w:val="21"/>
                <w:lang w:eastAsia="zh-CN"/>
              </w:rPr>
              <w:t>。</w:t>
            </w:r>
          </w:p>
          <w:p w14:paraId="31A876D1">
            <w:pPr>
              <w:pageBreakBefore w:val="0"/>
              <w:kinsoku/>
              <w:wordWrap/>
              <w:overflowPunct/>
              <w:topLinePunct w:val="0"/>
              <w:bidi w:val="0"/>
              <w:spacing w:line="360" w:lineRule="auto"/>
              <w:ind w:firstLine="482"/>
              <w:textAlignment w:val="auto"/>
              <w:rPr>
                <w:rFonts w:hint="eastAsia" w:ascii="Times New Roman" w:hAnsi="Times New Roman" w:eastAsia="宋体" w:cs="Times New Roman"/>
                <w:b w:val="0"/>
                <w:bCs w:val="0"/>
                <w:color w:val="auto"/>
                <w:szCs w:val="21"/>
                <w:lang w:eastAsia="zh-CN"/>
              </w:rPr>
            </w:pPr>
            <w:r>
              <w:rPr>
                <w:rFonts w:ascii="Times New Roman" w:hAnsi="Times New Roman"/>
                <w:b w:val="0"/>
                <w:bCs w:val="0"/>
                <w:color w:val="auto"/>
                <w:szCs w:val="21"/>
              </w:rPr>
              <w:t>本项目所在地距离最近焦港河全线、如海运河全线、如泰运河（介于焦港河和如海运河中间段）均在1k</w:t>
            </w:r>
            <w:r>
              <w:rPr>
                <w:rFonts w:ascii="Times New Roman" w:hAnsi="Times New Roman" w:eastAsia="宋体" w:cs="Times New Roman"/>
                <w:b w:val="0"/>
                <w:bCs w:val="0"/>
                <w:color w:val="auto"/>
                <w:szCs w:val="21"/>
              </w:rPr>
              <w:t>m范围外，不在通榆河以及保护区范围内，符合《江苏省通榆河水污染防治条例》相关要求。</w:t>
            </w:r>
          </w:p>
          <w:p w14:paraId="450012D7">
            <w:pPr>
              <w:pageBreakBefore w:val="0"/>
              <w:kinsoku/>
              <w:wordWrap/>
              <w:overflowPunct/>
              <w:topLinePunct w:val="0"/>
              <w:bidi w:val="0"/>
              <w:spacing w:line="360" w:lineRule="auto"/>
              <w:ind w:firstLine="482"/>
              <w:textAlignment w:val="auto"/>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4</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rPr>
              <w:t>与“三区三</w:t>
            </w:r>
            <w:r>
              <w:rPr>
                <w:rFonts w:hint="eastAsia" w:ascii="Times New Roman" w:hAnsi="Times New Roman" w:eastAsia="宋体" w:cs="Times New Roman"/>
                <w:b/>
                <w:bCs/>
                <w:color w:val="auto"/>
                <w:szCs w:val="21"/>
                <w:lang w:val="en-US" w:eastAsia="zh-CN"/>
              </w:rPr>
              <w:t>线”划定成果相符性分析</w:t>
            </w:r>
          </w:p>
          <w:p w14:paraId="1F3F7093">
            <w:pPr>
              <w:pageBreakBefore w:val="0"/>
              <w:kinsoku/>
              <w:wordWrap/>
              <w:overflowPunct/>
              <w:topLinePunct w:val="0"/>
              <w:bidi w:val="0"/>
              <w:spacing w:line="360" w:lineRule="auto"/>
              <w:ind w:firstLine="482"/>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“三区三线”：是指城镇空间、农业空间、生态空间三种类型的空间，分别对应划定的城镇开发边界、永久基本农田保护红线、生态保护红线三条控制线。本项目位于</w:t>
            </w:r>
            <w:r>
              <w:rPr>
                <w:rFonts w:hint="eastAsia" w:ascii="Times New Roman" w:hAnsi="Times New Roman" w:eastAsia="宋体" w:cs="Times New Roman"/>
                <w:b w:val="0"/>
                <w:bCs w:val="0"/>
                <w:color w:val="auto"/>
                <w:szCs w:val="21"/>
              </w:rPr>
              <w:t>江苏省南通市</w:t>
            </w:r>
            <w:r>
              <w:rPr>
                <w:rFonts w:hint="eastAsia" w:ascii="Times New Roman" w:hAnsi="Times New Roman" w:eastAsia="宋体" w:cs="Times New Roman"/>
                <w:b w:val="0"/>
                <w:bCs w:val="0"/>
                <w:color w:val="auto"/>
                <w:szCs w:val="21"/>
                <w:lang w:eastAsia="zh-CN"/>
              </w:rPr>
              <w:t>如皋市城北街道陆姚社区25组188号</w:t>
            </w:r>
            <w:r>
              <w:rPr>
                <w:rFonts w:hint="eastAsia" w:ascii="Times New Roman" w:hAnsi="Times New Roman" w:eastAsia="宋体" w:cs="Times New Roman"/>
                <w:b w:val="0"/>
                <w:bCs w:val="0"/>
                <w:color w:val="auto"/>
                <w:szCs w:val="21"/>
                <w:lang w:val="en-US" w:eastAsia="zh-CN"/>
              </w:rPr>
              <w:t>，为工业用地，对照附图1</w:t>
            </w:r>
            <w:r>
              <w:rPr>
                <w:rFonts w:hint="eastAsia" w:cs="Times New Roman"/>
                <w:b w:val="0"/>
                <w:bCs w:val="0"/>
                <w:color w:val="auto"/>
                <w:szCs w:val="21"/>
                <w:lang w:val="en-US" w:eastAsia="zh-CN"/>
              </w:rPr>
              <w:t>2</w:t>
            </w:r>
            <w:r>
              <w:rPr>
                <w:rFonts w:hint="eastAsia" w:ascii="Times New Roman" w:hAnsi="Times New Roman" w:eastAsia="宋体" w:cs="Times New Roman"/>
                <w:b w:val="0"/>
                <w:bCs w:val="0"/>
                <w:color w:val="auto"/>
                <w:szCs w:val="21"/>
                <w:lang w:eastAsia="zh-CN"/>
              </w:rPr>
              <w:t>城北街道</w:t>
            </w:r>
            <w:r>
              <w:rPr>
                <w:rFonts w:hint="eastAsia" w:ascii="Times New Roman" w:hAnsi="Times New Roman" w:eastAsia="宋体" w:cs="Times New Roman"/>
                <w:b w:val="0"/>
                <w:bCs w:val="0"/>
                <w:color w:val="auto"/>
                <w:szCs w:val="21"/>
                <w:lang w:val="en-US" w:eastAsia="zh-CN"/>
              </w:rPr>
              <w:t>中心城区开发边界示意图，项目位于城镇开发边界内，不涉及基本农田和生态红线，符合“</w:t>
            </w:r>
            <w:r>
              <w:rPr>
                <w:rFonts w:hint="eastAsia" w:ascii="Times New Roman" w:hAnsi="Times New Roman" w:eastAsia="宋体" w:cs="Times New Roman"/>
                <w:color w:val="auto"/>
                <w:kern w:val="2"/>
                <w:sz w:val="21"/>
                <w:szCs w:val="21"/>
                <w:lang w:val="en-US" w:eastAsia="zh-CN" w:bidi="ar-SA"/>
              </w:rPr>
              <w:t>三区三线”要求。</w:t>
            </w:r>
          </w:p>
          <w:p w14:paraId="47E7E0F6">
            <w:pPr>
              <w:pStyle w:val="78"/>
              <w:keepNext w:val="0"/>
              <w:keepLines w:val="0"/>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（5）与《中共中央国务院关于全面加强生态环境保护坚决打好污染防治攻坚战的意见》（2021年11月2日）的相符性分析</w:t>
            </w:r>
          </w:p>
          <w:p w14:paraId="14BF297D">
            <w:pPr>
              <w:pStyle w:val="7"/>
              <w:tabs>
                <w:tab w:val="left" w:pos="1280"/>
              </w:tabs>
              <w:adjustRightInd w:val="0"/>
              <w:snapToGrid w:val="0"/>
              <w:spacing w:beforeLines="0" w:afterLines="0" w:line="240" w:lineRule="auto"/>
              <w:ind w:left="0" w:firstLine="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表1-6与深入打好污染防治攻坚战相符性分析一览表</w:t>
            </w:r>
          </w:p>
          <w:tbl>
            <w:tblPr>
              <w:tblStyle w:val="25"/>
              <w:tblW w:w="73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4126"/>
              <w:gridCol w:w="1728"/>
              <w:gridCol w:w="867"/>
            </w:tblGrid>
            <w:tr w14:paraId="5B041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246" w:type="pct"/>
                  <w:gridSpan w:val="2"/>
                  <w:tcBorders>
                    <w:tl2br w:val="nil"/>
                    <w:tr2bl w:val="nil"/>
                  </w:tcBorders>
                  <w:vAlign w:val="center"/>
                </w:tcPr>
                <w:p w14:paraId="7B578F31">
                  <w:pPr>
                    <w:adjustRightInd w:val="0"/>
                    <w:snapToGrid w:val="0"/>
                    <w:jc w:val="center"/>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意见要求</w:t>
                  </w:r>
                </w:p>
              </w:tc>
              <w:tc>
                <w:tcPr>
                  <w:tcW w:w="1167" w:type="pct"/>
                  <w:tcBorders>
                    <w:tl2br w:val="nil"/>
                    <w:tr2bl w:val="nil"/>
                  </w:tcBorders>
                  <w:vAlign w:val="center"/>
                </w:tcPr>
                <w:p w14:paraId="1A14705F">
                  <w:pPr>
                    <w:adjustRightInd w:val="0"/>
                    <w:snapToGrid w:val="0"/>
                    <w:jc w:val="center"/>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本项目情况</w:t>
                  </w:r>
                </w:p>
              </w:tc>
              <w:tc>
                <w:tcPr>
                  <w:tcW w:w="585" w:type="pct"/>
                  <w:tcBorders>
                    <w:tl2br w:val="nil"/>
                    <w:tr2bl w:val="nil"/>
                  </w:tcBorders>
                  <w:vAlign w:val="center"/>
                </w:tcPr>
                <w:p w14:paraId="5D5350B4">
                  <w:pPr>
                    <w:adjustRightInd w:val="0"/>
                    <w:snapToGrid w:val="0"/>
                    <w:jc w:val="center"/>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相符性结论</w:t>
                  </w:r>
                </w:p>
              </w:tc>
            </w:tr>
            <w:tr w14:paraId="6F670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457" w:type="pct"/>
                  <w:vMerge w:val="restart"/>
                  <w:tcBorders>
                    <w:tl2br w:val="nil"/>
                    <w:tr2bl w:val="nil"/>
                  </w:tcBorders>
                  <w:vAlign w:val="center"/>
                </w:tcPr>
                <w:p w14:paraId="164BE398">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二、加快推动绿色低碳发展</w:t>
                  </w:r>
                </w:p>
              </w:tc>
              <w:tc>
                <w:tcPr>
                  <w:tcW w:w="2788" w:type="pct"/>
                  <w:tcBorders>
                    <w:tl2br w:val="nil"/>
                    <w:tr2bl w:val="nil"/>
                  </w:tcBorders>
                  <w:vAlign w:val="center"/>
                </w:tcPr>
                <w:p w14:paraId="7A9384FD">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四）深入推进碳达峰行动。处理好减污降碳和能源安全、产业链供应链安全、粮食安全、群众正常生活的关系，落实2030年应对气候变化国家自主贡献目标，以能源、工业、城乡建设、交通运输等领域和钢铁、有色金属、建材、石化化工等行业为重点，深入开展碳达峰行动。……。</w:t>
                  </w:r>
                </w:p>
              </w:tc>
              <w:tc>
                <w:tcPr>
                  <w:tcW w:w="1167" w:type="pct"/>
                  <w:tcBorders>
                    <w:tl2br w:val="nil"/>
                    <w:tr2bl w:val="nil"/>
                  </w:tcBorders>
                  <w:vAlign w:val="center"/>
                </w:tcPr>
                <w:p w14:paraId="6A81D34C">
                  <w:pPr>
                    <w:adjustRightInd w:val="0"/>
                    <w:snapToGrid w:val="0"/>
                    <w:jc w:val="center"/>
                    <w:rPr>
                      <w:rFonts w:hint="eastAsia" w:ascii="Times New Roman" w:hAnsi="Times New Roman" w:eastAsia="宋体" w:cs="Times New Roman"/>
                      <w:b w:val="0"/>
                      <w:bCs/>
                      <w:color w:val="auto"/>
                      <w:szCs w:val="21"/>
                      <w:lang w:eastAsia="zh-CN"/>
                    </w:rPr>
                  </w:pPr>
                  <w:r>
                    <w:rPr>
                      <w:rFonts w:hint="eastAsia" w:ascii="Times New Roman" w:hAnsi="Times New Roman" w:eastAsia="宋体" w:cs="Times New Roman"/>
                      <w:b w:val="0"/>
                      <w:bCs/>
                      <w:color w:val="auto"/>
                      <w:szCs w:val="21"/>
                    </w:rPr>
                    <w:t>本项目为</w:t>
                  </w:r>
                  <w:r>
                    <w:rPr>
                      <w:rFonts w:hint="eastAsia" w:ascii="Times New Roman" w:hAnsi="Times New Roman"/>
                      <w:color w:val="auto"/>
                      <w:szCs w:val="21"/>
                      <w:lang w:val="en-US" w:eastAsia="zh-CN"/>
                    </w:rPr>
                    <w:t>铝合金精密制造</w:t>
                  </w:r>
                  <w:r>
                    <w:rPr>
                      <w:rFonts w:hint="eastAsia" w:ascii="Times New Roman" w:hAnsi="Times New Roman"/>
                      <w:color w:val="auto"/>
                      <w:szCs w:val="21"/>
                      <w:lang w:eastAsia="zh-CN"/>
                    </w:rPr>
                    <w:t>项目</w:t>
                  </w:r>
                  <w:r>
                    <w:rPr>
                      <w:rFonts w:hint="eastAsia" w:ascii="Times New Roman" w:hAnsi="Times New Roman" w:eastAsia="宋体" w:cs="Times New Roman"/>
                      <w:b w:val="0"/>
                      <w:bCs/>
                      <w:color w:val="auto"/>
                      <w:szCs w:val="21"/>
                    </w:rPr>
                    <w:t>，属于有色金属</w:t>
                  </w:r>
                  <w:r>
                    <w:rPr>
                      <w:rFonts w:hint="eastAsia" w:ascii="Times New Roman" w:hAnsi="Times New Roman" w:eastAsia="宋体" w:cs="Times New Roman"/>
                      <w:b w:val="0"/>
                      <w:bCs/>
                      <w:color w:val="auto"/>
                      <w:szCs w:val="21"/>
                      <w:lang w:val="en-US" w:eastAsia="zh-CN"/>
                    </w:rPr>
                    <w:t>铸造</w:t>
                  </w:r>
                  <w:r>
                    <w:rPr>
                      <w:rFonts w:hint="eastAsia" w:ascii="Times New Roman" w:hAnsi="Times New Roman" w:eastAsia="宋体" w:cs="Times New Roman"/>
                      <w:b w:val="0"/>
                      <w:bCs/>
                      <w:color w:val="auto"/>
                      <w:szCs w:val="21"/>
                    </w:rPr>
                    <w:t>行业</w:t>
                  </w:r>
                  <w:r>
                    <w:rPr>
                      <w:rFonts w:hint="eastAsia" w:ascii="Times New Roman" w:hAnsi="Times New Roman" w:eastAsia="宋体" w:cs="Times New Roman"/>
                      <w:b w:val="0"/>
                      <w:bCs/>
                      <w:color w:val="auto"/>
                      <w:szCs w:val="21"/>
                      <w:lang w:eastAsia="zh-CN"/>
                    </w:rPr>
                    <w:t>，</w:t>
                  </w:r>
                  <w:r>
                    <w:rPr>
                      <w:rFonts w:hint="eastAsia" w:ascii="Times New Roman" w:hAnsi="Times New Roman" w:eastAsia="宋体" w:cs="Times New Roman"/>
                      <w:b w:val="0"/>
                      <w:bCs/>
                      <w:color w:val="auto"/>
                      <w:szCs w:val="21"/>
                      <w:lang w:val="en-US" w:eastAsia="zh-CN"/>
                    </w:rPr>
                    <w:t>企业</w:t>
                  </w:r>
                  <w:r>
                    <w:rPr>
                      <w:rFonts w:hint="eastAsia"/>
                      <w:color w:val="auto"/>
                      <w:szCs w:val="21"/>
                      <w:lang w:val="en-US" w:eastAsia="zh-CN"/>
                    </w:rPr>
                    <w:t>加大</w:t>
                  </w:r>
                  <w:r>
                    <w:rPr>
                      <w:rFonts w:hint="eastAsia"/>
                      <w:color w:val="auto"/>
                      <w:szCs w:val="21"/>
                    </w:rPr>
                    <w:t>污染治理力度，</w:t>
                  </w:r>
                  <w:r>
                    <w:rPr>
                      <w:rFonts w:hint="eastAsia" w:hAnsi="宋体"/>
                      <w:color w:val="auto"/>
                    </w:rPr>
                    <w:t>生产过程中三废均得到有效处置</w:t>
                  </w:r>
                  <w:r>
                    <w:rPr>
                      <w:rFonts w:hint="eastAsia" w:cs="Times New Roman"/>
                      <w:b w:val="0"/>
                      <w:bCs/>
                      <w:color w:val="auto"/>
                      <w:szCs w:val="21"/>
                      <w:lang w:eastAsia="zh-CN"/>
                    </w:rPr>
                    <w:t>。</w:t>
                  </w:r>
                </w:p>
              </w:tc>
              <w:tc>
                <w:tcPr>
                  <w:tcW w:w="585" w:type="pct"/>
                  <w:tcBorders>
                    <w:tl2br w:val="nil"/>
                    <w:tr2bl w:val="nil"/>
                  </w:tcBorders>
                  <w:vAlign w:val="center"/>
                </w:tcPr>
                <w:p w14:paraId="3CA593D0">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符合</w:t>
                  </w:r>
                </w:p>
              </w:tc>
            </w:tr>
            <w:tr w14:paraId="18530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457" w:type="pct"/>
                  <w:vMerge w:val="continue"/>
                  <w:tcBorders>
                    <w:tl2br w:val="nil"/>
                    <w:tr2bl w:val="nil"/>
                  </w:tcBorders>
                  <w:vAlign w:val="center"/>
                </w:tcPr>
                <w:p w14:paraId="7BFEF4A0">
                  <w:pPr>
                    <w:adjustRightInd w:val="0"/>
                    <w:snapToGrid w:val="0"/>
                    <w:jc w:val="center"/>
                    <w:rPr>
                      <w:rFonts w:hint="eastAsia" w:ascii="Times New Roman" w:hAnsi="Times New Roman" w:eastAsia="宋体" w:cs="Times New Roman"/>
                      <w:b w:val="0"/>
                      <w:bCs/>
                      <w:color w:val="auto"/>
                      <w:szCs w:val="21"/>
                    </w:rPr>
                  </w:pPr>
                </w:p>
              </w:tc>
              <w:tc>
                <w:tcPr>
                  <w:tcW w:w="2788" w:type="pct"/>
                  <w:tcBorders>
                    <w:tl2br w:val="nil"/>
                    <w:tr2bl w:val="nil"/>
                  </w:tcBorders>
                  <w:vAlign w:val="center"/>
                </w:tcPr>
                <w:p w14:paraId="75C1C08E">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七）坚决遏制高耗能高排放项目盲目发展。严把高耗能高排放项目准入关口，严格落实污染物排放区域削减要求，对不符合规定的项目坚决停批停建。……。重点区域严禁新增钢铁、焦化、水泥熟料、平板玻璃、电解铝、氧化铝、煤化工产能，合理控制煤制油气产能规模，严控新增炼油产能。</w:t>
                  </w:r>
                </w:p>
              </w:tc>
              <w:tc>
                <w:tcPr>
                  <w:tcW w:w="1167" w:type="pct"/>
                  <w:tcBorders>
                    <w:tl2br w:val="nil"/>
                    <w:tr2bl w:val="nil"/>
                  </w:tcBorders>
                  <w:vAlign w:val="center"/>
                </w:tcPr>
                <w:p w14:paraId="79026BFA">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本项目不属于严禁新增的钢铁、焦化、水泥熟料、平板玻璃、电解铝、氧化铝、煤化工产能。</w:t>
                  </w:r>
                </w:p>
              </w:tc>
              <w:tc>
                <w:tcPr>
                  <w:tcW w:w="585" w:type="pct"/>
                  <w:tcBorders>
                    <w:tl2br w:val="nil"/>
                    <w:tr2bl w:val="nil"/>
                  </w:tcBorders>
                  <w:vAlign w:val="center"/>
                </w:tcPr>
                <w:p w14:paraId="02AF8DE9">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符合</w:t>
                  </w:r>
                </w:p>
              </w:tc>
            </w:tr>
            <w:tr w14:paraId="41088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457" w:type="pct"/>
                  <w:vMerge w:val="restart"/>
                  <w:tcBorders>
                    <w:tl2br w:val="nil"/>
                    <w:tr2bl w:val="nil"/>
                  </w:tcBorders>
                  <w:vAlign w:val="center"/>
                </w:tcPr>
                <w:p w14:paraId="60849129">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三、深入打好蓝天保卫战</w:t>
                  </w:r>
                </w:p>
              </w:tc>
              <w:tc>
                <w:tcPr>
                  <w:tcW w:w="2788" w:type="pct"/>
                  <w:tcBorders>
                    <w:tl2br w:val="nil"/>
                    <w:tr2bl w:val="nil"/>
                  </w:tcBorders>
                  <w:vAlign w:val="center"/>
                </w:tcPr>
                <w:p w14:paraId="42B7F10D">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（十一）着力打好重污染天气消除攻坚战。聚焦秋冬季细颗粒物污染，加大重点区域、重点行业结构调整和污染治理力度。……钢铁、有色金属、化工等行业参照重点区域执行重污染天气应急减排措施。……。</w:t>
                  </w:r>
                </w:p>
              </w:tc>
              <w:tc>
                <w:tcPr>
                  <w:tcW w:w="1167" w:type="pct"/>
                  <w:tcBorders>
                    <w:tl2br w:val="nil"/>
                    <w:tr2bl w:val="nil"/>
                  </w:tcBorders>
                  <w:vAlign w:val="center"/>
                </w:tcPr>
                <w:p w14:paraId="5EFFC51B">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本项目属于有色金属</w:t>
                  </w:r>
                  <w:r>
                    <w:rPr>
                      <w:rFonts w:hint="eastAsia" w:cs="Times New Roman"/>
                      <w:b w:val="0"/>
                      <w:bCs/>
                      <w:color w:val="auto"/>
                      <w:szCs w:val="21"/>
                      <w:lang w:val="en-US" w:eastAsia="zh-CN"/>
                    </w:rPr>
                    <w:t>铸造</w:t>
                  </w:r>
                  <w:r>
                    <w:rPr>
                      <w:rFonts w:hint="eastAsia" w:ascii="Times New Roman" w:hAnsi="Times New Roman" w:eastAsia="宋体" w:cs="Times New Roman"/>
                      <w:b w:val="0"/>
                      <w:bCs/>
                      <w:color w:val="auto"/>
                      <w:szCs w:val="21"/>
                    </w:rPr>
                    <w:t>行业</w:t>
                  </w:r>
                  <w:r>
                    <w:rPr>
                      <w:rFonts w:hint="eastAsia" w:cs="Times New Roman"/>
                      <w:b w:val="0"/>
                      <w:bCs/>
                      <w:color w:val="auto"/>
                      <w:szCs w:val="21"/>
                      <w:lang w:eastAsia="zh-CN"/>
                    </w:rPr>
                    <w:t>，</w:t>
                  </w:r>
                  <w:r>
                    <w:rPr>
                      <w:rFonts w:hint="eastAsia" w:ascii="Times New Roman" w:hAnsi="Times New Roman" w:eastAsia="宋体" w:cs="Times New Roman"/>
                      <w:b w:val="0"/>
                      <w:bCs/>
                      <w:color w:val="auto"/>
                      <w:szCs w:val="21"/>
                    </w:rPr>
                    <w:t>参照重点区域执行重污染天气应急减排措施。</w:t>
                  </w:r>
                </w:p>
              </w:tc>
              <w:tc>
                <w:tcPr>
                  <w:tcW w:w="585" w:type="pct"/>
                  <w:tcBorders>
                    <w:tl2br w:val="nil"/>
                    <w:tr2bl w:val="nil"/>
                  </w:tcBorders>
                  <w:vAlign w:val="center"/>
                </w:tcPr>
                <w:p w14:paraId="40154E67">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符合</w:t>
                  </w:r>
                </w:p>
              </w:tc>
            </w:tr>
            <w:tr w14:paraId="53419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457" w:type="pct"/>
                  <w:vMerge w:val="continue"/>
                  <w:tcBorders>
                    <w:tl2br w:val="nil"/>
                    <w:tr2bl w:val="nil"/>
                  </w:tcBorders>
                  <w:vAlign w:val="center"/>
                </w:tcPr>
                <w:p w14:paraId="3ADEC5D8">
                  <w:pPr>
                    <w:adjustRightInd w:val="0"/>
                    <w:snapToGrid w:val="0"/>
                    <w:jc w:val="center"/>
                    <w:rPr>
                      <w:rFonts w:hint="eastAsia" w:ascii="Times New Roman" w:hAnsi="Times New Roman" w:eastAsia="宋体" w:cs="Times New Roman"/>
                      <w:b w:val="0"/>
                      <w:bCs/>
                      <w:color w:val="auto"/>
                      <w:szCs w:val="21"/>
                    </w:rPr>
                  </w:pPr>
                </w:p>
              </w:tc>
              <w:tc>
                <w:tcPr>
                  <w:tcW w:w="2788" w:type="pct"/>
                  <w:tcBorders>
                    <w:tl2br w:val="nil"/>
                    <w:tr2bl w:val="nil"/>
                  </w:tcBorders>
                  <w:vAlign w:val="center"/>
                </w:tcPr>
                <w:p w14:paraId="4CCC9262">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 xml:space="preserve"> （十二）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w:t>
                  </w:r>
                </w:p>
              </w:tc>
              <w:tc>
                <w:tcPr>
                  <w:tcW w:w="1167" w:type="pct"/>
                  <w:tcBorders>
                    <w:tl2br w:val="nil"/>
                    <w:tr2bl w:val="nil"/>
                  </w:tcBorders>
                  <w:vAlign w:val="center"/>
                </w:tcPr>
                <w:p w14:paraId="00C2EE1C">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本项目不属于石化、化工、涂装、医药、包装印刷、油品储运销行业。</w:t>
                  </w:r>
                </w:p>
              </w:tc>
              <w:tc>
                <w:tcPr>
                  <w:tcW w:w="585" w:type="pct"/>
                  <w:tcBorders>
                    <w:tl2br w:val="nil"/>
                    <w:tr2bl w:val="nil"/>
                  </w:tcBorders>
                  <w:vAlign w:val="center"/>
                </w:tcPr>
                <w:p w14:paraId="61CAE29C">
                  <w:pPr>
                    <w:adjustRightInd w:val="0"/>
                    <w:snapToGrid w:val="0"/>
                    <w:jc w:val="center"/>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符合</w:t>
                  </w:r>
                </w:p>
              </w:tc>
            </w:tr>
          </w:tbl>
          <w:p w14:paraId="409B0014">
            <w:pPr>
              <w:adjustRightInd w:val="0"/>
              <w:snapToGrid w:val="0"/>
              <w:spacing w:line="360" w:lineRule="auto"/>
              <w:ind w:firstLine="422" w:firstLineChars="200"/>
              <w:jc w:val="left"/>
              <w:rPr>
                <w:b/>
                <w:bCs/>
                <w:color w:val="auto"/>
                <w:szCs w:val="21"/>
              </w:rPr>
            </w:pPr>
            <w:r>
              <w:rPr>
                <w:rFonts w:hint="eastAsia"/>
                <w:b/>
                <w:bCs/>
                <w:color w:val="auto"/>
                <w:szCs w:val="21"/>
              </w:rPr>
              <w:t>（</w:t>
            </w:r>
            <w:r>
              <w:rPr>
                <w:rFonts w:hint="eastAsia"/>
                <w:b/>
                <w:bCs/>
                <w:color w:val="auto"/>
                <w:szCs w:val="21"/>
                <w:lang w:val="en-US" w:eastAsia="zh-CN"/>
              </w:rPr>
              <w:t>6</w:t>
            </w:r>
            <w:r>
              <w:rPr>
                <w:rFonts w:hint="eastAsia"/>
                <w:b/>
                <w:bCs/>
                <w:color w:val="auto"/>
                <w:szCs w:val="21"/>
              </w:rPr>
              <w:t>）与《江苏省委省政府关于深入打好污染防治攻坚战的实施意见》相符性分析</w:t>
            </w:r>
          </w:p>
          <w:p w14:paraId="0F43EF5F">
            <w:pPr>
              <w:adjustRightInd w:val="0"/>
              <w:snapToGrid w:val="0"/>
              <w:spacing w:line="360" w:lineRule="auto"/>
              <w:ind w:firstLine="420" w:firstLineChars="200"/>
              <w:jc w:val="left"/>
              <w:rPr>
                <w:color w:val="auto"/>
                <w:sz w:val="24"/>
              </w:rPr>
            </w:pPr>
            <w:r>
              <w:rPr>
                <w:rFonts w:hint="eastAsia"/>
                <w:color w:val="auto"/>
                <w:szCs w:val="21"/>
              </w:rPr>
              <w:t>对照《江苏省委省政府关于深入打好污染防治攻坚战的实施意见》（</w:t>
            </w:r>
            <w:r>
              <w:rPr>
                <w:color w:val="auto"/>
                <w:szCs w:val="21"/>
              </w:rPr>
              <w:t>2022</w:t>
            </w:r>
            <w:r>
              <w:rPr>
                <w:rFonts w:hint="eastAsia"/>
                <w:color w:val="auto"/>
                <w:szCs w:val="21"/>
              </w:rPr>
              <w:t>年</w:t>
            </w:r>
            <w:r>
              <w:rPr>
                <w:color w:val="auto"/>
                <w:szCs w:val="21"/>
              </w:rPr>
              <w:t>4</w:t>
            </w:r>
            <w:r>
              <w:rPr>
                <w:rFonts w:hint="eastAsia"/>
                <w:color w:val="auto"/>
                <w:szCs w:val="21"/>
              </w:rPr>
              <w:t>月</w:t>
            </w:r>
            <w:r>
              <w:rPr>
                <w:color w:val="auto"/>
                <w:szCs w:val="21"/>
              </w:rPr>
              <w:t>17</w:t>
            </w:r>
            <w:r>
              <w:rPr>
                <w:rFonts w:hint="eastAsia"/>
                <w:color w:val="auto"/>
                <w:szCs w:val="21"/>
              </w:rPr>
              <w:t>日）文件内容，具体分析情况见表1-</w:t>
            </w:r>
            <w:r>
              <w:rPr>
                <w:rFonts w:hint="eastAsia"/>
                <w:color w:val="auto"/>
                <w:szCs w:val="21"/>
                <w:lang w:val="en-US" w:eastAsia="zh-CN"/>
              </w:rPr>
              <w:t>7</w:t>
            </w:r>
            <w:r>
              <w:rPr>
                <w:rFonts w:hint="eastAsia"/>
                <w:color w:val="auto"/>
                <w:sz w:val="24"/>
              </w:rPr>
              <w:t xml:space="preserve">。 </w:t>
            </w:r>
          </w:p>
          <w:p w14:paraId="1BFEA497">
            <w:pPr>
              <w:pStyle w:val="37"/>
              <w:ind w:firstLine="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eastAsia" w:ascii="Times New Roman" w:hAnsi="Times New Roman" w:eastAsia="宋体" w:cs="Times New Roman"/>
                <w:b/>
                <w:bCs/>
                <w:color w:val="auto"/>
                <w:sz w:val="21"/>
                <w:szCs w:val="21"/>
              </w:rPr>
              <w:t>本项目与江苏省深入打好污染防治攻坚战的实施意见相符性分析</w:t>
            </w:r>
          </w:p>
          <w:tbl>
            <w:tblPr>
              <w:tblStyle w:val="25"/>
              <w:tblW w:w="7359"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5"/>
              <w:gridCol w:w="3125"/>
              <w:gridCol w:w="2502"/>
              <w:gridCol w:w="827"/>
            </w:tblGrid>
            <w:tr w14:paraId="20809B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738" w:type="pct"/>
                  <w:gridSpan w:val="2"/>
                  <w:tcBorders>
                    <w:tl2br w:val="nil"/>
                    <w:tr2bl w:val="nil"/>
                  </w:tcBorders>
                  <w:vAlign w:val="center"/>
                </w:tcPr>
                <w:p w14:paraId="08CF06DC">
                  <w:pPr>
                    <w:adjustRightInd w:val="0"/>
                    <w:snapToGrid w:val="0"/>
                    <w:jc w:val="center"/>
                    <w:rPr>
                      <w:b/>
                      <w:color w:val="auto"/>
                      <w:szCs w:val="21"/>
                    </w:rPr>
                  </w:pPr>
                  <w:r>
                    <w:rPr>
                      <w:rFonts w:hint="eastAsia"/>
                      <w:b/>
                      <w:color w:val="auto"/>
                      <w:szCs w:val="21"/>
                    </w:rPr>
                    <w:t>意见要求</w:t>
                  </w:r>
                </w:p>
              </w:tc>
              <w:tc>
                <w:tcPr>
                  <w:tcW w:w="1699" w:type="pct"/>
                  <w:tcBorders>
                    <w:tl2br w:val="nil"/>
                    <w:tr2bl w:val="nil"/>
                  </w:tcBorders>
                  <w:vAlign w:val="center"/>
                </w:tcPr>
                <w:p w14:paraId="3CF76046">
                  <w:pPr>
                    <w:adjustRightInd w:val="0"/>
                    <w:snapToGrid w:val="0"/>
                    <w:jc w:val="center"/>
                    <w:rPr>
                      <w:b/>
                      <w:color w:val="auto"/>
                      <w:szCs w:val="21"/>
                    </w:rPr>
                  </w:pPr>
                  <w:r>
                    <w:rPr>
                      <w:b/>
                      <w:color w:val="auto"/>
                      <w:szCs w:val="21"/>
                    </w:rPr>
                    <w:t>本项目情况</w:t>
                  </w:r>
                </w:p>
              </w:tc>
              <w:tc>
                <w:tcPr>
                  <w:tcW w:w="561" w:type="pct"/>
                  <w:tcBorders>
                    <w:tl2br w:val="nil"/>
                    <w:tr2bl w:val="nil"/>
                  </w:tcBorders>
                  <w:vAlign w:val="center"/>
                </w:tcPr>
                <w:p w14:paraId="09E0B89D">
                  <w:pPr>
                    <w:adjustRightInd w:val="0"/>
                    <w:snapToGrid w:val="0"/>
                    <w:jc w:val="center"/>
                    <w:rPr>
                      <w:rFonts w:asciiTheme="minorEastAsia" w:hAnsiTheme="minorEastAsia" w:eastAsiaTheme="minorEastAsia"/>
                      <w:b/>
                      <w:bCs/>
                      <w:color w:val="auto"/>
                      <w:szCs w:val="21"/>
                    </w:rPr>
                  </w:pPr>
                  <w:r>
                    <w:rPr>
                      <w:b/>
                      <w:color w:val="auto"/>
                      <w:szCs w:val="21"/>
                    </w:rPr>
                    <w:t>相符性</w:t>
                  </w:r>
                </w:p>
              </w:tc>
            </w:tr>
            <w:tr w14:paraId="4E089A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5" w:hRule="atLeast"/>
              </w:trPr>
              <w:tc>
                <w:tcPr>
                  <w:tcW w:w="614" w:type="pct"/>
                  <w:vMerge w:val="restart"/>
                  <w:tcBorders>
                    <w:tl2br w:val="nil"/>
                    <w:tr2bl w:val="nil"/>
                  </w:tcBorders>
                  <w:vAlign w:val="center"/>
                </w:tcPr>
                <w:p w14:paraId="6408230C">
                  <w:pPr>
                    <w:adjustRightInd w:val="0"/>
                    <w:snapToGrid w:val="0"/>
                    <w:jc w:val="center"/>
                    <w:rPr>
                      <w:color w:val="auto"/>
                      <w:szCs w:val="21"/>
                    </w:rPr>
                  </w:pPr>
                  <w:r>
                    <w:rPr>
                      <w:rFonts w:hint="eastAsia"/>
                      <w:color w:val="auto"/>
                      <w:szCs w:val="21"/>
                    </w:rPr>
                    <w:t>二、强化减污降碳协同增效，加快推动绿色高质量发展</w:t>
                  </w:r>
                </w:p>
                <w:p w14:paraId="4E392C9D">
                  <w:pPr>
                    <w:adjustRightInd w:val="0"/>
                    <w:snapToGrid w:val="0"/>
                    <w:jc w:val="center"/>
                    <w:rPr>
                      <w:color w:val="auto"/>
                      <w:szCs w:val="21"/>
                    </w:rPr>
                  </w:pPr>
                </w:p>
              </w:tc>
              <w:tc>
                <w:tcPr>
                  <w:tcW w:w="2123" w:type="pct"/>
                  <w:tcBorders>
                    <w:tl2br w:val="nil"/>
                    <w:tr2bl w:val="nil"/>
                  </w:tcBorders>
                  <w:vAlign w:val="center"/>
                </w:tcPr>
                <w:p w14:paraId="0E6966DE">
                  <w:pPr>
                    <w:adjustRightInd w:val="0"/>
                    <w:snapToGrid w:val="0"/>
                    <w:jc w:val="center"/>
                    <w:rPr>
                      <w:color w:val="auto"/>
                      <w:szCs w:val="21"/>
                    </w:rPr>
                  </w:pPr>
                  <w:r>
                    <w:rPr>
                      <w:rFonts w:hint="eastAsia"/>
                      <w:color w:val="auto"/>
                      <w:szCs w:val="21"/>
                    </w:rPr>
                    <w:t>（三）深入推进碳达峰行动。推动能源、工业、城乡建设、交通运输、公共机构等重点领域碳达峰，支持有条件的地区、行业和企业率先达峰。……。</w:t>
                  </w:r>
                </w:p>
              </w:tc>
              <w:tc>
                <w:tcPr>
                  <w:tcW w:w="1699" w:type="pct"/>
                  <w:tcBorders>
                    <w:tl2br w:val="nil"/>
                    <w:tr2bl w:val="nil"/>
                  </w:tcBorders>
                  <w:vAlign w:val="center"/>
                </w:tcPr>
                <w:p w14:paraId="506ECC25">
                  <w:pPr>
                    <w:adjustRightInd w:val="0"/>
                    <w:snapToGrid w:val="0"/>
                    <w:jc w:val="center"/>
                    <w:rPr>
                      <w:color w:val="auto"/>
                      <w:szCs w:val="21"/>
                    </w:rPr>
                  </w:pPr>
                  <w:r>
                    <w:rPr>
                      <w:rFonts w:hint="eastAsia"/>
                      <w:color w:val="auto"/>
                      <w:szCs w:val="21"/>
                    </w:rPr>
                    <w:t>本项目属于</w:t>
                  </w:r>
                  <w:r>
                    <w:rPr>
                      <w:rFonts w:hint="eastAsia" w:ascii="Times New Roman" w:hAnsi="Times New Roman"/>
                      <w:color w:val="auto"/>
                      <w:szCs w:val="21"/>
                      <w:lang w:val="en-US" w:eastAsia="zh-CN"/>
                    </w:rPr>
                    <w:t>铝合金精密制造</w:t>
                  </w:r>
                  <w:r>
                    <w:rPr>
                      <w:rFonts w:hint="eastAsia" w:ascii="Times New Roman" w:hAnsi="Times New Roman"/>
                      <w:color w:val="auto"/>
                      <w:szCs w:val="21"/>
                      <w:lang w:eastAsia="zh-CN"/>
                    </w:rPr>
                    <w:t>项目</w:t>
                  </w:r>
                  <w:r>
                    <w:rPr>
                      <w:rFonts w:hint="eastAsia"/>
                      <w:color w:val="auto"/>
                      <w:szCs w:val="21"/>
                    </w:rPr>
                    <w:t>，不属于能源、城乡建设、交通运输、公共机构等重点领域，不属于工业中及电力、钢铁、石化、化工、水泥、平板玻璃、纺织印染等重点行业。</w:t>
                  </w:r>
                </w:p>
              </w:tc>
              <w:tc>
                <w:tcPr>
                  <w:tcW w:w="561" w:type="pct"/>
                  <w:tcBorders>
                    <w:tl2br w:val="nil"/>
                    <w:tr2bl w:val="nil"/>
                  </w:tcBorders>
                  <w:vAlign w:val="center"/>
                </w:tcPr>
                <w:p w14:paraId="45470014">
                  <w:pPr>
                    <w:adjustRightInd w:val="0"/>
                    <w:snapToGrid w:val="0"/>
                    <w:jc w:val="center"/>
                    <w:rPr>
                      <w:color w:val="auto"/>
                      <w:szCs w:val="21"/>
                    </w:rPr>
                  </w:pPr>
                  <w:r>
                    <w:rPr>
                      <w:color w:val="auto"/>
                      <w:szCs w:val="21"/>
                    </w:rPr>
                    <w:t>符合</w:t>
                  </w:r>
                </w:p>
              </w:tc>
            </w:tr>
            <w:tr w14:paraId="4F034E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3" w:hRule="atLeast"/>
              </w:trPr>
              <w:tc>
                <w:tcPr>
                  <w:tcW w:w="614" w:type="pct"/>
                  <w:vMerge w:val="continue"/>
                  <w:tcBorders>
                    <w:tl2br w:val="nil"/>
                    <w:tr2bl w:val="nil"/>
                  </w:tcBorders>
                  <w:vAlign w:val="center"/>
                </w:tcPr>
                <w:p w14:paraId="117B245E">
                  <w:pPr>
                    <w:adjustRightInd w:val="0"/>
                    <w:snapToGrid w:val="0"/>
                    <w:jc w:val="center"/>
                    <w:rPr>
                      <w:color w:val="auto"/>
                      <w:szCs w:val="21"/>
                    </w:rPr>
                  </w:pPr>
                </w:p>
              </w:tc>
              <w:tc>
                <w:tcPr>
                  <w:tcW w:w="2123" w:type="pct"/>
                  <w:tcBorders>
                    <w:tl2br w:val="nil"/>
                    <w:tr2bl w:val="nil"/>
                  </w:tcBorders>
                  <w:vAlign w:val="center"/>
                </w:tcPr>
                <w:p w14:paraId="432A09BF">
                  <w:pPr>
                    <w:adjustRightInd w:val="0"/>
                    <w:snapToGrid w:val="0"/>
                    <w:jc w:val="center"/>
                    <w:rPr>
                      <w:color w:val="auto"/>
                      <w:szCs w:val="21"/>
                    </w:rPr>
                  </w:pPr>
                  <w:r>
                    <w:rPr>
                      <w:rFonts w:hint="eastAsia"/>
                      <w:color w:val="auto"/>
                      <w:szCs w:val="21"/>
                    </w:rPr>
                    <w:t>（六）坚决遏制“两高”项目盲目发展。对不符合要求的“两高”项目，坚决停批停建。对大气环境质量未达标的地区，实施更加严格的污染物总量控制。……。</w:t>
                  </w:r>
                </w:p>
              </w:tc>
              <w:tc>
                <w:tcPr>
                  <w:tcW w:w="1699" w:type="pct"/>
                  <w:tcBorders>
                    <w:tl2br w:val="nil"/>
                    <w:tr2bl w:val="nil"/>
                  </w:tcBorders>
                  <w:vAlign w:val="center"/>
                </w:tcPr>
                <w:p w14:paraId="614E6E78">
                  <w:pPr>
                    <w:adjustRightInd w:val="0"/>
                    <w:snapToGrid w:val="0"/>
                    <w:jc w:val="center"/>
                    <w:rPr>
                      <w:color w:val="auto"/>
                      <w:szCs w:val="21"/>
                    </w:rPr>
                  </w:pPr>
                  <w:r>
                    <w:rPr>
                      <w:rFonts w:hint="eastAsia"/>
                      <w:color w:val="auto"/>
                      <w:szCs w:val="21"/>
                    </w:rPr>
                    <w:t>本项目不属于严禁新增的钢铁、焦化、水泥熟料、平板玻璃、电解铝、氧化铝、煤化工产能。</w:t>
                  </w:r>
                </w:p>
              </w:tc>
              <w:tc>
                <w:tcPr>
                  <w:tcW w:w="561" w:type="pct"/>
                  <w:tcBorders>
                    <w:tl2br w:val="nil"/>
                    <w:tr2bl w:val="nil"/>
                  </w:tcBorders>
                  <w:vAlign w:val="center"/>
                </w:tcPr>
                <w:p w14:paraId="6FC86B23">
                  <w:pPr>
                    <w:adjustRightInd w:val="0"/>
                    <w:snapToGrid w:val="0"/>
                    <w:jc w:val="center"/>
                    <w:rPr>
                      <w:color w:val="auto"/>
                      <w:szCs w:val="21"/>
                    </w:rPr>
                  </w:pPr>
                  <w:r>
                    <w:rPr>
                      <w:color w:val="auto"/>
                      <w:szCs w:val="21"/>
                    </w:rPr>
                    <w:t>符合</w:t>
                  </w:r>
                </w:p>
              </w:tc>
            </w:tr>
            <w:tr w14:paraId="60D33F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50" w:hRule="atLeast"/>
              </w:trPr>
              <w:tc>
                <w:tcPr>
                  <w:tcW w:w="614" w:type="pct"/>
                  <w:vMerge w:val="restart"/>
                  <w:tcBorders>
                    <w:tl2br w:val="nil"/>
                    <w:tr2bl w:val="nil"/>
                  </w:tcBorders>
                  <w:vAlign w:val="center"/>
                </w:tcPr>
                <w:p w14:paraId="767D3D12">
                  <w:pPr>
                    <w:adjustRightInd w:val="0"/>
                    <w:snapToGrid w:val="0"/>
                    <w:jc w:val="center"/>
                    <w:rPr>
                      <w:color w:val="auto"/>
                      <w:szCs w:val="21"/>
                    </w:rPr>
                  </w:pPr>
                  <w:r>
                    <w:rPr>
                      <w:rFonts w:hint="eastAsia"/>
                      <w:color w:val="auto"/>
                      <w:szCs w:val="21"/>
                    </w:rPr>
                    <w:t xml:space="preserve">三、加强细颗粒物和臭氧协同控制，深入打好 </w:t>
                  </w:r>
                </w:p>
                <w:p w14:paraId="3C82EBF9">
                  <w:pPr>
                    <w:adjustRightInd w:val="0"/>
                    <w:snapToGrid w:val="0"/>
                    <w:jc w:val="center"/>
                    <w:rPr>
                      <w:color w:val="auto"/>
                      <w:szCs w:val="21"/>
                    </w:rPr>
                  </w:pPr>
                  <w:r>
                    <w:rPr>
                      <w:rFonts w:hint="eastAsia"/>
                      <w:color w:val="auto"/>
                      <w:szCs w:val="21"/>
                    </w:rPr>
                    <w:t>蓝天保卫战</w:t>
                  </w:r>
                </w:p>
              </w:tc>
              <w:tc>
                <w:tcPr>
                  <w:tcW w:w="2123" w:type="pct"/>
                  <w:tcBorders>
                    <w:tl2br w:val="nil"/>
                    <w:tr2bl w:val="nil"/>
                  </w:tcBorders>
                  <w:vAlign w:val="center"/>
                </w:tcPr>
                <w:p w14:paraId="6411557B">
                  <w:pPr>
                    <w:adjustRightInd w:val="0"/>
                    <w:snapToGrid w:val="0"/>
                    <w:jc w:val="center"/>
                    <w:rPr>
                      <w:color w:val="auto"/>
                      <w:szCs w:val="21"/>
                    </w:rPr>
                  </w:pPr>
                  <w:r>
                    <w:rPr>
                      <w:rFonts w:hint="eastAsia"/>
                      <w:color w:val="auto"/>
                      <w:szCs w:val="21"/>
                    </w:rPr>
                    <w:t xml:space="preserve">（十）着力打好重污染天气消除攻坚战。加大重点行业污染治理力度，强化多污染物协同控制，推进 </w:t>
                  </w:r>
                  <w:r>
                    <w:rPr>
                      <w:color w:val="auto"/>
                      <w:szCs w:val="21"/>
                    </w:rPr>
                    <w:t>PM</w:t>
                  </w:r>
                  <w:r>
                    <w:rPr>
                      <w:color w:val="auto"/>
                      <w:szCs w:val="21"/>
                      <w:vertAlign w:val="subscript"/>
                    </w:rPr>
                    <w:t>2.5</w:t>
                  </w:r>
                  <w:r>
                    <w:rPr>
                      <w:color w:val="auto"/>
                      <w:szCs w:val="21"/>
                    </w:rPr>
                    <w:t xml:space="preserve"> </w:t>
                  </w:r>
                  <w:r>
                    <w:rPr>
                      <w:rFonts w:hint="eastAsia"/>
                      <w:color w:val="auto"/>
                      <w:szCs w:val="21"/>
                    </w:rPr>
                    <w:t>和臭氧浓度“双控双减”，……。</w:t>
                  </w:r>
                </w:p>
              </w:tc>
              <w:tc>
                <w:tcPr>
                  <w:tcW w:w="1699" w:type="pct"/>
                  <w:tcBorders>
                    <w:tl2br w:val="nil"/>
                    <w:tr2bl w:val="nil"/>
                  </w:tcBorders>
                  <w:vAlign w:val="center"/>
                </w:tcPr>
                <w:p w14:paraId="40E914CD">
                  <w:pPr>
                    <w:adjustRightInd w:val="0"/>
                    <w:snapToGrid w:val="0"/>
                    <w:jc w:val="center"/>
                    <w:rPr>
                      <w:rFonts w:hint="eastAsia" w:eastAsia="宋体"/>
                      <w:color w:val="auto"/>
                      <w:szCs w:val="21"/>
                      <w:lang w:val="en-US" w:eastAsia="zh-CN"/>
                    </w:rPr>
                  </w:pPr>
                  <w:r>
                    <w:rPr>
                      <w:rFonts w:hint="eastAsia"/>
                      <w:color w:val="auto"/>
                      <w:szCs w:val="21"/>
                    </w:rPr>
                    <w:t>本项目属于有色金属</w:t>
                  </w:r>
                  <w:r>
                    <w:rPr>
                      <w:rFonts w:hint="eastAsia"/>
                      <w:color w:val="auto"/>
                      <w:szCs w:val="21"/>
                      <w:lang w:val="en-US" w:eastAsia="zh-CN"/>
                    </w:rPr>
                    <w:t>铸造</w:t>
                  </w:r>
                  <w:r>
                    <w:rPr>
                      <w:rFonts w:hint="eastAsia"/>
                      <w:color w:val="auto"/>
                      <w:szCs w:val="21"/>
                    </w:rPr>
                    <w:t>行业</w:t>
                  </w:r>
                  <w:r>
                    <w:rPr>
                      <w:rFonts w:hint="eastAsia"/>
                      <w:color w:val="auto"/>
                      <w:szCs w:val="21"/>
                      <w:lang w:eastAsia="zh-CN"/>
                    </w:rPr>
                    <w:t>，</w:t>
                  </w:r>
                  <w:r>
                    <w:rPr>
                      <w:rFonts w:hint="eastAsia"/>
                      <w:color w:val="auto"/>
                      <w:szCs w:val="21"/>
                      <w:lang w:val="en-US" w:eastAsia="zh-CN"/>
                    </w:rPr>
                    <w:t>加大</w:t>
                  </w:r>
                  <w:r>
                    <w:rPr>
                      <w:rFonts w:hint="eastAsia"/>
                      <w:color w:val="auto"/>
                      <w:szCs w:val="21"/>
                    </w:rPr>
                    <w:t>行业污染治理力度，</w:t>
                  </w:r>
                  <w:r>
                    <w:rPr>
                      <w:rFonts w:hint="eastAsia" w:hAnsi="宋体"/>
                      <w:color w:val="auto"/>
                    </w:rPr>
                    <w:t>生产过程中三废均得到有效处置</w:t>
                  </w:r>
                  <w:r>
                    <w:rPr>
                      <w:rFonts w:hint="eastAsia" w:hAnsi="宋体"/>
                      <w:color w:val="auto"/>
                      <w:lang w:eastAsia="zh-CN"/>
                    </w:rPr>
                    <w:t>。</w:t>
                  </w:r>
                </w:p>
              </w:tc>
              <w:tc>
                <w:tcPr>
                  <w:tcW w:w="561" w:type="pct"/>
                  <w:tcBorders>
                    <w:tl2br w:val="nil"/>
                    <w:tr2bl w:val="nil"/>
                  </w:tcBorders>
                  <w:vAlign w:val="center"/>
                </w:tcPr>
                <w:p w14:paraId="34E8FEB0">
                  <w:pPr>
                    <w:adjustRightInd w:val="0"/>
                    <w:snapToGrid w:val="0"/>
                    <w:jc w:val="center"/>
                    <w:rPr>
                      <w:color w:val="auto"/>
                      <w:szCs w:val="21"/>
                    </w:rPr>
                  </w:pPr>
                  <w:r>
                    <w:rPr>
                      <w:color w:val="auto"/>
                      <w:szCs w:val="21"/>
                    </w:rPr>
                    <w:t>符合</w:t>
                  </w:r>
                </w:p>
              </w:tc>
            </w:tr>
            <w:tr w14:paraId="4E8675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80" w:hRule="atLeast"/>
              </w:trPr>
              <w:tc>
                <w:tcPr>
                  <w:tcW w:w="614" w:type="pct"/>
                  <w:vMerge w:val="continue"/>
                  <w:tcBorders>
                    <w:tl2br w:val="nil"/>
                    <w:tr2bl w:val="nil"/>
                  </w:tcBorders>
                  <w:vAlign w:val="center"/>
                </w:tcPr>
                <w:p w14:paraId="2C9294E3">
                  <w:pPr>
                    <w:adjustRightInd w:val="0"/>
                    <w:snapToGrid w:val="0"/>
                    <w:jc w:val="center"/>
                    <w:rPr>
                      <w:color w:val="auto"/>
                      <w:szCs w:val="21"/>
                    </w:rPr>
                  </w:pPr>
                </w:p>
              </w:tc>
              <w:tc>
                <w:tcPr>
                  <w:tcW w:w="2123" w:type="pct"/>
                  <w:tcBorders>
                    <w:tl2br w:val="nil"/>
                    <w:tr2bl w:val="nil"/>
                  </w:tcBorders>
                  <w:vAlign w:val="center"/>
                </w:tcPr>
                <w:p w14:paraId="247F0A73">
                  <w:pPr>
                    <w:adjustRightInd w:val="0"/>
                    <w:snapToGrid w:val="0"/>
                    <w:jc w:val="center"/>
                    <w:rPr>
                      <w:color w:val="auto"/>
                      <w:szCs w:val="21"/>
                    </w:rPr>
                  </w:pPr>
                  <w:r>
                    <w:rPr>
                      <w:rFonts w:hint="eastAsia"/>
                      <w:color w:val="auto"/>
                      <w:szCs w:val="21"/>
                    </w:rPr>
                    <w:t>（十一）着力打好臭氧污染防治攻坚战。以石化、化工、涂装、医药、包装印刷、油品储运销等行业领域为重点，实施原辅材料和产品源头替代工程。……。</w:t>
                  </w:r>
                </w:p>
              </w:tc>
              <w:tc>
                <w:tcPr>
                  <w:tcW w:w="1699" w:type="pct"/>
                  <w:tcBorders>
                    <w:tl2br w:val="nil"/>
                    <w:tr2bl w:val="nil"/>
                  </w:tcBorders>
                  <w:vAlign w:val="center"/>
                </w:tcPr>
                <w:p w14:paraId="6F04EB9F">
                  <w:pPr>
                    <w:adjustRightInd w:val="0"/>
                    <w:snapToGrid w:val="0"/>
                    <w:jc w:val="center"/>
                    <w:rPr>
                      <w:color w:val="auto"/>
                      <w:szCs w:val="21"/>
                    </w:rPr>
                  </w:pPr>
                  <w:r>
                    <w:rPr>
                      <w:rFonts w:hint="eastAsia"/>
                      <w:color w:val="auto"/>
                      <w:szCs w:val="21"/>
                    </w:rPr>
                    <w:t>本项目不属于石化、化工、涂装、医药、包装印刷、油品储运销等重点行业。</w:t>
                  </w:r>
                </w:p>
              </w:tc>
              <w:tc>
                <w:tcPr>
                  <w:tcW w:w="561" w:type="pct"/>
                  <w:tcBorders>
                    <w:tl2br w:val="nil"/>
                    <w:tr2bl w:val="nil"/>
                  </w:tcBorders>
                  <w:vAlign w:val="center"/>
                </w:tcPr>
                <w:p w14:paraId="2FF06B6C">
                  <w:pPr>
                    <w:adjustRightInd w:val="0"/>
                    <w:snapToGrid w:val="0"/>
                    <w:jc w:val="center"/>
                    <w:rPr>
                      <w:color w:val="auto"/>
                      <w:szCs w:val="21"/>
                    </w:rPr>
                  </w:pPr>
                  <w:r>
                    <w:rPr>
                      <w:color w:val="auto"/>
                      <w:szCs w:val="21"/>
                    </w:rPr>
                    <w:t>符合</w:t>
                  </w:r>
                </w:p>
              </w:tc>
            </w:tr>
          </w:tbl>
          <w:p w14:paraId="50794EF5">
            <w:pPr>
              <w:spacing w:line="360" w:lineRule="auto"/>
              <w:ind w:firstLine="480"/>
              <w:rPr>
                <w:b/>
                <w:bCs/>
                <w:color w:val="auto"/>
                <w:szCs w:val="21"/>
              </w:rPr>
            </w:pPr>
            <w:r>
              <w:rPr>
                <w:rFonts w:hint="eastAsia"/>
                <w:bCs/>
                <w:color w:val="auto"/>
                <w:szCs w:val="21"/>
              </w:rPr>
              <w:t>综上，本项目建设符合《江苏省委 省政府关于深入打好污染防治攻坚战的实施意见》的相关要求。</w:t>
            </w:r>
          </w:p>
          <w:p w14:paraId="7CCB6511">
            <w:pPr>
              <w:spacing w:line="360" w:lineRule="auto"/>
              <w:ind w:firstLine="480"/>
              <w:rPr>
                <w:b/>
                <w:color w:val="auto"/>
                <w:szCs w:val="21"/>
              </w:rPr>
            </w:pPr>
            <w:r>
              <w:rPr>
                <w:rFonts w:hint="eastAsia"/>
                <w:b/>
                <w:color w:val="auto"/>
                <w:szCs w:val="21"/>
              </w:rPr>
              <w:t>（</w:t>
            </w:r>
            <w:r>
              <w:rPr>
                <w:rFonts w:hint="eastAsia"/>
                <w:b/>
                <w:color w:val="auto"/>
                <w:szCs w:val="21"/>
                <w:lang w:val="en-US" w:eastAsia="zh-CN"/>
              </w:rPr>
              <w:t>7</w:t>
            </w:r>
            <w:r>
              <w:rPr>
                <w:rFonts w:hint="eastAsia"/>
                <w:b/>
                <w:color w:val="auto"/>
                <w:szCs w:val="21"/>
              </w:rPr>
              <w:t>）与《关于印发</w:t>
            </w:r>
            <w:r>
              <w:rPr>
                <w:b/>
                <w:color w:val="auto"/>
                <w:szCs w:val="21"/>
              </w:rPr>
              <w:t>&lt;</w:t>
            </w:r>
            <w:r>
              <w:rPr>
                <w:rFonts w:hint="eastAsia"/>
                <w:b/>
                <w:color w:val="auto"/>
                <w:szCs w:val="21"/>
              </w:rPr>
              <w:t>重点行业挥发性有机物综合治理方案</w:t>
            </w:r>
            <w:r>
              <w:rPr>
                <w:b/>
                <w:color w:val="auto"/>
                <w:szCs w:val="21"/>
              </w:rPr>
              <w:t>&gt;</w:t>
            </w:r>
            <w:r>
              <w:rPr>
                <w:rFonts w:hint="eastAsia"/>
                <w:b/>
                <w:color w:val="auto"/>
                <w:szCs w:val="21"/>
              </w:rPr>
              <w:t>的通知》相符性</w:t>
            </w:r>
          </w:p>
          <w:p w14:paraId="39F818B0">
            <w:pPr>
              <w:spacing w:line="360" w:lineRule="auto"/>
              <w:ind w:firstLine="480"/>
              <w:rPr>
                <w:color w:val="auto"/>
                <w:szCs w:val="21"/>
              </w:rPr>
            </w:pPr>
            <w:r>
              <w:rPr>
                <w:rFonts w:hint="eastAsia"/>
                <w:color w:val="auto"/>
                <w:szCs w:val="21"/>
              </w:rPr>
              <w:t>根据生态环境部《关于印发</w:t>
            </w:r>
            <w:r>
              <w:rPr>
                <w:color w:val="auto"/>
                <w:szCs w:val="21"/>
              </w:rPr>
              <w:t>&lt;</w:t>
            </w:r>
            <w:r>
              <w:rPr>
                <w:rFonts w:hint="eastAsia"/>
                <w:color w:val="auto"/>
                <w:szCs w:val="21"/>
              </w:rPr>
              <w:t>重点行业挥发性有机物综合治理方案</w:t>
            </w:r>
            <w:r>
              <w:rPr>
                <w:color w:val="auto"/>
                <w:szCs w:val="21"/>
              </w:rPr>
              <w:t>&gt;</w:t>
            </w:r>
            <w:r>
              <w:rPr>
                <w:rFonts w:hint="eastAsia"/>
                <w:color w:val="auto"/>
                <w:szCs w:val="21"/>
              </w:rPr>
              <w:t>的通知》（环大气[</w:t>
            </w:r>
            <w:r>
              <w:rPr>
                <w:color w:val="auto"/>
                <w:szCs w:val="21"/>
              </w:rPr>
              <w:t>2019</w:t>
            </w:r>
            <w:r>
              <w:rPr>
                <w:rFonts w:hint="eastAsia"/>
                <w:color w:val="auto"/>
                <w:szCs w:val="21"/>
              </w:rPr>
              <w:t>]</w:t>
            </w:r>
            <w:r>
              <w:rPr>
                <w:color w:val="auto"/>
                <w:szCs w:val="21"/>
              </w:rPr>
              <w:t>53</w:t>
            </w:r>
            <w:r>
              <w:rPr>
                <w:rFonts w:hint="eastAsia"/>
                <w:color w:val="auto"/>
                <w:szCs w:val="21"/>
              </w:rPr>
              <w:t>号），本项目符合文件中各相关要求，具体分析内容如下表1-</w:t>
            </w:r>
            <w:r>
              <w:rPr>
                <w:rFonts w:hint="eastAsia"/>
                <w:color w:val="auto"/>
                <w:szCs w:val="21"/>
                <w:lang w:val="en-US" w:eastAsia="zh-CN"/>
              </w:rPr>
              <w:t>9</w:t>
            </w:r>
            <w:r>
              <w:rPr>
                <w:rFonts w:hint="eastAsia"/>
                <w:color w:val="auto"/>
                <w:szCs w:val="21"/>
              </w:rPr>
              <w:t>。由表</w:t>
            </w:r>
            <w:r>
              <w:rPr>
                <w:color w:val="auto"/>
                <w:szCs w:val="21"/>
              </w:rPr>
              <w:t>1</w:t>
            </w:r>
            <w:r>
              <w:rPr>
                <w:rFonts w:hint="eastAsia"/>
                <w:color w:val="auto"/>
                <w:szCs w:val="21"/>
              </w:rPr>
              <w:t>-</w:t>
            </w:r>
            <w:r>
              <w:rPr>
                <w:rFonts w:hint="eastAsia"/>
                <w:color w:val="auto"/>
                <w:szCs w:val="21"/>
                <w:lang w:val="en-US" w:eastAsia="zh-CN"/>
              </w:rPr>
              <w:t>8</w:t>
            </w:r>
            <w:r>
              <w:rPr>
                <w:rFonts w:hint="eastAsia"/>
                <w:color w:val="auto"/>
                <w:szCs w:val="21"/>
              </w:rPr>
              <w:t>可知，本项目的建设符合生态环境部“重点行业挥发性有机物综合治理方案”中的相关规定。</w:t>
            </w:r>
          </w:p>
          <w:p w14:paraId="1CF6EB37">
            <w:pPr>
              <w:pStyle w:val="38"/>
              <w:ind w:firstLine="482"/>
              <w:rPr>
                <w:rFonts w:hAnsi="宋体"/>
                <w:bCs/>
                <w:color w:val="auto"/>
              </w:rPr>
            </w:pPr>
            <w:r>
              <w:rPr>
                <w:rFonts w:hint="eastAsia" w:hAnsi="宋体"/>
                <w:bCs/>
                <w:color w:val="auto"/>
              </w:rPr>
              <w:t>表1-</w:t>
            </w:r>
            <w:r>
              <w:rPr>
                <w:rFonts w:hint="eastAsia" w:hAnsi="宋体"/>
                <w:bCs/>
                <w:color w:val="auto"/>
                <w:lang w:val="en-US" w:eastAsia="zh-CN"/>
              </w:rPr>
              <w:t>8</w:t>
            </w:r>
            <w:r>
              <w:rPr>
                <w:rFonts w:hint="eastAsia" w:hAnsi="宋体"/>
                <w:bCs/>
                <w:color w:val="auto"/>
              </w:rPr>
              <w:t>与“重点行业挥发性有机物综合治理方案”对比分析</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42"/>
              <w:gridCol w:w="1679"/>
            </w:tblGrid>
            <w:tr w14:paraId="7BBC85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3854" w:type="pct"/>
                  <w:vAlign w:val="center"/>
                </w:tcPr>
                <w:p w14:paraId="3D7E2168">
                  <w:pPr>
                    <w:widowControl/>
                    <w:overflowPunct w:val="0"/>
                    <w:adjustRightInd w:val="0"/>
                    <w:jc w:val="center"/>
                    <w:rPr>
                      <w:b/>
                      <w:color w:val="auto"/>
                      <w:szCs w:val="21"/>
                    </w:rPr>
                  </w:pPr>
                  <w:r>
                    <w:rPr>
                      <w:b/>
                      <w:color w:val="auto"/>
                      <w:kern w:val="0"/>
                      <w:szCs w:val="21"/>
                    </w:rPr>
                    <w:t>文件要求</w:t>
                  </w:r>
                </w:p>
              </w:tc>
              <w:tc>
                <w:tcPr>
                  <w:tcW w:w="1146" w:type="pct"/>
                  <w:vAlign w:val="center"/>
                </w:tcPr>
                <w:p w14:paraId="29A7E243">
                  <w:pPr>
                    <w:widowControl/>
                    <w:overflowPunct w:val="0"/>
                    <w:adjustRightInd w:val="0"/>
                    <w:jc w:val="center"/>
                    <w:rPr>
                      <w:b/>
                      <w:color w:val="auto"/>
                      <w:szCs w:val="21"/>
                    </w:rPr>
                  </w:pPr>
                  <w:r>
                    <w:rPr>
                      <w:b/>
                      <w:color w:val="auto"/>
                      <w:kern w:val="0"/>
                      <w:szCs w:val="21"/>
                    </w:rPr>
                    <w:t>本项目情况</w:t>
                  </w:r>
                </w:p>
              </w:tc>
            </w:tr>
            <w:tr w14:paraId="056F1E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2"/>
                  <w:vAlign w:val="center"/>
                </w:tcPr>
                <w:p w14:paraId="6B685E2D">
                  <w:pPr>
                    <w:widowControl/>
                    <w:jc w:val="left"/>
                    <w:rPr>
                      <w:color w:val="auto"/>
                      <w:szCs w:val="21"/>
                    </w:rPr>
                  </w:pPr>
                  <w:r>
                    <w:rPr>
                      <w:b/>
                      <w:color w:val="auto"/>
                      <w:kern w:val="0"/>
                      <w:szCs w:val="21"/>
                    </w:rPr>
                    <w:t>三、控制思路与要求</w:t>
                  </w:r>
                </w:p>
              </w:tc>
            </w:tr>
            <w:tr w14:paraId="5BABF3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4" w:type="pct"/>
                  <w:vAlign w:val="center"/>
                </w:tcPr>
                <w:p w14:paraId="1BA44785">
                  <w:pPr>
                    <w:widowControl/>
                    <w:spacing w:before="100" w:beforeAutospacing="1" w:after="100" w:afterAutospacing="1"/>
                    <w:jc w:val="left"/>
                    <w:rPr>
                      <w:bCs/>
                      <w:color w:val="auto"/>
                      <w:kern w:val="0"/>
                      <w:szCs w:val="21"/>
                    </w:rPr>
                  </w:pPr>
                  <w:r>
                    <w:rPr>
                      <w:rFonts w:hint="eastAsia"/>
                      <w:bCs/>
                      <w:color w:val="auto"/>
                      <w:kern w:val="0"/>
                      <w:szCs w:val="21"/>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146" w:type="pct"/>
                  <w:vAlign w:val="center"/>
                </w:tcPr>
                <w:p w14:paraId="0BD4A5A5">
                  <w:pPr>
                    <w:widowControl/>
                    <w:spacing w:before="100" w:beforeAutospacing="1" w:after="100" w:afterAutospacing="1"/>
                    <w:jc w:val="center"/>
                    <w:rPr>
                      <w:rFonts w:hint="eastAsia" w:eastAsia="宋体"/>
                      <w:bCs/>
                      <w:color w:val="auto"/>
                      <w:kern w:val="0"/>
                      <w:szCs w:val="21"/>
                      <w:lang w:val="en-US" w:eastAsia="zh-CN"/>
                    </w:rPr>
                  </w:pPr>
                  <w:r>
                    <w:rPr>
                      <w:rFonts w:hint="eastAsia"/>
                      <w:bCs/>
                      <w:color w:val="auto"/>
                      <w:kern w:val="0"/>
                      <w:szCs w:val="21"/>
                    </w:rPr>
                    <w:t>本项目</w:t>
                  </w:r>
                  <w:r>
                    <w:rPr>
                      <w:rFonts w:hint="eastAsia"/>
                      <w:bCs/>
                      <w:color w:val="auto"/>
                      <w:kern w:val="0"/>
                      <w:szCs w:val="21"/>
                      <w:lang w:val="en-US" w:eastAsia="zh-CN"/>
                    </w:rPr>
                    <w:t>不涉及高</w:t>
                  </w:r>
                  <w:r>
                    <w:rPr>
                      <w:rFonts w:hint="eastAsia"/>
                      <w:bCs/>
                      <w:color w:val="auto"/>
                      <w:kern w:val="0"/>
                      <w:szCs w:val="21"/>
                    </w:rPr>
                    <w:t>VOCs</w:t>
                  </w:r>
                  <w:r>
                    <w:rPr>
                      <w:rFonts w:hint="eastAsia"/>
                      <w:bCs/>
                      <w:color w:val="auto"/>
                      <w:kern w:val="0"/>
                      <w:szCs w:val="21"/>
                      <w:lang w:val="en-US" w:eastAsia="zh-CN"/>
                    </w:rPr>
                    <w:t>涂料、油墨、胶黏剂、清洗剂；</w:t>
                  </w:r>
                  <w:r>
                    <w:rPr>
                      <w:rFonts w:hint="eastAsia"/>
                      <w:bCs/>
                      <w:color w:val="auto"/>
                      <w:kern w:val="0"/>
                      <w:szCs w:val="21"/>
                    </w:rPr>
                    <w:t>本项目使用水性脱模剂</w:t>
                  </w:r>
                  <w:r>
                    <w:rPr>
                      <w:rFonts w:hint="eastAsia"/>
                      <w:bCs/>
                      <w:color w:val="auto"/>
                      <w:kern w:val="0"/>
                      <w:szCs w:val="21"/>
                      <w:lang w:val="en-US" w:eastAsia="zh-CN"/>
                    </w:rPr>
                    <w:t>及覆膜砂</w:t>
                  </w:r>
                  <w:r>
                    <w:rPr>
                      <w:rFonts w:hint="eastAsia"/>
                      <w:bCs/>
                      <w:color w:val="auto"/>
                      <w:kern w:val="0"/>
                      <w:szCs w:val="21"/>
                      <w:lang w:eastAsia="zh-CN"/>
                    </w:rPr>
                    <w:t>，</w:t>
                  </w:r>
                  <w:r>
                    <w:rPr>
                      <w:rFonts w:hint="eastAsia"/>
                      <w:bCs/>
                      <w:color w:val="auto"/>
                      <w:kern w:val="0"/>
                      <w:szCs w:val="21"/>
                      <w:lang w:val="en-US" w:eastAsia="zh-CN"/>
                    </w:rPr>
                    <w:t>在制芯、浇注工序中会遇热挥发</w:t>
                  </w:r>
                  <w:r>
                    <w:rPr>
                      <w:rFonts w:hint="eastAsia"/>
                      <w:bCs/>
                      <w:color w:val="auto"/>
                      <w:kern w:val="0"/>
                      <w:szCs w:val="21"/>
                    </w:rPr>
                    <w:t>有机废气</w:t>
                  </w:r>
                  <w:r>
                    <w:rPr>
                      <w:rFonts w:hint="eastAsia"/>
                      <w:bCs/>
                      <w:color w:val="auto"/>
                      <w:kern w:val="0"/>
                      <w:szCs w:val="21"/>
                      <w:lang w:eastAsia="zh-CN"/>
                    </w:rPr>
                    <w:t>，</w:t>
                  </w:r>
                  <w:r>
                    <w:rPr>
                      <w:rFonts w:hint="eastAsia"/>
                      <w:bCs/>
                      <w:color w:val="auto"/>
                      <w:kern w:val="0"/>
                      <w:szCs w:val="21"/>
                      <w:lang w:val="en-US" w:eastAsia="zh-CN"/>
                    </w:rPr>
                    <w:t>项目</w:t>
                  </w:r>
                  <w:r>
                    <w:rPr>
                      <w:rFonts w:hint="eastAsia"/>
                      <w:bCs/>
                      <w:color w:val="auto"/>
                      <w:kern w:val="0"/>
                      <w:szCs w:val="21"/>
                    </w:rPr>
                    <w:t>采用</w:t>
                  </w:r>
                  <w:r>
                    <w:rPr>
                      <w:rFonts w:hint="eastAsia"/>
                      <w:bCs/>
                      <w:color w:val="auto"/>
                      <w:kern w:val="0"/>
                      <w:szCs w:val="21"/>
                      <w:lang w:val="en-US" w:eastAsia="zh-CN"/>
                    </w:rPr>
                    <w:t>二级</w:t>
                  </w:r>
                  <w:r>
                    <w:rPr>
                      <w:rFonts w:hint="eastAsia"/>
                      <w:bCs/>
                      <w:color w:val="auto"/>
                      <w:kern w:val="0"/>
                      <w:szCs w:val="21"/>
                    </w:rPr>
                    <w:t>活性炭吸附装置处理，符合要求。</w:t>
                  </w:r>
                </w:p>
              </w:tc>
            </w:tr>
            <w:tr w14:paraId="793F43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0" w:hRule="atLeast"/>
                <w:jc w:val="center"/>
              </w:trPr>
              <w:tc>
                <w:tcPr>
                  <w:tcW w:w="3854" w:type="pct"/>
                  <w:vAlign w:val="center"/>
                </w:tcPr>
                <w:p w14:paraId="458E92AF">
                  <w:pPr>
                    <w:widowControl/>
                    <w:jc w:val="left"/>
                    <w:rPr>
                      <w:bCs/>
                      <w:color w:val="auto"/>
                      <w:szCs w:val="21"/>
                    </w:rPr>
                  </w:pPr>
                  <w:r>
                    <w:rPr>
                      <w:b/>
                      <w:color w:val="auto"/>
                      <w:kern w:val="0"/>
                      <w:szCs w:val="21"/>
                    </w:rPr>
                    <w:t>（二）全面加强无组织排放控制。</w:t>
                  </w:r>
                  <w:r>
                    <w:rPr>
                      <w:bCs/>
                      <w:color w:val="auto"/>
                      <w:kern w:val="0"/>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2E57A2A3">
                  <w:pPr>
                    <w:widowControl/>
                    <w:ind w:firstLine="420" w:firstLineChars="200"/>
                    <w:jc w:val="left"/>
                    <w:rPr>
                      <w:bCs/>
                      <w:color w:val="auto"/>
                      <w:szCs w:val="21"/>
                    </w:rPr>
                  </w:pPr>
                  <w:r>
                    <w:rPr>
                      <w:bCs/>
                      <w:color w:val="auto"/>
                      <w:kern w:val="0"/>
                      <w:szCs w:val="21"/>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03D283B4">
                  <w:pPr>
                    <w:widowControl/>
                    <w:ind w:firstLine="420" w:firstLineChars="200"/>
                    <w:jc w:val="left"/>
                    <w:rPr>
                      <w:bCs/>
                      <w:color w:val="auto"/>
                      <w:szCs w:val="21"/>
                    </w:rPr>
                  </w:pPr>
                  <w:r>
                    <w:rPr>
                      <w:bCs/>
                      <w:color w:val="auto"/>
                      <w:kern w:val="0"/>
                      <w:szCs w:val="21"/>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p w14:paraId="5B5EB740">
                  <w:pPr>
                    <w:widowControl/>
                    <w:ind w:firstLine="420" w:firstLineChars="200"/>
                    <w:jc w:val="left"/>
                    <w:rPr>
                      <w:color w:val="auto"/>
                      <w:szCs w:val="21"/>
                    </w:rPr>
                  </w:pPr>
                  <w:r>
                    <w:rPr>
                      <w:bCs/>
                      <w:color w:val="auto"/>
                      <w:kern w:val="0"/>
                      <w:szCs w:val="21"/>
                    </w:rPr>
                    <w:t>提高废气收集率。遵循</w:t>
                  </w:r>
                  <w:r>
                    <w:rPr>
                      <w:rFonts w:hint="eastAsia"/>
                      <w:bCs/>
                      <w:color w:val="auto"/>
                      <w:kern w:val="0"/>
                      <w:szCs w:val="21"/>
                    </w:rPr>
                    <w:t>“</w:t>
                  </w:r>
                  <w:r>
                    <w:rPr>
                      <w:bCs/>
                      <w:color w:val="auto"/>
                      <w:kern w:val="0"/>
                      <w:szCs w:val="21"/>
                    </w:rPr>
                    <w:t>应收尽收、分质收集</w:t>
                  </w:r>
                  <w:r>
                    <w:rPr>
                      <w:rFonts w:hint="eastAsia"/>
                      <w:bCs/>
                      <w:color w:val="auto"/>
                      <w:kern w:val="0"/>
                      <w:szCs w:val="21"/>
                    </w:rPr>
                    <w:t>”</w:t>
                  </w:r>
                  <w:r>
                    <w:rPr>
                      <w:bCs/>
                      <w:color w:val="auto"/>
                      <w:kern w:val="0"/>
                      <w:szCs w:val="21"/>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146" w:type="pct"/>
                  <w:vAlign w:val="center"/>
                </w:tcPr>
                <w:p w14:paraId="42E49268">
                  <w:pPr>
                    <w:widowControl/>
                    <w:jc w:val="left"/>
                    <w:rPr>
                      <w:rFonts w:hint="eastAsia"/>
                      <w:bCs/>
                      <w:color w:val="auto"/>
                      <w:kern w:val="0"/>
                      <w:szCs w:val="21"/>
                    </w:rPr>
                  </w:pPr>
                  <w:r>
                    <w:rPr>
                      <w:rFonts w:hint="eastAsia"/>
                      <w:color w:val="auto"/>
                      <w:szCs w:val="21"/>
                    </w:rPr>
                    <w:t>本项目物料</w:t>
                  </w:r>
                  <w:r>
                    <w:rPr>
                      <w:rFonts w:hint="eastAsia"/>
                      <w:color w:val="auto"/>
                      <w:szCs w:val="21"/>
                      <w:lang w:val="en-US" w:eastAsia="zh-CN"/>
                    </w:rPr>
                    <w:t>储存于车间内</w:t>
                  </w:r>
                  <w:r>
                    <w:rPr>
                      <w:rFonts w:hint="eastAsia"/>
                      <w:color w:val="auto"/>
                      <w:kern w:val="0"/>
                      <w:szCs w:val="21"/>
                    </w:rPr>
                    <w:t>，</w:t>
                  </w:r>
                  <w:r>
                    <w:rPr>
                      <w:rFonts w:hint="eastAsia"/>
                      <w:bCs/>
                      <w:color w:val="auto"/>
                      <w:kern w:val="0"/>
                      <w:szCs w:val="21"/>
                      <w:lang w:val="en-US" w:eastAsia="zh-CN"/>
                    </w:rPr>
                    <w:t>制芯、浇注</w:t>
                  </w:r>
                  <w:r>
                    <w:rPr>
                      <w:rFonts w:hint="eastAsia"/>
                      <w:bCs/>
                      <w:color w:val="auto"/>
                      <w:kern w:val="0"/>
                      <w:szCs w:val="21"/>
                    </w:rPr>
                    <w:t>工序产生的有机废气采用</w:t>
                  </w:r>
                  <w:r>
                    <w:rPr>
                      <w:rFonts w:hint="eastAsia"/>
                      <w:bCs/>
                      <w:color w:val="auto"/>
                      <w:kern w:val="0"/>
                      <w:szCs w:val="21"/>
                      <w:lang w:val="en-US" w:eastAsia="zh-CN"/>
                    </w:rPr>
                    <w:t>二级</w:t>
                  </w:r>
                  <w:r>
                    <w:rPr>
                      <w:rFonts w:hint="eastAsia"/>
                      <w:bCs/>
                      <w:color w:val="auto"/>
                      <w:kern w:val="0"/>
                      <w:szCs w:val="21"/>
                    </w:rPr>
                    <w:t>活性炭吸附装置处理</w:t>
                  </w:r>
                  <w:r>
                    <w:rPr>
                      <w:rFonts w:hint="eastAsia"/>
                      <w:bCs/>
                      <w:color w:val="auto"/>
                      <w:kern w:val="0"/>
                      <w:szCs w:val="21"/>
                      <w:lang w:eastAsia="zh-CN"/>
                    </w:rPr>
                    <w:t>，</w:t>
                  </w:r>
                  <w:r>
                    <w:rPr>
                      <w:rFonts w:hint="eastAsia"/>
                      <w:bCs/>
                      <w:color w:val="auto"/>
                      <w:kern w:val="0"/>
                      <w:szCs w:val="21"/>
                      <w:lang w:val="en-US" w:eastAsia="zh-CN"/>
                    </w:rPr>
                    <w:t>尾气通过排气筒高空排放</w:t>
                  </w:r>
                  <w:r>
                    <w:rPr>
                      <w:rFonts w:hint="eastAsia"/>
                      <w:bCs/>
                      <w:color w:val="auto"/>
                      <w:kern w:val="0"/>
                      <w:szCs w:val="21"/>
                    </w:rPr>
                    <w:t>。</w:t>
                  </w:r>
                </w:p>
                <w:p w14:paraId="0A8BB170">
                  <w:pPr>
                    <w:widowControl/>
                    <w:jc w:val="left"/>
                    <w:rPr>
                      <w:rFonts w:hint="eastAsia" w:eastAsia="宋体"/>
                      <w:bCs/>
                      <w:color w:val="auto"/>
                      <w:kern w:val="0"/>
                      <w:szCs w:val="21"/>
                      <w:lang w:eastAsia="zh-CN"/>
                    </w:rPr>
                  </w:pPr>
                </w:p>
              </w:tc>
            </w:tr>
            <w:tr w14:paraId="318BEA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4" w:type="pct"/>
                  <w:vAlign w:val="center"/>
                </w:tcPr>
                <w:p w14:paraId="4C5CFC1E">
                  <w:pPr>
                    <w:widowControl/>
                    <w:jc w:val="left"/>
                    <w:rPr>
                      <w:bCs/>
                      <w:color w:val="auto"/>
                      <w:szCs w:val="21"/>
                    </w:rPr>
                  </w:pPr>
                  <w:r>
                    <w:rPr>
                      <w:b/>
                      <w:color w:val="auto"/>
                      <w:kern w:val="0"/>
                      <w:szCs w:val="21"/>
                    </w:rPr>
                    <w:t>（三）推进建设适宜高效的治污设施。</w:t>
                  </w:r>
                  <w:r>
                    <w:rPr>
                      <w:bCs/>
                      <w:color w:val="auto"/>
                      <w:kern w:val="0"/>
                      <w:szCs w:val="21"/>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1E049BCE">
                  <w:pPr>
                    <w:widowControl/>
                    <w:ind w:firstLine="420" w:firstLineChars="200"/>
                    <w:jc w:val="left"/>
                    <w:rPr>
                      <w:bCs/>
                      <w:color w:val="auto"/>
                      <w:szCs w:val="21"/>
                    </w:rPr>
                  </w:pPr>
                  <w:r>
                    <w:rPr>
                      <w:bCs/>
                      <w:color w:val="auto"/>
                      <w:kern w:val="0"/>
                      <w:szCs w:val="21"/>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73B4A055">
                  <w:pPr>
                    <w:widowControl/>
                    <w:ind w:firstLine="420" w:firstLineChars="200"/>
                    <w:jc w:val="left"/>
                    <w:rPr>
                      <w:bCs/>
                      <w:color w:val="auto"/>
                      <w:szCs w:val="21"/>
                    </w:rPr>
                  </w:pPr>
                  <w:r>
                    <w:rPr>
                      <w:bCs/>
                      <w:color w:val="auto"/>
                      <w:kern w:val="0"/>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146" w:type="pct"/>
                  <w:vAlign w:val="center"/>
                </w:tcPr>
                <w:p w14:paraId="618CC6DB">
                  <w:pPr>
                    <w:widowControl/>
                    <w:snapToGrid w:val="0"/>
                    <w:jc w:val="left"/>
                    <w:rPr>
                      <w:bCs/>
                      <w:color w:val="auto"/>
                      <w:szCs w:val="21"/>
                    </w:rPr>
                  </w:pPr>
                  <w:r>
                    <w:rPr>
                      <w:rFonts w:hint="eastAsia"/>
                      <w:bCs/>
                      <w:color w:val="auto"/>
                      <w:kern w:val="0"/>
                      <w:szCs w:val="21"/>
                    </w:rPr>
                    <w:t>本项目</w:t>
                  </w:r>
                  <w:r>
                    <w:rPr>
                      <w:rFonts w:hint="eastAsia"/>
                      <w:bCs/>
                      <w:color w:val="auto"/>
                      <w:kern w:val="0"/>
                      <w:szCs w:val="21"/>
                      <w:lang w:val="en-US" w:eastAsia="zh-CN"/>
                    </w:rPr>
                    <w:t>制芯、浇注</w:t>
                  </w:r>
                  <w:r>
                    <w:rPr>
                      <w:rFonts w:hint="eastAsia"/>
                      <w:bCs/>
                      <w:color w:val="auto"/>
                      <w:kern w:val="0"/>
                      <w:szCs w:val="21"/>
                    </w:rPr>
                    <w:t>工序产生的有机废气采用</w:t>
                  </w:r>
                  <w:r>
                    <w:rPr>
                      <w:rFonts w:hint="eastAsia"/>
                      <w:bCs/>
                      <w:color w:val="auto"/>
                      <w:kern w:val="0"/>
                      <w:szCs w:val="21"/>
                      <w:lang w:val="en-US" w:eastAsia="zh-CN"/>
                    </w:rPr>
                    <w:t>二级</w:t>
                  </w:r>
                  <w:r>
                    <w:rPr>
                      <w:rFonts w:hint="eastAsia"/>
                      <w:bCs/>
                      <w:color w:val="auto"/>
                      <w:kern w:val="0"/>
                      <w:szCs w:val="21"/>
                    </w:rPr>
                    <w:t>活性炭吸附装置处理</w:t>
                  </w:r>
                  <w:r>
                    <w:rPr>
                      <w:rFonts w:hint="eastAsia"/>
                      <w:bCs/>
                      <w:color w:val="auto"/>
                      <w:kern w:val="0"/>
                      <w:szCs w:val="21"/>
                      <w:lang w:eastAsia="zh-CN"/>
                    </w:rPr>
                    <w:t>，</w:t>
                  </w:r>
                  <w:r>
                    <w:rPr>
                      <w:rFonts w:hint="eastAsia"/>
                      <w:bCs/>
                      <w:color w:val="auto"/>
                      <w:kern w:val="0"/>
                      <w:szCs w:val="21"/>
                      <w:lang w:val="en-US" w:eastAsia="zh-CN"/>
                    </w:rPr>
                    <w:t>尾气通过排气筒高空排放</w:t>
                  </w:r>
                  <w:r>
                    <w:rPr>
                      <w:rFonts w:hint="eastAsia"/>
                      <w:bCs/>
                      <w:color w:val="auto"/>
                      <w:kern w:val="0"/>
                      <w:szCs w:val="21"/>
                    </w:rPr>
                    <w:t>，符合要求。</w:t>
                  </w:r>
                </w:p>
              </w:tc>
            </w:tr>
            <w:tr w14:paraId="0DE35F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2"/>
                  <w:vAlign w:val="center"/>
                </w:tcPr>
                <w:p w14:paraId="0C4C7AD1">
                  <w:pPr>
                    <w:widowControl/>
                    <w:jc w:val="left"/>
                    <w:rPr>
                      <w:b/>
                      <w:color w:val="auto"/>
                      <w:szCs w:val="21"/>
                    </w:rPr>
                  </w:pPr>
                  <w:r>
                    <w:rPr>
                      <w:b/>
                      <w:color w:val="auto"/>
                      <w:kern w:val="0"/>
                      <w:szCs w:val="21"/>
                    </w:rPr>
                    <w:t>四、重点行业治理任务</w:t>
                  </w:r>
                </w:p>
              </w:tc>
            </w:tr>
            <w:tr w14:paraId="573266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4" w:type="pct"/>
                  <w:vAlign w:val="center"/>
                </w:tcPr>
                <w:p w14:paraId="3C5F4AE9">
                  <w:pPr>
                    <w:widowControl/>
                    <w:ind w:firstLine="211" w:firstLineChars="100"/>
                    <w:jc w:val="left"/>
                    <w:rPr>
                      <w:color w:val="auto"/>
                      <w:szCs w:val="21"/>
                    </w:rPr>
                  </w:pPr>
                  <w:r>
                    <w:rPr>
                      <w:b/>
                      <w:color w:val="auto"/>
                      <w:kern w:val="0"/>
                      <w:szCs w:val="21"/>
                    </w:rPr>
                    <w:t>（三）工业涂装VOCs综合治理。</w:t>
                  </w:r>
                  <w:r>
                    <w:rPr>
                      <w:color w:val="auto"/>
                      <w:kern w:val="0"/>
                      <w:szCs w:val="21"/>
                    </w:rPr>
                    <w:t>加大汽车、家具、集装箱、电子产品、工程机械等行业VOCs治理力度，重点区域应结合本地产业特征，加快实施其他行业涂装VOCs综合治理。</w:t>
                  </w:r>
                </w:p>
                <w:p w14:paraId="3FC9E0B3">
                  <w:pPr>
                    <w:widowControl/>
                    <w:ind w:firstLine="420" w:firstLineChars="200"/>
                    <w:jc w:val="left"/>
                    <w:rPr>
                      <w:color w:val="auto"/>
                      <w:szCs w:val="21"/>
                    </w:rPr>
                  </w:pPr>
                  <w:r>
                    <w:rPr>
                      <w:color w:val="auto"/>
                      <w:kern w:val="0"/>
                      <w:szCs w:val="21"/>
                    </w:rPr>
                    <w:t>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p w14:paraId="6EF19031">
                  <w:pPr>
                    <w:widowControl/>
                    <w:ind w:firstLine="420" w:firstLineChars="200"/>
                    <w:jc w:val="left"/>
                    <w:rPr>
                      <w:color w:val="auto"/>
                      <w:szCs w:val="21"/>
                    </w:rPr>
                  </w:pPr>
                  <w:r>
                    <w:rPr>
                      <w:color w:val="auto"/>
                      <w:kern w:val="0"/>
                      <w:szCs w:val="21"/>
                    </w:rPr>
                    <w:t>加快推广紧凑式涂装工艺、先进涂装技术和设备。汽车制造整车生产推广使用</w:t>
                  </w:r>
                  <w:r>
                    <w:rPr>
                      <w:rFonts w:hint="eastAsia"/>
                      <w:color w:val="auto"/>
                      <w:kern w:val="0"/>
                      <w:szCs w:val="21"/>
                    </w:rPr>
                    <w:t>“</w:t>
                  </w:r>
                  <w:r>
                    <w:rPr>
                      <w:color w:val="auto"/>
                      <w:kern w:val="0"/>
                      <w:szCs w:val="21"/>
                    </w:rPr>
                    <w:t>三涂一烘</w:t>
                  </w:r>
                  <w:r>
                    <w:rPr>
                      <w:rFonts w:hint="eastAsia"/>
                      <w:color w:val="auto"/>
                      <w:kern w:val="0"/>
                      <w:szCs w:val="21"/>
                    </w:rPr>
                    <w:t>”“</w:t>
                  </w:r>
                  <w:r>
                    <w:rPr>
                      <w:color w:val="auto"/>
                      <w:kern w:val="0"/>
                      <w:szCs w:val="21"/>
                    </w:rPr>
                    <w:t>两涂一烘</w:t>
                  </w:r>
                  <w:r>
                    <w:rPr>
                      <w:rFonts w:hint="eastAsia"/>
                      <w:color w:val="auto"/>
                      <w:kern w:val="0"/>
                      <w:szCs w:val="21"/>
                    </w:rPr>
                    <w:t>”</w:t>
                  </w:r>
                  <w:r>
                    <w:rPr>
                      <w:color w:val="auto"/>
                      <w:kern w:val="0"/>
                      <w:szCs w:val="21"/>
                    </w:rPr>
                    <w:t>或免中涂等紧凑型工艺、静电喷涂技术、自动化喷涂设备。汽车金属零配件企业鼓励采用粉末静电喷涂技术。集装箱制造一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p w14:paraId="6BF92853">
                  <w:pPr>
                    <w:widowControl/>
                    <w:ind w:firstLine="420" w:firstLineChars="200"/>
                    <w:jc w:val="left"/>
                    <w:rPr>
                      <w:color w:val="auto"/>
                      <w:szCs w:val="21"/>
                    </w:rPr>
                  </w:pPr>
                  <w:r>
                    <w:rPr>
                      <w:color w:val="auto"/>
                      <w:kern w:val="0"/>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2FB682B6">
                  <w:pPr>
                    <w:widowControl/>
                    <w:ind w:firstLine="420" w:firstLineChars="200"/>
                    <w:jc w:val="left"/>
                    <w:rPr>
                      <w:color w:val="auto"/>
                      <w:szCs w:val="21"/>
                    </w:rPr>
                  </w:pPr>
                  <w:r>
                    <w:rPr>
                      <w:color w:val="auto"/>
                      <w:kern w:val="0"/>
                      <w:szCs w:val="21"/>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固化废气宜采用燃烧方式单独处理，具备条件的可采用回收式热力燃烧装置。</w:t>
                  </w:r>
                </w:p>
              </w:tc>
              <w:tc>
                <w:tcPr>
                  <w:tcW w:w="1146" w:type="pct"/>
                  <w:vAlign w:val="center"/>
                </w:tcPr>
                <w:p w14:paraId="66A3AFCC">
                  <w:pPr>
                    <w:widowControl/>
                    <w:jc w:val="left"/>
                    <w:rPr>
                      <w:color w:val="auto"/>
                      <w:szCs w:val="21"/>
                    </w:rPr>
                  </w:pPr>
                  <w:r>
                    <w:rPr>
                      <w:color w:val="auto"/>
                      <w:kern w:val="0"/>
                      <w:szCs w:val="21"/>
                    </w:rPr>
                    <w:t>本项目</w:t>
                  </w:r>
                  <w:r>
                    <w:rPr>
                      <w:rFonts w:hint="eastAsia"/>
                      <w:bCs/>
                      <w:color w:val="auto"/>
                      <w:kern w:val="0"/>
                      <w:szCs w:val="21"/>
                      <w:lang w:val="en-US" w:eastAsia="zh-CN"/>
                    </w:rPr>
                    <w:t>制芯、浇注</w:t>
                  </w:r>
                  <w:r>
                    <w:rPr>
                      <w:rFonts w:hint="eastAsia"/>
                      <w:bCs/>
                      <w:color w:val="auto"/>
                      <w:kern w:val="0"/>
                      <w:szCs w:val="21"/>
                    </w:rPr>
                    <w:t>工序产生的有机废气采用</w:t>
                  </w:r>
                  <w:r>
                    <w:rPr>
                      <w:rFonts w:hint="eastAsia"/>
                      <w:bCs/>
                      <w:color w:val="auto"/>
                      <w:kern w:val="0"/>
                      <w:szCs w:val="21"/>
                      <w:lang w:val="en-US" w:eastAsia="zh-CN"/>
                    </w:rPr>
                    <w:t>二级</w:t>
                  </w:r>
                  <w:r>
                    <w:rPr>
                      <w:rFonts w:hint="eastAsia"/>
                      <w:bCs/>
                      <w:color w:val="auto"/>
                      <w:kern w:val="0"/>
                      <w:szCs w:val="21"/>
                    </w:rPr>
                    <w:t>活性炭吸附装置处理</w:t>
                  </w:r>
                  <w:r>
                    <w:rPr>
                      <w:rFonts w:hint="eastAsia"/>
                      <w:bCs/>
                      <w:color w:val="auto"/>
                      <w:kern w:val="0"/>
                      <w:szCs w:val="21"/>
                      <w:lang w:eastAsia="zh-CN"/>
                    </w:rPr>
                    <w:t>，</w:t>
                  </w:r>
                  <w:r>
                    <w:rPr>
                      <w:rFonts w:hint="eastAsia"/>
                      <w:bCs/>
                      <w:color w:val="auto"/>
                      <w:kern w:val="0"/>
                      <w:szCs w:val="21"/>
                      <w:lang w:val="en-US" w:eastAsia="zh-CN"/>
                    </w:rPr>
                    <w:t>尾气通过排气筒高空排放</w:t>
                  </w:r>
                  <w:r>
                    <w:rPr>
                      <w:rFonts w:hint="eastAsia"/>
                      <w:bCs/>
                      <w:color w:val="auto"/>
                      <w:kern w:val="0"/>
                      <w:szCs w:val="21"/>
                    </w:rPr>
                    <w:t>，符合要求。</w:t>
                  </w:r>
                </w:p>
              </w:tc>
            </w:tr>
          </w:tbl>
          <w:p w14:paraId="53669A14">
            <w:pPr>
              <w:pStyle w:val="79"/>
              <w:numPr>
                <w:ilvl w:val="0"/>
                <w:numId w:val="0"/>
              </w:numPr>
              <w:ind w:firstLine="422" w:firstLineChars="200"/>
              <w:rPr>
                <w:b/>
                <w:bCs/>
                <w:color w:val="auto"/>
                <w:sz w:val="21"/>
                <w:szCs w:val="21"/>
              </w:rPr>
            </w:pPr>
            <w:r>
              <w:rPr>
                <w:rFonts w:hint="eastAsia"/>
                <w:b/>
                <w:bCs/>
                <w:color w:val="auto"/>
                <w:sz w:val="21"/>
                <w:szCs w:val="21"/>
                <w:lang w:eastAsia="zh-CN"/>
              </w:rPr>
              <w:t>（</w:t>
            </w:r>
            <w:r>
              <w:rPr>
                <w:rFonts w:hint="eastAsia"/>
                <w:b/>
                <w:bCs/>
                <w:color w:val="auto"/>
                <w:sz w:val="21"/>
                <w:szCs w:val="21"/>
                <w:lang w:val="en-US" w:eastAsia="zh-CN"/>
              </w:rPr>
              <w:t>8</w:t>
            </w:r>
            <w:r>
              <w:rPr>
                <w:rFonts w:hint="eastAsia"/>
                <w:b/>
                <w:bCs/>
                <w:color w:val="auto"/>
                <w:sz w:val="21"/>
                <w:szCs w:val="21"/>
                <w:lang w:eastAsia="zh-CN"/>
              </w:rPr>
              <w:t>）</w:t>
            </w:r>
            <w:r>
              <w:rPr>
                <w:b/>
                <w:bCs/>
                <w:color w:val="auto"/>
                <w:sz w:val="21"/>
                <w:szCs w:val="21"/>
              </w:rPr>
              <w:t>与《江苏省2020年挥发性有机物专项治理工作方案》（苏大气办〔2020〕2号）相符性分析</w:t>
            </w:r>
          </w:p>
          <w:p w14:paraId="008FB37C">
            <w:pPr>
              <w:pStyle w:val="7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asci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项目与江苏省2020年挥发性有机物专项治理工作方案的相符性</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996"/>
              <w:gridCol w:w="1854"/>
              <w:gridCol w:w="683"/>
            </w:tblGrid>
            <w:tr w14:paraId="128AD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542" w:type="pct"/>
                  <w:vAlign w:val="center"/>
                </w:tcPr>
                <w:p w14:paraId="52AECFF8">
                  <w:pPr>
                    <w:pStyle w:val="80"/>
                    <w:framePr w:wrap="auto" w:vAnchor="margin" w:hAnchor="text" w:yAlign="inline"/>
                    <w:rPr>
                      <w:b/>
                      <w:bCs/>
                      <w:color w:val="auto"/>
                      <w:sz w:val="21"/>
                    </w:rPr>
                  </w:pPr>
                  <w:r>
                    <w:rPr>
                      <w:b/>
                      <w:bCs/>
                      <w:color w:val="auto"/>
                      <w:sz w:val="21"/>
                    </w:rPr>
                    <w:t>序号</w:t>
                  </w:r>
                </w:p>
              </w:tc>
              <w:tc>
                <w:tcPr>
                  <w:tcW w:w="2725" w:type="pct"/>
                  <w:vAlign w:val="center"/>
                </w:tcPr>
                <w:p w14:paraId="46B905DA">
                  <w:pPr>
                    <w:pStyle w:val="80"/>
                    <w:framePr w:wrap="auto" w:vAnchor="margin" w:hAnchor="text" w:yAlign="inline"/>
                    <w:rPr>
                      <w:b/>
                      <w:bCs/>
                      <w:color w:val="auto"/>
                      <w:sz w:val="21"/>
                    </w:rPr>
                  </w:pPr>
                  <w:r>
                    <w:rPr>
                      <w:b/>
                      <w:bCs/>
                      <w:color w:val="auto"/>
                      <w:sz w:val="21"/>
                    </w:rPr>
                    <w:t>文件内容</w:t>
                  </w:r>
                </w:p>
              </w:tc>
              <w:tc>
                <w:tcPr>
                  <w:tcW w:w="1265" w:type="pct"/>
                  <w:vAlign w:val="center"/>
                </w:tcPr>
                <w:p w14:paraId="125D91F1">
                  <w:pPr>
                    <w:pStyle w:val="80"/>
                    <w:framePr w:wrap="auto" w:vAnchor="margin" w:hAnchor="text" w:yAlign="inline"/>
                    <w:rPr>
                      <w:b/>
                      <w:bCs/>
                      <w:color w:val="auto"/>
                      <w:sz w:val="21"/>
                    </w:rPr>
                  </w:pPr>
                  <w:r>
                    <w:rPr>
                      <w:b/>
                      <w:bCs/>
                      <w:color w:val="auto"/>
                      <w:sz w:val="21"/>
                    </w:rPr>
                    <w:t>对照情况</w:t>
                  </w:r>
                </w:p>
              </w:tc>
              <w:tc>
                <w:tcPr>
                  <w:tcW w:w="466" w:type="pct"/>
                  <w:vAlign w:val="center"/>
                </w:tcPr>
                <w:p w14:paraId="41A2A4F3">
                  <w:pPr>
                    <w:pStyle w:val="80"/>
                    <w:framePr w:wrap="auto" w:vAnchor="margin" w:hAnchor="text" w:yAlign="inline"/>
                    <w:rPr>
                      <w:b/>
                      <w:bCs/>
                      <w:color w:val="auto"/>
                      <w:sz w:val="21"/>
                    </w:rPr>
                  </w:pPr>
                  <w:r>
                    <w:rPr>
                      <w:b/>
                      <w:bCs/>
                      <w:color w:val="auto"/>
                      <w:sz w:val="21"/>
                    </w:rPr>
                    <w:t>分析结论</w:t>
                  </w:r>
                </w:p>
              </w:tc>
            </w:tr>
            <w:tr w14:paraId="28C51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42" w:type="pct"/>
                  <w:vAlign w:val="center"/>
                </w:tcPr>
                <w:p w14:paraId="5A643044">
                  <w:pPr>
                    <w:pStyle w:val="80"/>
                    <w:framePr w:wrap="auto" w:vAnchor="margin" w:hAnchor="text" w:yAlign="inline"/>
                    <w:rPr>
                      <w:color w:val="auto"/>
                      <w:sz w:val="21"/>
                    </w:rPr>
                  </w:pPr>
                  <w:r>
                    <w:rPr>
                      <w:color w:val="auto"/>
                      <w:sz w:val="21"/>
                    </w:rPr>
                    <w:t>1</w:t>
                  </w:r>
                </w:p>
              </w:tc>
              <w:tc>
                <w:tcPr>
                  <w:tcW w:w="2725" w:type="pct"/>
                  <w:vAlign w:val="center"/>
                </w:tcPr>
                <w:p w14:paraId="22ED3316">
                  <w:pPr>
                    <w:pStyle w:val="80"/>
                    <w:framePr w:wrap="auto" w:vAnchor="margin" w:hAnchor="text" w:yAlign="in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265" w:type="pct"/>
                  <w:vAlign w:val="center"/>
                </w:tcPr>
                <w:p w14:paraId="7E43A660">
                  <w:pPr>
                    <w:pStyle w:val="41"/>
                    <w:spacing w:beforeLines="0" w:afterLines="0" w:line="240" w:lineRule="auto"/>
                    <w:ind w:firstLine="0" w:firstLineChars="0"/>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本项目不涉及高VOCs涂料、油墨、胶黏剂、清洗剂等，使用的含VOCs原辅材料为覆膜砂及水性脱模剂，常温下不挥发。</w:t>
                  </w:r>
                </w:p>
              </w:tc>
              <w:tc>
                <w:tcPr>
                  <w:tcW w:w="466" w:type="pct"/>
                  <w:vAlign w:val="center"/>
                </w:tcPr>
                <w:p w14:paraId="6C2F32DA">
                  <w:pPr>
                    <w:pStyle w:val="41"/>
                    <w:spacing w:beforeLines="0" w:afterLines="0" w:line="240" w:lineRule="auto"/>
                    <w:ind w:firstLine="0" w:firstLineChars="0"/>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符合</w:t>
                  </w:r>
                </w:p>
              </w:tc>
            </w:tr>
          </w:tbl>
          <w:p w14:paraId="62A0E67B">
            <w:pPr>
              <w:pStyle w:val="79"/>
              <w:ind w:left="0" w:leftChars="0" w:firstLine="422" w:firstLineChars="200"/>
              <w:rPr>
                <w:rFonts w:hAnsi="宋体"/>
                <w:b/>
                <w:bCs/>
                <w:color w:val="auto"/>
                <w:sz w:val="21"/>
                <w:szCs w:val="21"/>
              </w:rPr>
            </w:pPr>
            <w:r>
              <w:rPr>
                <w:rFonts w:hint="eastAsia" w:hAnsi="宋体"/>
                <w:b/>
                <w:bCs/>
                <w:color w:val="auto"/>
                <w:sz w:val="21"/>
                <w:szCs w:val="21"/>
              </w:rPr>
              <w:t>（</w:t>
            </w:r>
            <w:r>
              <w:rPr>
                <w:rFonts w:hint="eastAsia" w:hAnsi="宋体"/>
                <w:b/>
                <w:bCs/>
                <w:color w:val="auto"/>
                <w:sz w:val="21"/>
                <w:szCs w:val="21"/>
                <w:lang w:val="en-US" w:eastAsia="zh-CN"/>
              </w:rPr>
              <w:t>9</w:t>
            </w:r>
            <w:r>
              <w:rPr>
                <w:rFonts w:hint="eastAsia" w:hAnsi="宋体"/>
                <w:b/>
                <w:bCs/>
                <w:color w:val="auto"/>
                <w:sz w:val="21"/>
                <w:szCs w:val="21"/>
              </w:rPr>
              <w:t>）与《挥发性有机物无组织排放控制标准》（GB37822-2019）相符性分析</w:t>
            </w:r>
          </w:p>
          <w:p w14:paraId="05BD809A">
            <w:pPr>
              <w:pStyle w:val="79"/>
              <w:ind w:firstLine="420"/>
              <w:rPr>
                <w:rFonts w:hAnsi="宋体"/>
                <w:color w:val="auto"/>
                <w:sz w:val="21"/>
                <w:szCs w:val="21"/>
              </w:rPr>
            </w:pPr>
            <w:r>
              <w:rPr>
                <w:rFonts w:hint="eastAsia" w:hAnsi="宋体"/>
                <w:color w:val="auto"/>
                <w:sz w:val="21"/>
                <w:szCs w:val="21"/>
              </w:rPr>
              <w:t>对照《挥发性有机物无组织排放控制标准》（GB37822-2019），“VOCs物料应储存于密闭的容器、包装袋、装VOCs物料的容器或包装袋在非取用状态时应加盖、封口、保持密闭。粉状、粒储罐、储库、料仓中。盛装VOCs物料的容器或包装袋应存放于室内，或存放于设置有雨棚、遮阳和防渗设施的专用场地。盛装VOCs物料应采用气力输送设备、管状带式输送机、螺旋输送机等密闭输送方式，或者采用密闭的包装袋、容器或罐车进行物料转移。对于重点地区，收集的废气中NMHC初始排放速率≥2kg/h，应配置VOCs处理设施，处理效率不应低于80%；采用的原辅材料符合国家有关低VOCs含量产品规定的除外。”</w:t>
            </w:r>
          </w:p>
          <w:p w14:paraId="54652848">
            <w:pPr>
              <w:pStyle w:val="79"/>
              <w:ind w:firstLine="420"/>
              <w:rPr>
                <w:rFonts w:hAnsi="宋体"/>
                <w:color w:val="auto"/>
                <w:sz w:val="21"/>
                <w:szCs w:val="21"/>
              </w:rPr>
            </w:pPr>
            <w:r>
              <w:rPr>
                <w:rFonts w:hint="eastAsia" w:hAnsi="宋体"/>
                <w:color w:val="auto"/>
                <w:sz w:val="21"/>
                <w:szCs w:val="21"/>
              </w:rPr>
              <w:t>本项目涉及挥发性气体的原辅材料主要为</w:t>
            </w:r>
            <w:r>
              <w:rPr>
                <w:rFonts w:hint="eastAsia" w:hAnsi="宋体"/>
                <w:color w:val="auto"/>
                <w:sz w:val="21"/>
                <w:szCs w:val="21"/>
                <w:lang w:val="en-US" w:eastAsia="zh-CN"/>
              </w:rPr>
              <w:t>覆膜砂及水性脱模剂</w:t>
            </w:r>
            <w:r>
              <w:rPr>
                <w:rFonts w:hint="eastAsia" w:hAnsi="宋体"/>
                <w:color w:val="auto"/>
                <w:sz w:val="21"/>
                <w:szCs w:val="21"/>
              </w:rPr>
              <w:t>，</w:t>
            </w:r>
            <w:r>
              <w:rPr>
                <w:rFonts w:hint="eastAsia" w:hAnsi="宋体"/>
                <w:color w:val="auto"/>
                <w:sz w:val="21"/>
                <w:szCs w:val="21"/>
                <w:lang w:val="en-US" w:eastAsia="zh-CN"/>
              </w:rPr>
              <w:t>常温下不挥发</w:t>
            </w:r>
            <w:r>
              <w:rPr>
                <w:rFonts w:hint="eastAsia" w:hAnsi="宋体"/>
                <w:color w:val="auto"/>
                <w:sz w:val="21"/>
                <w:szCs w:val="21"/>
              </w:rPr>
              <w:t>。</w:t>
            </w:r>
            <w:r>
              <w:rPr>
                <w:rFonts w:hint="eastAsia" w:hAnsi="宋体"/>
                <w:color w:val="auto"/>
                <w:sz w:val="21"/>
                <w:szCs w:val="21"/>
                <w:lang w:val="en-US" w:eastAsia="zh-CN"/>
              </w:rPr>
              <w:t>制芯、浇注</w:t>
            </w:r>
            <w:r>
              <w:rPr>
                <w:rFonts w:hint="eastAsia" w:hAnsi="宋体"/>
                <w:color w:val="auto"/>
                <w:sz w:val="21"/>
                <w:szCs w:val="21"/>
              </w:rPr>
              <w:t>工序产生的有机废气</w:t>
            </w:r>
            <w:r>
              <w:rPr>
                <w:rFonts w:hint="eastAsia" w:hAnsi="宋体"/>
                <w:color w:val="auto"/>
                <w:sz w:val="21"/>
                <w:szCs w:val="21"/>
                <w:lang w:val="en-US" w:eastAsia="zh-CN"/>
              </w:rPr>
              <w:t>均</w:t>
            </w:r>
            <w:r>
              <w:rPr>
                <w:rFonts w:hint="eastAsia" w:hAnsi="宋体"/>
                <w:color w:val="auto"/>
                <w:sz w:val="21"/>
                <w:szCs w:val="21"/>
              </w:rPr>
              <w:t>采用活性炭吸附装置处理</w:t>
            </w:r>
            <w:r>
              <w:rPr>
                <w:rFonts w:hint="eastAsia" w:hAnsi="宋体"/>
                <w:color w:val="auto"/>
                <w:sz w:val="21"/>
                <w:szCs w:val="21"/>
                <w:lang w:eastAsia="zh-CN"/>
              </w:rPr>
              <w:t>，</w:t>
            </w:r>
            <w:r>
              <w:rPr>
                <w:rFonts w:hint="eastAsia" w:hAnsi="宋体"/>
                <w:color w:val="auto"/>
                <w:sz w:val="21"/>
                <w:szCs w:val="21"/>
                <w:lang w:val="en-US" w:eastAsia="zh-CN"/>
              </w:rPr>
              <w:t>尾气通过排气筒高空排放</w:t>
            </w:r>
            <w:r>
              <w:rPr>
                <w:rFonts w:hint="eastAsia" w:hAnsi="宋体"/>
                <w:color w:val="auto"/>
                <w:sz w:val="21"/>
                <w:szCs w:val="21"/>
              </w:rPr>
              <w:t>，本项目废气收集处理系统将与生产工艺设备同步运行，废气收集处理系统发生故障或检修时，对应的生产工艺设备将停止运行，待检修完毕后同步投入使用；项目建成运行后将建立台账，记录VOCs原辅材料的名称、使用量、废弃量、去向以及VOCs含量等信息，记录废气收集系统、废气处理设施的主要运行和维护信息，如运行时间、废气处理量、操作温度、停留时间、更换周期和更换量等关键运行参数，台账保存期限不少于3年。综上所述，本项目符合《挥发性有机物无组织排放控制标准》（GB37822-2019）相关要求。</w:t>
            </w:r>
          </w:p>
          <w:p w14:paraId="619B9B81">
            <w:pPr>
              <w:pStyle w:val="79"/>
              <w:ind w:firstLine="422"/>
              <w:rPr>
                <w:rFonts w:hAnsi="宋体"/>
                <w:b/>
                <w:bCs/>
                <w:color w:val="auto"/>
                <w:sz w:val="21"/>
                <w:szCs w:val="21"/>
              </w:rPr>
            </w:pPr>
            <w:r>
              <w:rPr>
                <w:rFonts w:hint="eastAsia" w:hAnsi="宋体"/>
                <w:b/>
                <w:bCs/>
                <w:color w:val="auto"/>
                <w:sz w:val="21"/>
                <w:szCs w:val="21"/>
              </w:rPr>
              <w:t>（</w:t>
            </w:r>
            <w:r>
              <w:rPr>
                <w:rFonts w:hint="eastAsia" w:hAnsi="宋体"/>
                <w:b/>
                <w:bCs/>
                <w:color w:val="auto"/>
                <w:sz w:val="21"/>
                <w:szCs w:val="21"/>
                <w:lang w:val="en-US" w:eastAsia="zh-CN"/>
              </w:rPr>
              <w:t>10</w:t>
            </w:r>
            <w:r>
              <w:rPr>
                <w:rFonts w:hint="eastAsia" w:hAnsi="宋体"/>
                <w:b/>
                <w:bCs/>
                <w:color w:val="auto"/>
                <w:sz w:val="21"/>
                <w:szCs w:val="21"/>
              </w:rPr>
              <w:t>）与《工业和信息化部国家发展和改革委员会生态环境部关于推动铸造和锻压行业高质量发展的指导意见》</w:t>
            </w:r>
            <w:r>
              <w:rPr>
                <w:rFonts w:hint="eastAsia" w:hAnsi="宋体"/>
                <w:b/>
                <w:bCs/>
                <w:color w:val="auto"/>
                <w:sz w:val="21"/>
                <w:szCs w:val="21"/>
                <w:lang w:eastAsia="zh-CN"/>
              </w:rPr>
              <w:t>（</w:t>
            </w:r>
            <w:r>
              <w:rPr>
                <w:rFonts w:hint="eastAsia" w:hAnsi="宋体"/>
                <w:b/>
                <w:bCs/>
                <w:color w:val="auto"/>
                <w:sz w:val="21"/>
                <w:szCs w:val="21"/>
              </w:rPr>
              <w:t>工信部联通装[2023]40号</w:t>
            </w:r>
            <w:r>
              <w:rPr>
                <w:rFonts w:hint="eastAsia" w:hAnsi="宋体"/>
                <w:b/>
                <w:bCs/>
                <w:color w:val="auto"/>
                <w:sz w:val="21"/>
                <w:szCs w:val="21"/>
                <w:lang w:eastAsia="zh-CN"/>
              </w:rPr>
              <w:t>）</w:t>
            </w:r>
            <w:r>
              <w:rPr>
                <w:rFonts w:hint="eastAsia" w:hAnsi="宋体"/>
                <w:b/>
                <w:bCs/>
                <w:color w:val="auto"/>
                <w:sz w:val="21"/>
                <w:szCs w:val="21"/>
              </w:rPr>
              <w:t>、关于转发《工业和信息化部国家发展和改革委员会生态环境部关于推动铸造和锻压行业高质量发展的指导意见》的通知</w:t>
            </w:r>
            <w:r>
              <w:rPr>
                <w:rFonts w:hint="eastAsia" w:hAnsi="宋体"/>
                <w:b/>
                <w:bCs/>
                <w:color w:val="auto"/>
                <w:sz w:val="21"/>
                <w:szCs w:val="21"/>
                <w:lang w:eastAsia="zh-CN"/>
              </w:rPr>
              <w:t>（</w:t>
            </w:r>
            <w:r>
              <w:rPr>
                <w:rFonts w:hint="eastAsia" w:hAnsi="宋体"/>
                <w:b/>
                <w:bCs/>
                <w:color w:val="auto"/>
                <w:sz w:val="21"/>
                <w:szCs w:val="21"/>
              </w:rPr>
              <w:t>苏工信装备[2023]194号</w:t>
            </w:r>
            <w:r>
              <w:rPr>
                <w:rFonts w:hint="eastAsia" w:hAnsi="宋体"/>
                <w:b/>
                <w:bCs/>
                <w:color w:val="auto"/>
                <w:sz w:val="21"/>
                <w:szCs w:val="21"/>
                <w:lang w:eastAsia="zh-CN"/>
              </w:rPr>
              <w:t>）</w:t>
            </w:r>
            <w:r>
              <w:rPr>
                <w:rFonts w:hint="eastAsia" w:hAnsi="宋体"/>
                <w:b/>
                <w:bCs/>
                <w:color w:val="auto"/>
                <w:sz w:val="21"/>
                <w:szCs w:val="21"/>
              </w:rPr>
              <w:t>相符性分析</w:t>
            </w:r>
          </w:p>
          <w:p w14:paraId="111677D8">
            <w:pPr>
              <w:jc w:val="center"/>
              <w:rPr>
                <w:rFonts w:hint="eastAsia"/>
                <w:b/>
                <w:bCs/>
                <w:color w:val="auto"/>
                <w:szCs w:val="21"/>
              </w:rPr>
            </w:pPr>
          </w:p>
          <w:p w14:paraId="580F45A1">
            <w:pPr>
              <w:jc w:val="center"/>
              <w:rPr>
                <w:b/>
                <w:bCs/>
                <w:color w:val="auto"/>
                <w:szCs w:val="21"/>
              </w:rPr>
            </w:pPr>
            <w:r>
              <w:rPr>
                <w:rFonts w:hint="eastAsia"/>
                <w:b/>
                <w:bCs/>
                <w:color w:val="auto"/>
                <w:szCs w:val="21"/>
              </w:rPr>
              <w:t>表</w:t>
            </w:r>
            <w:r>
              <w:rPr>
                <w:b/>
                <w:bCs/>
                <w:color w:val="auto"/>
                <w:szCs w:val="21"/>
              </w:rPr>
              <w:t>1-</w:t>
            </w:r>
            <w:r>
              <w:rPr>
                <w:rFonts w:hint="eastAsia"/>
                <w:b/>
                <w:bCs/>
                <w:color w:val="auto"/>
                <w:szCs w:val="21"/>
              </w:rPr>
              <w:t>1</w:t>
            </w:r>
            <w:r>
              <w:rPr>
                <w:rFonts w:hint="eastAsia"/>
                <w:b/>
                <w:bCs/>
                <w:color w:val="auto"/>
                <w:szCs w:val="21"/>
                <w:lang w:val="en-US" w:eastAsia="zh-CN"/>
              </w:rPr>
              <w:t>0</w:t>
            </w:r>
            <w:r>
              <w:rPr>
                <w:rFonts w:hint="eastAsia"/>
                <w:b/>
                <w:bCs/>
                <w:color w:val="auto"/>
                <w:szCs w:val="21"/>
              </w:rPr>
              <w:t>与（工信部</w:t>
            </w:r>
            <w:r>
              <w:rPr>
                <w:rFonts w:hint="eastAsia"/>
                <w:b/>
                <w:bCs/>
                <w:color w:val="auto"/>
                <w:szCs w:val="21"/>
                <w:lang w:val="en-US" w:eastAsia="zh-CN"/>
              </w:rPr>
              <w:t>联</w:t>
            </w:r>
            <w:r>
              <w:rPr>
                <w:rFonts w:hint="eastAsia"/>
                <w:b/>
                <w:bCs/>
                <w:color w:val="auto"/>
                <w:szCs w:val="21"/>
              </w:rPr>
              <w:t>通装【</w:t>
            </w:r>
            <w:r>
              <w:rPr>
                <w:b/>
                <w:bCs/>
                <w:color w:val="auto"/>
                <w:szCs w:val="21"/>
              </w:rPr>
              <w:t>2023</w:t>
            </w:r>
            <w:r>
              <w:rPr>
                <w:rFonts w:hint="eastAsia"/>
                <w:b/>
                <w:bCs/>
                <w:color w:val="auto"/>
                <w:szCs w:val="21"/>
              </w:rPr>
              <w:t>】</w:t>
            </w:r>
            <w:r>
              <w:rPr>
                <w:b/>
                <w:bCs/>
                <w:color w:val="auto"/>
                <w:szCs w:val="21"/>
              </w:rPr>
              <w:t>40</w:t>
            </w:r>
            <w:r>
              <w:rPr>
                <w:rFonts w:hint="eastAsia"/>
                <w:b/>
                <w:bCs/>
                <w:color w:val="auto"/>
                <w:szCs w:val="21"/>
              </w:rPr>
              <w:t>号</w:t>
            </w:r>
            <w:r>
              <w:rPr>
                <w:rFonts w:hint="eastAsia"/>
                <w:b/>
                <w:bCs/>
                <w:color w:val="auto"/>
                <w:szCs w:val="21"/>
                <w:lang w:eastAsia="zh-CN"/>
              </w:rPr>
              <w:t>、</w:t>
            </w:r>
            <w:r>
              <w:rPr>
                <w:rFonts w:hint="eastAsia"/>
                <w:b/>
                <w:bCs/>
                <w:color w:val="auto"/>
                <w:szCs w:val="21"/>
                <w:lang w:val="en-US" w:eastAsia="zh-CN"/>
              </w:rPr>
              <w:t>苏工信装备</w:t>
            </w:r>
            <w:r>
              <w:rPr>
                <w:rFonts w:hint="eastAsia"/>
                <w:b/>
                <w:bCs/>
                <w:color w:val="auto"/>
                <w:szCs w:val="21"/>
              </w:rPr>
              <w:t>【</w:t>
            </w:r>
            <w:r>
              <w:rPr>
                <w:b/>
                <w:bCs/>
                <w:color w:val="auto"/>
                <w:szCs w:val="21"/>
              </w:rPr>
              <w:t>2023</w:t>
            </w:r>
            <w:r>
              <w:rPr>
                <w:rFonts w:hint="eastAsia"/>
                <w:b/>
                <w:bCs/>
                <w:color w:val="auto"/>
                <w:szCs w:val="21"/>
              </w:rPr>
              <w:t>】</w:t>
            </w:r>
            <w:r>
              <w:rPr>
                <w:rFonts w:hint="eastAsia"/>
                <w:b/>
                <w:bCs/>
                <w:color w:val="auto"/>
                <w:szCs w:val="21"/>
                <w:lang w:val="en-US" w:eastAsia="zh-CN"/>
              </w:rPr>
              <w:t>194</w:t>
            </w:r>
            <w:r>
              <w:rPr>
                <w:rFonts w:hint="eastAsia"/>
                <w:b/>
                <w:bCs/>
                <w:color w:val="auto"/>
                <w:szCs w:val="21"/>
              </w:rPr>
              <w:t>号）相符性分析</w:t>
            </w:r>
          </w:p>
          <w:tbl>
            <w:tblPr>
              <w:tblStyle w:val="25"/>
              <w:tblW w:w="7518" w:type="dxa"/>
              <w:tblInd w:w="-1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9"/>
              <w:gridCol w:w="4324"/>
              <w:gridCol w:w="1640"/>
              <w:gridCol w:w="785"/>
            </w:tblGrid>
            <w:tr w14:paraId="1A114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9" w:hRule="atLeast"/>
              </w:trPr>
              <w:tc>
                <w:tcPr>
                  <w:tcW w:w="769" w:type="dxa"/>
                  <w:tcBorders>
                    <w:tl2br w:val="nil"/>
                    <w:tr2bl w:val="nil"/>
                  </w:tcBorders>
                  <w:vAlign w:val="center"/>
                </w:tcPr>
                <w:p w14:paraId="1DF04C45">
                  <w:pPr>
                    <w:widowControl/>
                    <w:adjustRightInd w:val="0"/>
                    <w:snapToGrid w:val="0"/>
                    <w:jc w:val="center"/>
                    <w:textAlignment w:val="center"/>
                    <w:rPr>
                      <w:rFonts w:hint="eastAsia"/>
                      <w:b/>
                      <w:bCs/>
                      <w:color w:val="auto"/>
                      <w:szCs w:val="21"/>
                      <w:lang w:val="en-US" w:eastAsia="zh-CN"/>
                    </w:rPr>
                  </w:pPr>
                  <w:r>
                    <w:rPr>
                      <w:rFonts w:hint="eastAsia"/>
                      <w:b/>
                      <w:bCs/>
                      <w:color w:val="auto"/>
                      <w:szCs w:val="21"/>
                      <w:lang w:val="en-US" w:eastAsia="zh-CN"/>
                    </w:rPr>
                    <w:t>重点</w:t>
                  </w:r>
                </w:p>
                <w:p w14:paraId="43C8A5C2">
                  <w:pPr>
                    <w:widowControl/>
                    <w:adjustRightInd w:val="0"/>
                    <w:snapToGrid w:val="0"/>
                    <w:jc w:val="center"/>
                    <w:textAlignment w:val="center"/>
                    <w:rPr>
                      <w:rFonts w:hint="default" w:eastAsia="宋体"/>
                      <w:b/>
                      <w:bCs/>
                      <w:color w:val="auto"/>
                      <w:szCs w:val="21"/>
                      <w:lang w:val="en-US" w:eastAsia="zh-CN"/>
                    </w:rPr>
                  </w:pPr>
                  <w:r>
                    <w:rPr>
                      <w:rFonts w:hint="eastAsia"/>
                      <w:b/>
                      <w:bCs/>
                      <w:color w:val="auto"/>
                      <w:szCs w:val="21"/>
                      <w:lang w:val="en-US" w:eastAsia="zh-CN"/>
                    </w:rPr>
                    <w:t>任务</w:t>
                  </w:r>
                </w:p>
              </w:tc>
              <w:tc>
                <w:tcPr>
                  <w:tcW w:w="4324" w:type="dxa"/>
                  <w:tcBorders>
                    <w:tl2br w:val="nil"/>
                    <w:tr2bl w:val="nil"/>
                  </w:tcBorders>
                  <w:vAlign w:val="center"/>
                </w:tcPr>
                <w:p w14:paraId="1531D3D8">
                  <w:pPr>
                    <w:widowControl/>
                    <w:adjustRightInd w:val="0"/>
                    <w:snapToGrid w:val="0"/>
                    <w:jc w:val="center"/>
                    <w:textAlignment w:val="center"/>
                    <w:rPr>
                      <w:rFonts w:hint="eastAsia"/>
                      <w:b/>
                      <w:bCs/>
                      <w:color w:val="auto"/>
                      <w:szCs w:val="21"/>
                    </w:rPr>
                  </w:pPr>
                  <w:r>
                    <w:rPr>
                      <w:rFonts w:hint="eastAsia"/>
                      <w:b/>
                      <w:bCs/>
                      <w:color w:val="auto"/>
                      <w:szCs w:val="21"/>
                      <w:lang w:val="en-US" w:eastAsia="zh-CN"/>
                    </w:rPr>
                    <w:t>文件</w:t>
                  </w:r>
                  <w:r>
                    <w:rPr>
                      <w:rFonts w:hint="eastAsia"/>
                      <w:b/>
                      <w:bCs/>
                      <w:color w:val="auto"/>
                      <w:szCs w:val="21"/>
                    </w:rPr>
                    <w:t>要求</w:t>
                  </w:r>
                </w:p>
              </w:tc>
              <w:tc>
                <w:tcPr>
                  <w:tcW w:w="1640" w:type="dxa"/>
                  <w:tcBorders>
                    <w:tl2br w:val="nil"/>
                    <w:tr2bl w:val="nil"/>
                  </w:tcBorders>
                  <w:vAlign w:val="center"/>
                </w:tcPr>
                <w:p w14:paraId="08C2BC1D">
                  <w:pPr>
                    <w:widowControl/>
                    <w:adjustRightInd w:val="0"/>
                    <w:snapToGrid w:val="0"/>
                    <w:jc w:val="center"/>
                    <w:textAlignment w:val="center"/>
                    <w:rPr>
                      <w:b/>
                      <w:bCs/>
                      <w:color w:val="auto"/>
                      <w:szCs w:val="21"/>
                    </w:rPr>
                  </w:pPr>
                  <w:r>
                    <w:rPr>
                      <w:b/>
                      <w:bCs/>
                      <w:color w:val="auto"/>
                      <w:szCs w:val="21"/>
                    </w:rPr>
                    <w:t>本项目情况</w:t>
                  </w:r>
                </w:p>
              </w:tc>
              <w:tc>
                <w:tcPr>
                  <w:tcW w:w="785" w:type="dxa"/>
                  <w:tcBorders>
                    <w:tl2br w:val="nil"/>
                    <w:tr2bl w:val="nil"/>
                  </w:tcBorders>
                  <w:vAlign w:val="center"/>
                </w:tcPr>
                <w:p w14:paraId="7F444A4E">
                  <w:pPr>
                    <w:widowControl/>
                    <w:adjustRightInd w:val="0"/>
                    <w:snapToGrid w:val="0"/>
                    <w:jc w:val="center"/>
                    <w:textAlignment w:val="center"/>
                    <w:rPr>
                      <w:b/>
                      <w:bCs/>
                      <w:color w:val="auto"/>
                      <w:szCs w:val="21"/>
                    </w:rPr>
                  </w:pPr>
                  <w:r>
                    <w:rPr>
                      <w:b/>
                      <w:bCs/>
                      <w:color w:val="auto"/>
                      <w:szCs w:val="21"/>
                    </w:rPr>
                    <w:t>相符性</w:t>
                  </w:r>
                </w:p>
              </w:tc>
            </w:tr>
            <w:tr w14:paraId="6D40E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99" w:hRule="atLeast"/>
              </w:trPr>
              <w:tc>
                <w:tcPr>
                  <w:tcW w:w="769" w:type="dxa"/>
                  <w:vMerge w:val="restart"/>
                  <w:tcBorders>
                    <w:tl2br w:val="nil"/>
                    <w:tr2bl w:val="nil"/>
                  </w:tcBorders>
                  <w:vAlign w:val="center"/>
                </w:tcPr>
                <w:p w14:paraId="7B649FE9">
                  <w:pPr>
                    <w:widowControl/>
                    <w:adjustRightInd w:val="0"/>
                    <w:snapToGrid w:val="0"/>
                    <w:jc w:val="left"/>
                    <w:textAlignment w:val="center"/>
                    <w:rPr>
                      <w:rFonts w:hint="eastAsia"/>
                      <w:color w:val="auto"/>
                      <w:szCs w:val="21"/>
                      <w:lang w:val="en-US" w:eastAsia="zh-CN"/>
                    </w:rPr>
                  </w:pPr>
                </w:p>
                <w:p w14:paraId="1FE29973">
                  <w:pPr>
                    <w:widowControl/>
                    <w:adjustRightInd w:val="0"/>
                    <w:snapToGrid w:val="0"/>
                    <w:jc w:val="left"/>
                    <w:textAlignment w:val="center"/>
                    <w:rPr>
                      <w:rFonts w:hint="eastAsia"/>
                      <w:color w:val="auto"/>
                      <w:szCs w:val="21"/>
                      <w:lang w:val="en-US" w:eastAsia="zh-CN"/>
                    </w:rPr>
                  </w:pPr>
                </w:p>
                <w:p w14:paraId="2CB5E622">
                  <w:pPr>
                    <w:widowControl/>
                    <w:adjustRightInd w:val="0"/>
                    <w:snapToGrid w:val="0"/>
                    <w:jc w:val="left"/>
                    <w:textAlignment w:val="center"/>
                    <w:rPr>
                      <w:rFonts w:hint="eastAsia"/>
                      <w:color w:val="auto"/>
                      <w:szCs w:val="21"/>
                      <w:lang w:val="en-US" w:eastAsia="zh-CN"/>
                    </w:rPr>
                  </w:pPr>
                </w:p>
                <w:p w14:paraId="32FF8306">
                  <w:pPr>
                    <w:widowControl/>
                    <w:adjustRightInd w:val="0"/>
                    <w:snapToGrid w:val="0"/>
                    <w:jc w:val="left"/>
                    <w:textAlignment w:val="center"/>
                    <w:rPr>
                      <w:rFonts w:hint="eastAsia"/>
                      <w:color w:val="auto"/>
                      <w:szCs w:val="21"/>
                      <w:lang w:val="en-US" w:eastAsia="zh-CN"/>
                    </w:rPr>
                  </w:pPr>
                </w:p>
                <w:p w14:paraId="6BAA70C2">
                  <w:pPr>
                    <w:widowControl/>
                    <w:adjustRightInd w:val="0"/>
                    <w:snapToGrid w:val="0"/>
                    <w:jc w:val="left"/>
                    <w:textAlignment w:val="center"/>
                    <w:rPr>
                      <w:rFonts w:hint="eastAsia"/>
                      <w:color w:val="auto"/>
                      <w:szCs w:val="21"/>
                      <w:lang w:val="en-US" w:eastAsia="zh-CN"/>
                    </w:rPr>
                  </w:pPr>
                </w:p>
                <w:p w14:paraId="53FA3064">
                  <w:pPr>
                    <w:widowControl/>
                    <w:adjustRightInd w:val="0"/>
                    <w:snapToGrid w:val="0"/>
                    <w:jc w:val="left"/>
                    <w:textAlignment w:val="center"/>
                    <w:rPr>
                      <w:rFonts w:hint="eastAsia"/>
                      <w:color w:val="auto"/>
                      <w:szCs w:val="21"/>
                      <w:lang w:val="en-US" w:eastAsia="zh-CN"/>
                    </w:rPr>
                  </w:pPr>
                </w:p>
                <w:p w14:paraId="29361DAA">
                  <w:pPr>
                    <w:widowControl/>
                    <w:adjustRightInd w:val="0"/>
                    <w:snapToGrid w:val="0"/>
                    <w:jc w:val="left"/>
                    <w:textAlignment w:val="center"/>
                    <w:rPr>
                      <w:color w:val="auto"/>
                      <w:szCs w:val="21"/>
                    </w:rPr>
                  </w:pPr>
                  <w:r>
                    <w:rPr>
                      <w:rFonts w:hint="eastAsia"/>
                      <w:color w:val="auto"/>
                      <w:szCs w:val="21"/>
                      <w:lang w:val="en-US" w:eastAsia="zh-CN"/>
                    </w:rPr>
                    <w:t>（一）提高行业创新能力</w:t>
                  </w:r>
                  <w:r>
                    <w:rPr>
                      <w:rFonts w:hint="eastAsia"/>
                      <w:color w:val="auto"/>
                      <w:szCs w:val="21"/>
                    </w:rPr>
                    <w:t xml:space="preserve"> </w:t>
                  </w:r>
                </w:p>
                <w:p w14:paraId="20BA7802">
                  <w:pPr>
                    <w:widowControl/>
                    <w:adjustRightInd w:val="0"/>
                    <w:snapToGrid w:val="0"/>
                    <w:jc w:val="left"/>
                    <w:textAlignment w:val="center"/>
                    <w:rPr>
                      <w:color w:val="auto"/>
                      <w:szCs w:val="21"/>
                    </w:rPr>
                  </w:pPr>
                </w:p>
              </w:tc>
              <w:tc>
                <w:tcPr>
                  <w:tcW w:w="4324" w:type="dxa"/>
                  <w:tcBorders>
                    <w:tl2br w:val="nil"/>
                    <w:tr2bl w:val="nil"/>
                  </w:tcBorders>
                  <w:vAlign w:val="center"/>
                </w:tcPr>
                <w:p w14:paraId="51B2716F">
                  <w:pPr>
                    <w:widowControl/>
                    <w:adjustRightInd w:val="0"/>
                    <w:snapToGrid w:val="0"/>
                    <w:jc w:val="left"/>
                    <w:textAlignment w:val="center"/>
                    <w:rPr>
                      <w:color w:val="auto"/>
                      <w:szCs w:val="21"/>
                    </w:rPr>
                  </w:pPr>
                  <w:r>
                    <w:rPr>
                      <w:color w:val="auto"/>
                      <w:szCs w:val="21"/>
                    </w:rPr>
                    <w:t>2.</w:t>
                  </w:r>
                  <w:r>
                    <w:rPr>
                      <w:rFonts w:hint="eastAsia"/>
                      <w:color w:val="auto"/>
                      <w:szCs w:val="21"/>
                    </w:rPr>
                    <w:t>发展先进铸造工艺与装备。重点发展高紧实度粘土砂自动化造型、高效自硬砂铸造、精密组芯造型、壳型铸造、离心铸造、金属型铸造、铁模覆砂、消失模</w:t>
                  </w:r>
                  <w:r>
                    <w:rPr>
                      <w:color w:val="auto"/>
                      <w:szCs w:val="21"/>
                    </w:rPr>
                    <w:t>/V</w:t>
                  </w:r>
                  <w:r>
                    <w:rPr>
                      <w:rFonts w:hint="eastAsia"/>
                      <w:color w:val="auto"/>
                      <w:szCs w:val="21"/>
                    </w:rPr>
                    <w:t>法</w:t>
                  </w:r>
                  <w:r>
                    <w:rPr>
                      <w:color w:val="auto"/>
                      <w:szCs w:val="21"/>
                    </w:rPr>
                    <w:t>/</w:t>
                  </w:r>
                  <w:r>
                    <w:rPr>
                      <w:rFonts w:hint="eastAsia"/>
                      <w:color w:val="auto"/>
                      <w:szCs w:val="21"/>
                    </w:rPr>
                    <w:t>实型铸造、轻合金高压</w:t>
                  </w:r>
                  <w:r>
                    <w:rPr>
                      <w:color w:val="auto"/>
                      <w:szCs w:val="21"/>
                    </w:rPr>
                    <w:t>/</w:t>
                  </w:r>
                  <w:r>
                    <w:rPr>
                      <w:rFonts w:hint="eastAsia"/>
                      <w:color w:val="auto"/>
                      <w:szCs w:val="21"/>
                    </w:rPr>
                    <w:t>挤压</w:t>
                  </w:r>
                  <w:r>
                    <w:rPr>
                      <w:color w:val="auto"/>
                      <w:szCs w:val="21"/>
                    </w:rPr>
                    <w:t>/</w:t>
                  </w:r>
                  <w:r>
                    <w:rPr>
                      <w:rFonts w:hint="eastAsia"/>
                      <w:color w:val="auto"/>
                      <w:szCs w:val="21"/>
                    </w:rPr>
                    <w:t>差压</w:t>
                  </w:r>
                  <w:r>
                    <w:rPr>
                      <w:color w:val="auto"/>
                      <w:szCs w:val="21"/>
                    </w:rPr>
                    <w:t>/</w:t>
                  </w:r>
                  <w:r>
                    <w:rPr>
                      <w:rFonts w:hint="eastAsia"/>
                      <w:color w:val="auto"/>
                      <w:szCs w:val="21"/>
                    </w:rPr>
                    <w:t>低压</w:t>
                  </w:r>
                  <w:r>
                    <w:rPr>
                      <w:color w:val="auto"/>
                      <w:szCs w:val="21"/>
                    </w:rPr>
                    <w:t>/</w:t>
                  </w:r>
                  <w:r>
                    <w:rPr>
                      <w:rFonts w:hint="eastAsia"/>
                      <w:color w:val="auto"/>
                      <w:szCs w:val="21"/>
                    </w:rPr>
                    <w:t>半固态</w:t>
                  </w:r>
                  <w:r>
                    <w:rPr>
                      <w:color w:val="auto"/>
                      <w:szCs w:val="21"/>
                    </w:rPr>
                    <w:t>/</w:t>
                  </w:r>
                  <w:r>
                    <w:rPr>
                      <w:rFonts w:hint="eastAsia"/>
                      <w:color w:val="auto"/>
                      <w:szCs w:val="21"/>
                    </w:rPr>
                    <w:t>调压铸造、硅溶胶熔模铸造、短流程铸造、砂型</w:t>
                  </w:r>
                  <w:r>
                    <w:rPr>
                      <w:color w:val="auto"/>
                      <w:szCs w:val="21"/>
                    </w:rPr>
                    <w:t>3D</w:t>
                  </w:r>
                  <w:r>
                    <w:rPr>
                      <w:rFonts w:hint="eastAsia"/>
                      <w:color w:val="auto"/>
                      <w:szCs w:val="21"/>
                    </w:rPr>
                    <w:t xml:space="preserve">打印等先进铸造工艺与装备。 </w:t>
                  </w:r>
                </w:p>
              </w:tc>
              <w:tc>
                <w:tcPr>
                  <w:tcW w:w="1640" w:type="dxa"/>
                  <w:tcBorders>
                    <w:tl2br w:val="nil"/>
                    <w:tr2bl w:val="nil"/>
                  </w:tcBorders>
                  <w:vAlign w:val="center"/>
                </w:tcPr>
                <w:p w14:paraId="27439617">
                  <w:pPr>
                    <w:widowControl/>
                    <w:adjustRightInd w:val="0"/>
                    <w:snapToGrid w:val="0"/>
                    <w:jc w:val="center"/>
                    <w:textAlignment w:val="center"/>
                    <w:rPr>
                      <w:color w:val="auto"/>
                      <w:szCs w:val="21"/>
                    </w:rPr>
                  </w:pPr>
                  <w:r>
                    <w:rPr>
                      <w:rFonts w:hint="eastAsia"/>
                      <w:color w:val="auto"/>
                      <w:szCs w:val="21"/>
                    </w:rPr>
                    <w:t>本项目</w:t>
                  </w:r>
                  <w:r>
                    <w:rPr>
                      <w:rFonts w:hint="eastAsia"/>
                      <w:color w:val="auto"/>
                      <w:szCs w:val="21"/>
                      <w:lang w:val="en-US" w:eastAsia="zh-CN"/>
                    </w:rPr>
                    <w:t>铸造工艺为</w:t>
                  </w:r>
                  <w:r>
                    <w:rPr>
                      <w:rFonts w:hint="eastAsia"/>
                      <w:color w:val="auto"/>
                      <w:szCs w:val="21"/>
                    </w:rPr>
                    <w:t>金属型铸造</w:t>
                  </w:r>
                  <w:r>
                    <w:rPr>
                      <w:rFonts w:hint="eastAsia"/>
                      <w:color w:val="auto"/>
                      <w:szCs w:val="21"/>
                      <w:lang w:eastAsia="zh-CN"/>
                    </w:rPr>
                    <w:t>（</w:t>
                  </w:r>
                  <w:r>
                    <w:rPr>
                      <w:rFonts w:hint="eastAsia"/>
                      <w:color w:val="auto"/>
                      <w:szCs w:val="21"/>
                      <w:lang w:val="en-US" w:eastAsia="zh-CN"/>
                    </w:rPr>
                    <w:t>覆膜砂干芯</w:t>
                  </w:r>
                  <w:r>
                    <w:rPr>
                      <w:rFonts w:hint="eastAsia"/>
                      <w:color w:val="auto"/>
                      <w:szCs w:val="21"/>
                      <w:lang w:eastAsia="zh-CN"/>
                    </w:rPr>
                    <w:t>）</w:t>
                  </w:r>
                  <w:r>
                    <w:rPr>
                      <w:rFonts w:hint="eastAsia"/>
                      <w:color w:val="auto"/>
                      <w:szCs w:val="21"/>
                      <w:lang w:val="en-US" w:eastAsia="zh-CN"/>
                    </w:rPr>
                    <w:t>工艺</w:t>
                  </w:r>
                  <w:r>
                    <w:rPr>
                      <w:rFonts w:hint="eastAsia"/>
                      <w:color w:val="auto"/>
                      <w:szCs w:val="21"/>
                    </w:rPr>
                    <w:t>，不属于淘汰类铸造工艺与装备。</w:t>
                  </w:r>
                </w:p>
              </w:tc>
              <w:tc>
                <w:tcPr>
                  <w:tcW w:w="785" w:type="dxa"/>
                  <w:tcBorders>
                    <w:tl2br w:val="nil"/>
                    <w:tr2bl w:val="nil"/>
                  </w:tcBorders>
                  <w:vAlign w:val="center"/>
                </w:tcPr>
                <w:p w14:paraId="62388B06">
                  <w:pPr>
                    <w:widowControl/>
                    <w:adjustRightInd w:val="0"/>
                    <w:snapToGrid w:val="0"/>
                    <w:jc w:val="center"/>
                    <w:textAlignment w:val="center"/>
                    <w:rPr>
                      <w:color w:val="auto"/>
                      <w:szCs w:val="21"/>
                    </w:rPr>
                  </w:pPr>
                  <w:r>
                    <w:rPr>
                      <w:color w:val="auto"/>
                      <w:szCs w:val="21"/>
                    </w:rPr>
                    <w:t>符合</w:t>
                  </w:r>
                </w:p>
              </w:tc>
            </w:tr>
            <w:tr w14:paraId="230BD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63" w:hRule="atLeast"/>
              </w:trPr>
              <w:tc>
                <w:tcPr>
                  <w:tcW w:w="769" w:type="dxa"/>
                  <w:vMerge w:val="continue"/>
                  <w:tcBorders>
                    <w:tl2br w:val="nil"/>
                    <w:tr2bl w:val="nil"/>
                  </w:tcBorders>
                  <w:vAlign w:val="center"/>
                </w:tcPr>
                <w:p w14:paraId="12070A67">
                  <w:pPr>
                    <w:widowControl/>
                    <w:adjustRightInd w:val="0"/>
                    <w:snapToGrid w:val="0"/>
                    <w:jc w:val="left"/>
                    <w:textAlignment w:val="center"/>
                    <w:rPr>
                      <w:color w:val="auto"/>
                      <w:szCs w:val="21"/>
                    </w:rPr>
                  </w:pPr>
                </w:p>
              </w:tc>
              <w:tc>
                <w:tcPr>
                  <w:tcW w:w="4324" w:type="dxa"/>
                  <w:tcBorders>
                    <w:tl2br w:val="nil"/>
                    <w:tr2bl w:val="nil"/>
                  </w:tcBorders>
                  <w:vAlign w:val="center"/>
                </w:tcPr>
                <w:p w14:paraId="7B82BF01">
                  <w:pPr>
                    <w:widowControl/>
                    <w:adjustRightInd w:val="0"/>
                    <w:snapToGrid w:val="0"/>
                    <w:jc w:val="left"/>
                    <w:textAlignment w:val="center"/>
                    <w:rPr>
                      <w:color w:val="auto"/>
                      <w:szCs w:val="21"/>
                    </w:rPr>
                  </w:pPr>
                  <w:r>
                    <w:rPr>
                      <w:rFonts w:hint="eastAsia"/>
                      <w:color w:val="auto"/>
                      <w:szCs w:val="21"/>
                    </w:rPr>
                    <w:t>3.发展先进锻压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w:t>
                  </w:r>
                </w:p>
              </w:tc>
              <w:tc>
                <w:tcPr>
                  <w:tcW w:w="1640" w:type="dxa"/>
                  <w:tcBorders>
                    <w:tl2br w:val="nil"/>
                    <w:tr2bl w:val="nil"/>
                  </w:tcBorders>
                  <w:vAlign w:val="center"/>
                </w:tcPr>
                <w:p w14:paraId="3928FD22">
                  <w:pPr>
                    <w:widowControl/>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本项目不属于锻压项目。</w:t>
                  </w:r>
                </w:p>
              </w:tc>
              <w:tc>
                <w:tcPr>
                  <w:tcW w:w="785" w:type="dxa"/>
                  <w:tcBorders>
                    <w:tl2br w:val="nil"/>
                    <w:tr2bl w:val="nil"/>
                  </w:tcBorders>
                  <w:vAlign w:val="center"/>
                </w:tcPr>
                <w:p w14:paraId="05A759CF">
                  <w:pPr>
                    <w:widowControl/>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符合</w:t>
                  </w:r>
                </w:p>
              </w:tc>
            </w:tr>
            <w:tr w14:paraId="583C4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47" w:hRule="atLeast"/>
              </w:trPr>
              <w:tc>
                <w:tcPr>
                  <w:tcW w:w="769" w:type="dxa"/>
                  <w:vMerge w:val="restart"/>
                  <w:tcBorders>
                    <w:tl2br w:val="nil"/>
                    <w:tr2bl w:val="nil"/>
                  </w:tcBorders>
                  <w:vAlign w:val="center"/>
                </w:tcPr>
                <w:p w14:paraId="52D0A9F8">
                  <w:pPr>
                    <w:widowControl/>
                    <w:adjustRightInd w:val="0"/>
                    <w:snapToGrid w:val="0"/>
                    <w:jc w:val="center"/>
                    <w:textAlignment w:val="center"/>
                    <w:rPr>
                      <w:rFonts w:hint="eastAsia"/>
                      <w:b w:val="0"/>
                      <w:bCs w:val="0"/>
                      <w:color w:val="auto"/>
                      <w:szCs w:val="22"/>
                      <w:lang w:eastAsia="zh-CN"/>
                    </w:rPr>
                  </w:pPr>
                </w:p>
                <w:p w14:paraId="22BC8C8D">
                  <w:pPr>
                    <w:widowControl/>
                    <w:adjustRightInd w:val="0"/>
                    <w:snapToGrid w:val="0"/>
                    <w:jc w:val="center"/>
                    <w:textAlignment w:val="center"/>
                    <w:rPr>
                      <w:rFonts w:hint="eastAsia"/>
                      <w:b w:val="0"/>
                      <w:bCs w:val="0"/>
                      <w:color w:val="auto"/>
                      <w:szCs w:val="22"/>
                      <w:lang w:eastAsia="zh-CN"/>
                    </w:rPr>
                  </w:pPr>
                </w:p>
                <w:p w14:paraId="6E8EBF54">
                  <w:pPr>
                    <w:widowControl/>
                    <w:adjustRightInd w:val="0"/>
                    <w:snapToGrid w:val="0"/>
                    <w:jc w:val="both"/>
                    <w:textAlignment w:val="center"/>
                    <w:rPr>
                      <w:b w:val="0"/>
                      <w:bCs w:val="0"/>
                      <w:color w:val="auto"/>
                      <w:szCs w:val="21"/>
                    </w:rPr>
                  </w:pPr>
                  <w:r>
                    <w:rPr>
                      <w:rFonts w:hint="eastAsia"/>
                      <w:b w:val="0"/>
                      <w:bCs w:val="0"/>
                      <w:color w:val="auto"/>
                      <w:szCs w:val="22"/>
                      <w:lang w:eastAsia="zh-CN"/>
                    </w:rPr>
                    <w:t>（</w:t>
                  </w:r>
                  <w:r>
                    <w:rPr>
                      <w:rFonts w:hint="eastAsia"/>
                      <w:b w:val="0"/>
                      <w:bCs w:val="0"/>
                      <w:color w:val="auto"/>
                      <w:szCs w:val="22"/>
                      <w:lang w:val="en-US" w:eastAsia="zh-CN"/>
                    </w:rPr>
                    <w:t>二</w:t>
                  </w:r>
                  <w:r>
                    <w:rPr>
                      <w:rFonts w:hint="eastAsia"/>
                      <w:b w:val="0"/>
                      <w:bCs w:val="0"/>
                      <w:color w:val="auto"/>
                      <w:szCs w:val="22"/>
                      <w:lang w:eastAsia="zh-CN"/>
                    </w:rPr>
                    <w:t>）</w:t>
                  </w:r>
                  <w:r>
                    <w:rPr>
                      <w:rFonts w:hint="eastAsia"/>
                      <w:b w:val="0"/>
                      <w:bCs w:val="0"/>
                      <w:color w:val="auto"/>
                      <w:szCs w:val="22"/>
                      <w:lang w:val="en-US" w:eastAsia="zh-CN"/>
                    </w:rPr>
                    <w:t>推进行业规范发展</w:t>
                  </w:r>
                  <w:r>
                    <w:rPr>
                      <w:rFonts w:hint="eastAsia"/>
                      <w:b w:val="0"/>
                      <w:bCs w:val="0"/>
                      <w:color w:val="auto"/>
                      <w:szCs w:val="21"/>
                    </w:rPr>
                    <w:t xml:space="preserve"> </w:t>
                  </w:r>
                </w:p>
                <w:p w14:paraId="1DF3B894">
                  <w:pPr>
                    <w:widowControl/>
                    <w:adjustRightInd w:val="0"/>
                    <w:snapToGrid w:val="0"/>
                    <w:jc w:val="center"/>
                    <w:textAlignment w:val="center"/>
                    <w:rPr>
                      <w:color w:val="auto"/>
                      <w:szCs w:val="21"/>
                    </w:rPr>
                  </w:pPr>
                </w:p>
              </w:tc>
              <w:tc>
                <w:tcPr>
                  <w:tcW w:w="4324" w:type="dxa"/>
                  <w:tcBorders>
                    <w:tl2br w:val="nil"/>
                    <w:tr2bl w:val="nil"/>
                  </w:tcBorders>
                  <w:vAlign w:val="center"/>
                </w:tcPr>
                <w:p w14:paraId="62A226FB">
                  <w:pPr>
                    <w:widowControl/>
                    <w:adjustRightInd w:val="0"/>
                    <w:snapToGrid w:val="0"/>
                    <w:jc w:val="left"/>
                    <w:textAlignment w:val="center"/>
                    <w:rPr>
                      <w:color w:val="auto"/>
                      <w:szCs w:val="21"/>
                    </w:rPr>
                  </w:pPr>
                  <w:r>
                    <w:rPr>
                      <w:rFonts w:hint="eastAsia"/>
                      <w:color w:val="auto"/>
                      <w:szCs w:val="21"/>
                    </w:rPr>
                    <w:t>1.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铸造企业不得采用无芯工频感应电炉、无磁轭</w:t>
                  </w:r>
                  <w:r>
                    <w:rPr>
                      <w:rFonts w:hint="eastAsia"/>
                      <w:color w:val="auto"/>
                      <w:szCs w:val="21"/>
                      <w:lang w:eastAsia="zh-CN"/>
                    </w:rPr>
                    <w:t>（</w:t>
                  </w:r>
                  <w:r>
                    <w:rPr>
                      <w:rFonts w:hint="eastAsia"/>
                      <w:color w:val="auto"/>
                      <w:szCs w:val="21"/>
                    </w:rPr>
                    <w:t>≥0.25吨</w:t>
                  </w:r>
                  <w:r>
                    <w:rPr>
                      <w:rFonts w:hint="eastAsia"/>
                      <w:color w:val="auto"/>
                      <w:szCs w:val="21"/>
                      <w:lang w:eastAsia="zh-CN"/>
                    </w:rPr>
                    <w:t>）</w:t>
                  </w:r>
                  <w:r>
                    <w:rPr>
                      <w:rFonts w:hint="eastAsia"/>
                      <w:color w:val="auto"/>
                      <w:szCs w:val="21"/>
                    </w:rPr>
                    <w:t>铝壳中频感应电炉、水玻璃熔模精密铸造氯化铵硬化模壳、铝合金六氯乙烷精炼等淘汰类工艺和装备。加快存量项目升级改造，推进企业合理选择低污染、低能耗、经济高效的先进工艺技术，提升行业竞争能力。强化铸造和锻压与装备制造业协同布局，引导具备条件的企业入园集聚发展，提升产业链供应链协同配套能力，构建布局合理、错位互补、供需联动、协同发展的产业格局。</w:t>
                  </w:r>
                </w:p>
              </w:tc>
              <w:tc>
                <w:tcPr>
                  <w:tcW w:w="1640" w:type="dxa"/>
                  <w:tcBorders>
                    <w:tl2br w:val="nil"/>
                    <w:tr2bl w:val="nil"/>
                  </w:tcBorders>
                  <w:vAlign w:val="center"/>
                </w:tcPr>
                <w:p w14:paraId="3E6E2074">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本项目不使用国家及地方限制、淘汰类工艺设备，选用先进的铸造设备，能效等级为一级。</w:t>
                  </w:r>
                </w:p>
              </w:tc>
              <w:tc>
                <w:tcPr>
                  <w:tcW w:w="785" w:type="dxa"/>
                  <w:tcBorders>
                    <w:tl2br w:val="nil"/>
                    <w:tr2bl w:val="nil"/>
                  </w:tcBorders>
                  <w:vAlign w:val="center"/>
                </w:tcPr>
                <w:p w14:paraId="029AF562">
                  <w:pPr>
                    <w:widowControl/>
                    <w:adjustRightInd w:val="0"/>
                    <w:snapToGrid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符合</w:t>
                  </w:r>
                </w:p>
              </w:tc>
            </w:tr>
            <w:tr w14:paraId="6B451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49" w:hRule="atLeast"/>
              </w:trPr>
              <w:tc>
                <w:tcPr>
                  <w:tcW w:w="769" w:type="dxa"/>
                  <w:vMerge w:val="continue"/>
                  <w:tcBorders>
                    <w:tl2br w:val="nil"/>
                    <w:tr2bl w:val="nil"/>
                  </w:tcBorders>
                  <w:vAlign w:val="center"/>
                </w:tcPr>
                <w:p w14:paraId="58F402BA">
                  <w:pPr>
                    <w:widowControl/>
                    <w:adjustRightInd w:val="0"/>
                    <w:snapToGrid w:val="0"/>
                    <w:jc w:val="center"/>
                    <w:textAlignment w:val="center"/>
                    <w:rPr>
                      <w:color w:val="auto"/>
                      <w:szCs w:val="21"/>
                    </w:rPr>
                  </w:pPr>
                </w:p>
              </w:tc>
              <w:tc>
                <w:tcPr>
                  <w:tcW w:w="4324" w:type="dxa"/>
                  <w:tcBorders>
                    <w:tl2br w:val="nil"/>
                    <w:tr2bl w:val="nil"/>
                  </w:tcBorders>
                  <w:vAlign w:val="center"/>
                </w:tcPr>
                <w:p w14:paraId="15BC56F2">
                  <w:pPr>
                    <w:widowControl/>
                    <w:adjustRightInd w:val="0"/>
                    <w:snapToGrid w:val="0"/>
                    <w:jc w:val="left"/>
                    <w:textAlignment w:val="center"/>
                    <w:rPr>
                      <w:rFonts w:hint="eastAsia"/>
                      <w:color w:val="auto"/>
                      <w:szCs w:val="21"/>
                    </w:rPr>
                  </w:pPr>
                  <w:r>
                    <w:rPr>
                      <w:rFonts w:hint="eastAsia"/>
                      <w:color w:val="auto"/>
                      <w:szCs w:val="21"/>
                    </w:rPr>
                    <w:t>2.支持高端项目建设。推动落实全国统一大市场建设，打通制约行业发展的关键堵点。引导各地结合实际谋划新建或改造升级的高端建设项目落地实施，支持企业围绕主机厂或重大项目配套生产，保障装备制造业产业链供应链安全稳定。严格审批新建、改扩建项目，确保项目备案、环评、排污许可、安评、节能审查等手续清晰、完备，项目建设符合国家相关法律法规标准要求。严格落实主要污染物排放总量控制、能源消耗总量和强度调控制度，坚决遏制不符合要求的项目盲目发展和低水平重复建设，防止产能盲目扩张，切实推进产业结构优化升级。</w:t>
                  </w:r>
                </w:p>
              </w:tc>
              <w:tc>
                <w:tcPr>
                  <w:tcW w:w="1640" w:type="dxa"/>
                  <w:tcBorders>
                    <w:tl2br w:val="nil"/>
                    <w:tr2bl w:val="nil"/>
                  </w:tcBorders>
                  <w:vAlign w:val="center"/>
                </w:tcPr>
                <w:p w14:paraId="343D87C5">
                  <w:pPr>
                    <w:widowControl/>
                    <w:adjustRightInd w:val="0"/>
                    <w:snapToGrid w:val="0"/>
                    <w:jc w:val="center"/>
                    <w:textAlignment w:val="center"/>
                    <w:rPr>
                      <w:rFonts w:hint="default"/>
                      <w:color w:val="auto"/>
                      <w:szCs w:val="21"/>
                      <w:lang w:val="en-US" w:eastAsia="zh-CN"/>
                    </w:rPr>
                  </w:pPr>
                  <w:r>
                    <w:rPr>
                      <w:rFonts w:hint="eastAsia"/>
                      <w:color w:val="auto"/>
                      <w:szCs w:val="21"/>
                      <w:lang w:val="en-US" w:eastAsia="zh-CN"/>
                    </w:rPr>
                    <w:t>本项目属于C3392有色金属铸造，项目将严格执行项目备案、环评、排污许可、安评、节能审查等手续；严格落实主要污染物排放总量控制、能源消耗总量和强度调控制度。</w:t>
                  </w:r>
                </w:p>
              </w:tc>
              <w:tc>
                <w:tcPr>
                  <w:tcW w:w="785" w:type="dxa"/>
                  <w:tcBorders>
                    <w:tl2br w:val="nil"/>
                    <w:tr2bl w:val="nil"/>
                  </w:tcBorders>
                  <w:vAlign w:val="center"/>
                </w:tcPr>
                <w:p w14:paraId="19092635">
                  <w:pPr>
                    <w:widowControl/>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符合</w:t>
                  </w:r>
                </w:p>
              </w:tc>
            </w:tr>
            <w:tr w14:paraId="48645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769" w:type="dxa"/>
                  <w:vMerge w:val="restart"/>
                  <w:tcBorders>
                    <w:tl2br w:val="nil"/>
                    <w:tr2bl w:val="nil"/>
                  </w:tcBorders>
                  <w:vAlign w:val="center"/>
                </w:tcPr>
                <w:p w14:paraId="2C889E3D">
                  <w:pPr>
                    <w:widowControl/>
                    <w:adjustRightInd w:val="0"/>
                    <w:snapToGrid w:val="0"/>
                    <w:jc w:val="center"/>
                    <w:textAlignment w:val="center"/>
                    <w:rPr>
                      <w:rFonts w:hint="eastAsia"/>
                      <w:color w:val="auto"/>
                      <w:szCs w:val="21"/>
                      <w:lang w:eastAsia="zh-CN"/>
                    </w:rPr>
                  </w:pPr>
                </w:p>
                <w:p w14:paraId="210F72DA">
                  <w:pPr>
                    <w:widowControl/>
                    <w:adjustRightInd w:val="0"/>
                    <w:snapToGrid w:val="0"/>
                    <w:jc w:val="center"/>
                    <w:textAlignment w:val="center"/>
                    <w:rPr>
                      <w:rFonts w:hint="eastAsia"/>
                      <w:color w:val="auto"/>
                      <w:szCs w:val="21"/>
                      <w:lang w:eastAsia="zh-CN"/>
                    </w:rPr>
                  </w:pPr>
                </w:p>
                <w:p w14:paraId="077BE378">
                  <w:pPr>
                    <w:widowControl/>
                    <w:adjustRightInd w:val="0"/>
                    <w:snapToGrid w:val="0"/>
                    <w:jc w:val="center"/>
                    <w:textAlignment w:val="center"/>
                    <w:rPr>
                      <w:rFonts w:hint="eastAsia"/>
                      <w:color w:val="auto"/>
                      <w:szCs w:val="21"/>
                      <w:lang w:eastAsia="zh-CN"/>
                    </w:rPr>
                  </w:pPr>
                </w:p>
                <w:p w14:paraId="76A86DE2">
                  <w:pPr>
                    <w:widowControl/>
                    <w:adjustRightInd w:val="0"/>
                    <w:snapToGrid w:val="0"/>
                    <w:jc w:val="center"/>
                    <w:textAlignment w:val="center"/>
                    <w:rPr>
                      <w:rFonts w:hint="eastAsia"/>
                      <w:color w:val="auto"/>
                      <w:szCs w:val="21"/>
                      <w:lang w:eastAsia="zh-CN"/>
                    </w:rPr>
                  </w:pPr>
                </w:p>
                <w:p w14:paraId="392E7609">
                  <w:pPr>
                    <w:widowControl/>
                    <w:adjustRightInd w:val="0"/>
                    <w:snapToGrid w:val="0"/>
                    <w:jc w:val="center"/>
                    <w:textAlignment w:val="center"/>
                    <w:rPr>
                      <w:rFonts w:hint="eastAsia"/>
                      <w:color w:val="auto"/>
                      <w:szCs w:val="21"/>
                      <w:lang w:eastAsia="zh-CN"/>
                    </w:rPr>
                  </w:pPr>
                </w:p>
                <w:p w14:paraId="1B1FAFAA">
                  <w:pPr>
                    <w:widowControl/>
                    <w:adjustRightInd w:val="0"/>
                    <w:snapToGrid w:val="0"/>
                    <w:jc w:val="center"/>
                    <w:textAlignment w:val="center"/>
                    <w:rPr>
                      <w:rFonts w:hint="eastAsia"/>
                      <w:color w:val="auto"/>
                      <w:szCs w:val="21"/>
                      <w:lang w:eastAsia="zh-CN"/>
                    </w:rPr>
                  </w:pPr>
                </w:p>
                <w:p w14:paraId="79B26833">
                  <w:pPr>
                    <w:widowControl/>
                    <w:adjustRightInd w:val="0"/>
                    <w:snapToGrid w:val="0"/>
                    <w:jc w:val="center"/>
                    <w:textAlignment w:val="center"/>
                    <w:rPr>
                      <w:rFonts w:hint="eastAsia"/>
                      <w:color w:val="auto"/>
                      <w:szCs w:val="21"/>
                      <w:lang w:eastAsia="zh-CN"/>
                    </w:rPr>
                  </w:pPr>
                </w:p>
                <w:p w14:paraId="1CC6288C">
                  <w:pPr>
                    <w:widowControl/>
                    <w:adjustRightInd w:val="0"/>
                    <w:snapToGrid w:val="0"/>
                    <w:jc w:val="center"/>
                    <w:textAlignment w:val="center"/>
                    <w:rPr>
                      <w:rFonts w:hint="eastAsia"/>
                      <w:color w:val="auto"/>
                      <w:szCs w:val="21"/>
                      <w:lang w:eastAsia="zh-CN"/>
                    </w:rPr>
                  </w:pPr>
                </w:p>
                <w:p w14:paraId="37F26013">
                  <w:pPr>
                    <w:widowControl/>
                    <w:adjustRightInd w:val="0"/>
                    <w:snapToGrid w:val="0"/>
                    <w:jc w:val="center"/>
                    <w:textAlignment w:val="center"/>
                    <w:rPr>
                      <w:rFonts w:hint="eastAsia"/>
                      <w:color w:val="auto"/>
                      <w:szCs w:val="21"/>
                      <w:lang w:eastAsia="zh-CN"/>
                    </w:rPr>
                  </w:pPr>
                </w:p>
                <w:p w14:paraId="52B7D750">
                  <w:pPr>
                    <w:widowControl/>
                    <w:adjustRightInd w:val="0"/>
                    <w:snapToGrid w:val="0"/>
                    <w:jc w:val="center"/>
                    <w:textAlignment w:val="center"/>
                    <w:rPr>
                      <w:rFonts w:hint="eastAsia"/>
                      <w:color w:val="auto"/>
                      <w:szCs w:val="21"/>
                      <w:lang w:eastAsia="zh-CN"/>
                    </w:rPr>
                  </w:pPr>
                </w:p>
                <w:p w14:paraId="40B44586">
                  <w:pPr>
                    <w:widowControl/>
                    <w:adjustRightInd w:val="0"/>
                    <w:snapToGrid w:val="0"/>
                    <w:jc w:val="center"/>
                    <w:textAlignment w:val="center"/>
                    <w:rPr>
                      <w:rFonts w:hint="eastAsia"/>
                      <w:color w:val="auto"/>
                      <w:szCs w:val="21"/>
                      <w:lang w:eastAsia="zh-CN"/>
                    </w:rPr>
                  </w:pPr>
                </w:p>
                <w:p w14:paraId="61BEE14D">
                  <w:pPr>
                    <w:widowControl/>
                    <w:adjustRightInd w:val="0"/>
                    <w:snapToGrid w:val="0"/>
                    <w:jc w:val="center"/>
                    <w:textAlignment w:val="center"/>
                    <w:rPr>
                      <w:rFonts w:hint="eastAsia"/>
                      <w:color w:val="auto"/>
                      <w:szCs w:val="21"/>
                      <w:lang w:eastAsia="zh-CN"/>
                    </w:rPr>
                  </w:pPr>
                </w:p>
                <w:p w14:paraId="3E609CA6">
                  <w:pPr>
                    <w:widowControl/>
                    <w:adjustRightInd w:val="0"/>
                    <w:snapToGrid w:val="0"/>
                    <w:jc w:val="center"/>
                    <w:textAlignment w:val="center"/>
                    <w:rPr>
                      <w:rFonts w:hint="eastAsia"/>
                      <w:color w:val="auto"/>
                      <w:szCs w:val="21"/>
                      <w:lang w:eastAsia="zh-CN"/>
                    </w:rPr>
                  </w:pPr>
                </w:p>
                <w:p w14:paraId="3F8BB9EF">
                  <w:pPr>
                    <w:widowControl/>
                    <w:adjustRightInd w:val="0"/>
                    <w:snapToGrid w:val="0"/>
                    <w:jc w:val="center"/>
                    <w:textAlignment w:val="center"/>
                    <w:rPr>
                      <w:rFonts w:hint="eastAsia"/>
                      <w:color w:val="auto"/>
                      <w:szCs w:val="21"/>
                      <w:lang w:eastAsia="zh-CN"/>
                    </w:rPr>
                  </w:pPr>
                </w:p>
                <w:p w14:paraId="1811094A">
                  <w:pPr>
                    <w:widowControl/>
                    <w:adjustRightInd w:val="0"/>
                    <w:snapToGrid w:val="0"/>
                    <w:jc w:val="center"/>
                    <w:textAlignment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三</w:t>
                  </w:r>
                  <w:r>
                    <w:rPr>
                      <w:rFonts w:hint="eastAsia"/>
                      <w:color w:val="auto"/>
                      <w:szCs w:val="21"/>
                      <w:lang w:eastAsia="zh-CN"/>
                    </w:rPr>
                    <w:t>）</w:t>
                  </w:r>
                  <w:r>
                    <w:rPr>
                      <w:rFonts w:hint="eastAsia"/>
                      <w:color w:val="auto"/>
                      <w:szCs w:val="21"/>
                      <w:lang w:val="en-US" w:eastAsia="zh-CN"/>
                    </w:rPr>
                    <w:t>加快行业绿色发展</w:t>
                  </w:r>
                </w:p>
              </w:tc>
              <w:tc>
                <w:tcPr>
                  <w:tcW w:w="4324" w:type="dxa"/>
                  <w:tcBorders>
                    <w:tl2br w:val="nil"/>
                    <w:tr2bl w:val="nil"/>
                  </w:tcBorders>
                  <w:vAlign w:val="center"/>
                </w:tcPr>
                <w:p w14:paraId="6A6BBEA0">
                  <w:pPr>
                    <w:widowControl/>
                    <w:adjustRightInd w:val="0"/>
                    <w:snapToGrid w:val="0"/>
                    <w:jc w:val="left"/>
                    <w:textAlignment w:val="center"/>
                    <w:rPr>
                      <w:rFonts w:hint="eastAsia"/>
                      <w:color w:val="auto"/>
                      <w:szCs w:val="21"/>
                    </w:rPr>
                  </w:pPr>
                  <w:r>
                    <w:rPr>
                      <w:rFonts w:hint="eastAsia"/>
                      <w:color w:val="auto"/>
                      <w:szCs w:val="21"/>
                    </w:rPr>
                    <w:t>1.加快绿色低碳转型。推进绿色方式贯穿铸造和锻压生产全流程，开发绿色原辅材料、推广绿色工艺、建设绿色工厂、发展绿色园区，深入推进园区循环化改造。推动企业依法披露环境信息，接受社会监督。积极开展清洁生产，做好节能监察执法、节能诊断服务工作，深入挖掘节能潜力。鼓励企业采用高效节能熔炼、热处理等设备，提高余热利用水平。推广短流程铸造，鼓励铸造行业冲天炉</w:t>
                  </w:r>
                  <w:r>
                    <w:rPr>
                      <w:rFonts w:hint="eastAsia"/>
                      <w:color w:val="auto"/>
                      <w:szCs w:val="21"/>
                      <w:lang w:eastAsia="zh-CN"/>
                    </w:rPr>
                    <w:t>（</w:t>
                  </w:r>
                  <w:r>
                    <w:rPr>
                      <w:rFonts w:hint="eastAsia"/>
                      <w:color w:val="auto"/>
                      <w:szCs w:val="21"/>
                    </w:rPr>
                    <w:t>10吨/小时及以下</w:t>
                  </w:r>
                  <w:r>
                    <w:rPr>
                      <w:rFonts w:hint="eastAsia"/>
                      <w:color w:val="auto"/>
                      <w:szCs w:val="21"/>
                      <w:lang w:eastAsia="zh-CN"/>
                    </w:rPr>
                    <w:t>）</w:t>
                  </w:r>
                  <w:r>
                    <w:rPr>
                      <w:rFonts w:hint="eastAsia"/>
                      <w:color w:val="auto"/>
                      <w:szCs w:val="21"/>
                    </w:rPr>
                    <w:t>改为电炉。推进铸造废砂再生处理技术应用、废旧金属循环再生与利用。推广整体化大型化短流程低成本锻压技术，推广环保润滑介质应用，加大非调质钢使用比例等。</w:t>
                  </w:r>
                </w:p>
              </w:tc>
              <w:tc>
                <w:tcPr>
                  <w:tcW w:w="1640" w:type="dxa"/>
                  <w:tcBorders>
                    <w:tl2br w:val="nil"/>
                    <w:tr2bl w:val="nil"/>
                  </w:tcBorders>
                  <w:vAlign w:val="center"/>
                </w:tcPr>
                <w:p w14:paraId="0B34B1D9">
                  <w:pPr>
                    <w:widowControl/>
                    <w:adjustRightInd w:val="0"/>
                    <w:snapToGrid w:val="0"/>
                    <w:jc w:val="center"/>
                    <w:textAlignment w:val="center"/>
                    <w:rPr>
                      <w:rFonts w:hint="default"/>
                      <w:color w:val="auto"/>
                      <w:szCs w:val="21"/>
                      <w:lang w:val="en-US" w:eastAsia="zh-CN"/>
                    </w:rPr>
                  </w:pPr>
                  <w:r>
                    <w:rPr>
                      <w:rFonts w:hint="eastAsia"/>
                      <w:color w:val="auto"/>
                      <w:szCs w:val="21"/>
                      <w:lang w:val="en-US" w:eastAsia="zh-CN"/>
                    </w:rPr>
                    <w:t>本项目使用高效节能熔炼设备（</w:t>
                  </w:r>
                  <w:r>
                    <w:rPr>
                      <w:rFonts w:hint="eastAsia"/>
                      <w:color w:val="auto"/>
                      <w:szCs w:val="21"/>
                    </w:rPr>
                    <w:t>电坩埚熔化炉</w:t>
                  </w:r>
                  <w:r>
                    <w:rPr>
                      <w:rFonts w:hint="eastAsia"/>
                      <w:color w:val="auto"/>
                      <w:szCs w:val="21"/>
                      <w:lang w:val="en-US" w:eastAsia="zh-CN"/>
                    </w:rPr>
                    <w:t>）；不使用冲天炉。</w:t>
                  </w:r>
                </w:p>
              </w:tc>
              <w:tc>
                <w:tcPr>
                  <w:tcW w:w="785" w:type="dxa"/>
                  <w:tcBorders>
                    <w:tl2br w:val="nil"/>
                    <w:tr2bl w:val="nil"/>
                  </w:tcBorders>
                  <w:vAlign w:val="center"/>
                </w:tcPr>
                <w:p w14:paraId="18F852DD">
                  <w:pPr>
                    <w:widowControl/>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符合</w:t>
                  </w:r>
                </w:p>
              </w:tc>
            </w:tr>
            <w:tr w14:paraId="6A7F9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88" w:hRule="atLeast"/>
              </w:trPr>
              <w:tc>
                <w:tcPr>
                  <w:tcW w:w="769" w:type="dxa"/>
                  <w:vMerge w:val="continue"/>
                  <w:tcBorders>
                    <w:tl2br w:val="nil"/>
                    <w:tr2bl w:val="nil"/>
                  </w:tcBorders>
                  <w:vAlign w:val="center"/>
                </w:tcPr>
                <w:p w14:paraId="20E506D0">
                  <w:pPr>
                    <w:widowControl/>
                    <w:adjustRightInd w:val="0"/>
                    <w:snapToGrid w:val="0"/>
                    <w:jc w:val="center"/>
                    <w:textAlignment w:val="center"/>
                    <w:rPr>
                      <w:color w:val="auto"/>
                      <w:szCs w:val="21"/>
                    </w:rPr>
                  </w:pPr>
                </w:p>
              </w:tc>
              <w:tc>
                <w:tcPr>
                  <w:tcW w:w="4324" w:type="dxa"/>
                  <w:tcBorders>
                    <w:tl2br w:val="nil"/>
                    <w:tr2bl w:val="nil"/>
                  </w:tcBorders>
                  <w:vAlign w:val="center"/>
                </w:tcPr>
                <w:p w14:paraId="5E506BD5">
                  <w:pPr>
                    <w:widowControl/>
                    <w:adjustRightInd w:val="0"/>
                    <w:snapToGrid w:val="0"/>
                    <w:jc w:val="left"/>
                    <w:textAlignment w:val="center"/>
                    <w:rPr>
                      <w:rFonts w:hint="eastAsia"/>
                      <w:color w:val="auto"/>
                      <w:szCs w:val="21"/>
                    </w:rPr>
                  </w:pPr>
                  <w:r>
                    <w:rPr>
                      <w:rFonts w:hint="eastAsia"/>
                      <w:color w:val="auto"/>
                      <w:szCs w:val="21"/>
                    </w:rPr>
                    <w:t>2.提升环保治理水平。依法申领排污许可证，严格持证排污、按证排污并按排污许可证规定落实自行监测、台账记录、执行报告、信息公开等要求。综合考虑生产工艺、原辅材料使用、无组织排放控制、污染治理设施运行效果等，建设一批达到重污染天气应对绩效分级A级水平的环保标杆企业，带动行业环保水平提升。铸造企业严格执行《铸造工业大气污染物排放标准》(GB39726</w:t>
                  </w:r>
                  <w:r>
                    <w:rPr>
                      <w:rFonts w:hint="eastAsia"/>
                      <w:color w:val="auto"/>
                      <w:szCs w:val="21"/>
                      <w:lang w:eastAsia="zh-CN"/>
                    </w:rPr>
                    <w:t>）</w:t>
                  </w:r>
                  <w:r>
                    <w:rPr>
                      <w:rFonts w:hint="eastAsia"/>
                      <w:color w:val="auto"/>
                      <w:szCs w:val="21"/>
                    </w:rPr>
                    <w:t>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tc>
              <w:tc>
                <w:tcPr>
                  <w:tcW w:w="1640" w:type="dxa"/>
                  <w:tcBorders>
                    <w:tl2br w:val="nil"/>
                    <w:tr2bl w:val="nil"/>
                  </w:tcBorders>
                  <w:vAlign w:val="center"/>
                </w:tcPr>
                <w:p w14:paraId="35B13E70">
                  <w:pPr>
                    <w:widowControl/>
                    <w:adjustRightInd w:val="0"/>
                    <w:snapToGrid w:val="0"/>
                    <w:jc w:val="center"/>
                    <w:textAlignment w:val="center"/>
                    <w:rPr>
                      <w:rFonts w:hint="default"/>
                      <w:color w:val="auto"/>
                      <w:szCs w:val="21"/>
                      <w:lang w:val="en-US" w:eastAsia="zh-CN"/>
                    </w:rPr>
                  </w:pPr>
                  <w:r>
                    <w:rPr>
                      <w:rFonts w:hint="eastAsia"/>
                      <w:color w:val="auto"/>
                      <w:szCs w:val="21"/>
                      <w:lang w:val="en-US" w:eastAsia="zh-CN"/>
                    </w:rPr>
                    <w:t>本项目将依法申领排污许可证，严格持证排污；项目产生的废气相应环保设施治理后达标排放，并将加强无组织排放控制。</w:t>
                  </w:r>
                </w:p>
              </w:tc>
              <w:tc>
                <w:tcPr>
                  <w:tcW w:w="785" w:type="dxa"/>
                  <w:tcBorders>
                    <w:tl2br w:val="nil"/>
                    <w:tr2bl w:val="nil"/>
                  </w:tcBorders>
                  <w:vAlign w:val="center"/>
                </w:tcPr>
                <w:p w14:paraId="5E8110F6">
                  <w:pPr>
                    <w:widowControl/>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符合</w:t>
                  </w:r>
                </w:p>
              </w:tc>
            </w:tr>
          </w:tbl>
          <w:p w14:paraId="3C437884">
            <w:pPr>
              <w:spacing w:line="360" w:lineRule="auto"/>
              <w:ind w:firstLine="422" w:firstLineChars="200"/>
              <w:rPr>
                <w:b/>
                <w:color w:val="auto"/>
                <w:szCs w:val="21"/>
              </w:rPr>
            </w:pPr>
            <w:r>
              <w:rPr>
                <w:rFonts w:hint="eastAsia"/>
                <w:b/>
                <w:color w:val="auto"/>
                <w:szCs w:val="21"/>
              </w:rPr>
              <w:t>（</w:t>
            </w:r>
            <w:r>
              <w:rPr>
                <w:rFonts w:hint="eastAsia"/>
                <w:b/>
                <w:color w:val="auto"/>
                <w:szCs w:val="21"/>
                <w:lang w:val="en-US" w:eastAsia="zh-CN"/>
              </w:rPr>
              <w:t>11</w:t>
            </w:r>
            <w:r>
              <w:rPr>
                <w:rFonts w:hint="eastAsia"/>
                <w:b/>
                <w:color w:val="auto"/>
                <w:szCs w:val="21"/>
              </w:rPr>
              <w:t>）</w:t>
            </w:r>
            <w:r>
              <w:rPr>
                <w:b/>
                <w:color w:val="auto"/>
                <w:szCs w:val="21"/>
              </w:rPr>
              <w:t>与江苏省《关于推动全省铸造和锻压行业高质量发展的实施意见》（</w:t>
            </w:r>
            <w:r>
              <w:rPr>
                <w:b/>
                <w:bCs/>
                <w:color w:val="auto"/>
                <w:szCs w:val="21"/>
              </w:rPr>
              <w:t>苏工信装备〔2023〕403号</w:t>
            </w:r>
            <w:r>
              <w:rPr>
                <w:b/>
                <w:color w:val="auto"/>
                <w:szCs w:val="21"/>
              </w:rPr>
              <w:t>）相符性分析</w:t>
            </w:r>
          </w:p>
          <w:p w14:paraId="20AF15B7">
            <w:pPr>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表1-1</w:t>
            </w:r>
            <w:r>
              <w:rPr>
                <w:rFonts w:hint="eastAsia" w:cs="Times New Roman"/>
                <w:b/>
                <w:bCs/>
                <w:color w:val="auto"/>
                <w:szCs w:val="21"/>
                <w:lang w:val="en-US" w:eastAsia="zh-CN"/>
              </w:rPr>
              <w:t>1</w:t>
            </w:r>
            <w:r>
              <w:rPr>
                <w:rFonts w:hint="eastAsia" w:ascii="Times New Roman" w:hAnsi="Times New Roman" w:eastAsia="宋体" w:cs="Times New Roman"/>
                <w:b/>
                <w:bCs/>
                <w:color w:val="auto"/>
                <w:szCs w:val="21"/>
              </w:rPr>
              <w:t>与《关于推动全省铸造和锻压行业高质量发展的实施意见》（苏工信装备〔2023〕403号）相符性分析</w:t>
            </w:r>
          </w:p>
          <w:tbl>
            <w:tblPr>
              <w:tblStyle w:val="25"/>
              <w:tblW w:w="75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4394"/>
              <w:gridCol w:w="1635"/>
              <w:gridCol w:w="646"/>
            </w:tblGrid>
            <w:tr w14:paraId="3474D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72" w:type="pct"/>
                  <w:tcBorders>
                    <w:tl2br w:val="nil"/>
                    <w:tr2bl w:val="nil"/>
                  </w:tcBorders>
                  <w:vAlign w:val="center"/>
                </w:tcPr>
                <w:p w14:paraId="2C5CF344">
                  <w:pPr>
                    <w:widowControl/>
                    <w:adjustRightInd w:val="0"/>
                    <w:snapToGrid w:val="0"/>
                    <w:jc w:val="center"/>
                    <w:textAlignment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重点任务</w:t>
                  </w:r>
                </w:p>
              </w:tc>
              <w:tc>
                <w:tcPr>
                  <w:tcW w:w="2914" w:type="pct"/>
                  <w:tcBorders>
                    <w:tl2br w:val="nil"/>
                    <w:tr2bl w:val="nil"/>
                  </w:tcBorders>
                  <w:vAlign w:val="center"/>
                </w:tcPr>
                <w:p w14:paraId="3A1A8BA1">
                  <w:pPr>
                    <w:widowControl/>
                    <w:adjustRightInd w:val="0"/>
                    <w:snapToGrid w:val="0"/>
                    <w:jc w:val="center"/>
                    <w:textAlignment w:val="center"/>
                    <w:rPr>
                      <w:rFonts w:hint="eastAsia" w:ascii="Times New Roman" w:hAnsi="Times New Roman" w:eastAsia="宋体" w:cs="Times New Roman"/>
                      <w:b/>
                      <w:bCs/>
                      <w:color w:val="auto"/>
                      <w:szCs w:val="21"/>
                    </w:rPr>
                  </w:pPr>
                  <w:r>
                    <w:rPr>
                      <w:rFonts w:hint="eastAsia" w:cs="Times New Roman"/>
                      <w:b/>
                      <w:bCs/>
                      <w:color w:val="auto"/>
                      <w:szCs w:val="21"/>
                      <w:lang w:val="en-US" w:eastAsia="zh-CN"/>
                    </w:rPr>
                    <w:t>文件</w:t>
                  </w:r>
                  <w:r>
                    <w:rPr>
                      <w:rFonts w:hint="eastAsia" w:ascii="Times New Roman" w:hAnsi="Times New Roman" w:eastAsia="宋体" w:cs="Times New Roman"/>
                      <w:b/>
                      <w:bCs/>
                      <w:color w:val="auto"/>
                      <w:szCs w:val="21"/>
                    </w:rPr>
                    <w:t>要求</w:t>
                  </w:r>
                </w:p>
              </w:tc>
              <w:tc>
                <w:tcPr>
                  <w:tcW w:w="1084" w:type="pct"/>
                  <w:tcBorders>
                    <w:tl2br w:val="nil"/>
                    <w:tr2bl w:val="nil"/>
                  </w:tcBorders>
                  <w:vAlign w:val="center"/>
                </w:tcPr>
                <w:p w14:paraId="0A0475A3">
                  <w:pPr>
                    <w:widowControl/>
                    <w:adjustRightInd w:val="0"/>
                    <w:snapToGrid w:val="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项目情况</w:t>
                  </w:r>
                </w:p>
              </w:tc>
              <w:tc>
                <w:tcPr>
                  <w:tcW w:w="428" w:type="pct"/>
                  <w:tcBorders>
                    <w:tl2br w:val="nil"/>
                    <w:tr2bl w:val="nil"/>
                  </w:tcBorders>
                  <w:vAlign w:val="center"/>
                </w:tcPr>
                <w:p w14:paraId="161D8EBB">
                  <w:pPr>
                    <w:widowControl/>
                    <w:adjustRightInd w:val="0"/>
                    <w:snapToGrid w:val="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相符性</w:t>
                  </w:r>
                </w:p>
              </w:tc>
            </w:tr>
            <w:tr w14:paraId="50C48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00" w:type="pct"/>
                  <w:gridSpan w:val="4"/>
                  <w:tcBorders>
                    <w:tl2br w:val="nil"/>
                    <w:tr2bl w:val="nil"/>
                  </w:tcBorders>
                  <w:vAlign w:val="center"/>
                </w:tcPr>
                <w:p w14:paraId="3572AEAE">
                  <w:pPr>
                    <w:widowControl/>
                    <w:adjustRightInd w:val="0"/>
                    <w:snapToGrid w:val="0"/>
                    <w:jc w:val="center"/>
                    <w:textAlignment w:val="center"/>
                    <w:rPr>
                      <w:rFonts w:hint="default" w:ascii="Times New Roman" w:hAnsi="Times New Roman" w:eastAsia="宋体" w:cs="Times New Roman"/>
                      <w:b/>
                      <w:bCs/>
                      <w:color w:val="auto"/>
                      <w:szCs w:val="21"/>
                      <w:lang w:val="en-US" w:eastAsia="zh-CN"/>
                    </w:rPr>
                  </w:pPr>
                  <w:r>
                    <w:rPr>
                      <w:rFonts w:hint="eastAsia" w:cs="Times New Roman"/>
                      <w:b w:val="0"/>
                      <w:bCs w:val="0"/>
                      <w:color w:val="auto"/>
                      <w:szCs w:val="21"/>
                      <w:lang w:val="en-US" w:eastAsia="zh-CN"/>
                    </w:rPr>
                    <w:t>二、重点任务</w:t>
                  </w:r>
                </w:p>
              </w:tc>
            </w:tr>
            <w:tr w14:paraId="5E9EE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572" w:type="pct"/>
                  <w:tcBorders>
                    <w:tl2br w:val="nil"/>
                    <w:tr2bl w:val="nil"/>
                  </w:tcBorders>
                  <w:vAlign w:val="center"/>
                </w:tcPr>
                <w:p w14:paraId="52883A9D">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（一）坚持创新驱动，提升自主可控能力</w:t>
                  </w:r>
                </w:p>
                <w:p w14:paraId="077CCEC6">
                  <w:pPr>
                    <w:widowControl/>
                    <w:adjustRightInd w:val="0"/>
                    <w:snapToGrid w:val="0"/>
                    <w:jc w:val="left"/>
                    <w:textAlignment w:val="center"/>
                    <w:rPr>
                      <w:rFonts w:hint="eastAsia" w:ascii="Times New Roman" w:hAnsi="Times New Roman" w:eastAsia="宋体" w:cs="Times New Roman"/>
                      <w:color w:val="auto"/>
                      <w:szCs w:val="21"/>
                    </w:rPr>
                  </w:pPr>
                </w:p>
              </w:tc>
              <w:tc>
                <w:tcPr>
                  <w:tcW w:w="2914" w:type="pct"/>
                  <w:tcBorders>
                    <w:tl2br w:val="nil"/>
                    <w:tr2bl w:val="nil"/>
                  </w:tcBorders>
                  <w:vAlign w:val="center"/>
                </w:tcPr>
                <w:p w14:paraId="193AA350">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发展先进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w:t>
                  </w:r>
                </w:p>
              </w:tc>
              <w:tc>
                <w:tcPr>
                  <w:tcW w:w="1084" w:type="pct"/>
                  <w:tcBorders>
                    <w:tl2br w:val="nil"/>
                    <w:tr2bl w:val="nil"/>
                  </w:tcBorders>
                  <w:vAlign w:val="center"/>
                </w:tcPr>
                <w:p w14:paraId="2D64EB39">
                  <w:pPr>
                    <w:widowControl/>
                    <w:adjustRightInd w:val="0"/>
                    <w:snapToGrid w:val="0"/>
                    <w:jc w:val="left"/>
                    <w:textAlignment w:val="center"/>
                    <w:rPr>
                      <w:rFonts w:hint="default" w:ascii="Times New Roman" w:hAnsi="Times New Roman" w:eastAsia="宋体" w:cs="Times New Roman"/>
                      <w:color w:val="auto"/>
                      <w:szCs w:val="21"/>
                      <w:lang w:val="en-US"/>
                    </w:rPr>
                  </w:pPr>
                  <w:r>
                    <w:rPr>
                      <w:rFonts w:hint="eastAsia"/>
                      <w:color w:val="auto"/>
                      <w:szCs w:val="21"/>
                    </w:rPr>
                    <w:t>本项目</w:t>
                  </w:r>
                  <w:r>
                    <w:rPr>
                      <w:rFonts w:hint="eastAsia"/>
                      <w:color w:val="auto"/>
                      <w:szCs w:val="21"/>
                      <w:lang w:val="en-US" w:eastAsia="zh-CN"/>
                    </w:rPr>
                    <w:t>铸造工艺为</w:t>
                  </w:r>
                  <w:r>
                    <w:rPr>
                      <w:rFonts w:hint="eastAsia"/>
                      <w:color w:val="auto"/>
                      <w:szCs w:val="21"/>
                    </w:rPr>
                    <w:t>金属型铸造</w:t>
                  </w:r>
                  <w:r>
                    <w:rPr>
                      <w:rFonts w:hint="eastAsia"/>
                      <w:color w:val="auto"/>
                      <w:szCs w:val="21"/>
                      <w:lang w:eastAsia="zh-CN"/>
                    </w:rPr>
                    <w:t>（</w:t>
                  </w:r>
                  <w:r>
                    <w:rPr>
                      <w:rFonts w:hint="eastAsia"/>
                      <w:color w:val="auto"/>
                      <w:szCs w:val="21"/>
                      <w:lang w:val="en-US" w:eastAsia="zh-CN"/>
                    </w:rPr>
                    <w:t>覆膜砂干芯</w:t>
                  </w:r>
                  <w:r>
                    <w:rPr>
                      <w:rFonts w:hint="eastAsia"/>
                      <w:color w:val="auto"/>
                      <w:szCs w:val="21"/>
                      <w:lang w:eastAsia="zh-CN"/>
                    </w:rPr>
                    <w:t>）</w:t>
                  </w:r>
                  <w:r>
                    <w:rPr>
                      <w:rFonts w:hint="eastAsia"/>
                      <w:color w:val="auto"/>
                      <w:szCs w:val="21"/>
                      <w:lang w:val="en-US" w:eastAsia="zh-CN"/>
                    </w:rPr>
                    <w:t>工艺。</w:t>
                  </w:r>
                </w:p>
              </w:tc>
              <w:tc>
                <w:tcPr>
                  <w:tcW w:w="428" w:type="pct"/>
                  <w:tcBorders>
                    <w:tl2br w:val="nil"/>
                    <w:tr2bl w:val="nil"/>
                  </w:tcBorders>
                  <w:vAlign w:val="center"/>
                </w:tcPr>
                <w:p w14:paraId="00659ABD">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43235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2" w:type="pct"/>
                  <w:vMerge w:val="restart"/>
                  <w:tcBorders>
                    <w:tl2br w:val="nil"/>
                    <w:tr2bl w:val="nil"/>
                  </w:tcBorders>
                  <w:vAlign w:val="center"/>
                </w:tcPr>
                <w:p w14:paraId="2AA507F9">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（二）坚持规范发展，推进产业结构优化</w:t>
                  </w:r>
                </w:p>
                <w:p w14:paraId="3D70E849">
                  <w:pPr>
                    <w:widowControl/>
                    <w:adjustRightInd w:val="0"/>
                    <w:snapToGrid w:val="0"/>
                    <w:jc w:val="left"/>
                    <w:textAlignment w:val="center"/>
                    <w:rPr>
                      <w:rFonts w:hint="eastAsia" w:ascii="Times New Roman" w:hAnsi="Times New Roman" w:eastAsia="宋体" w:cs="Times New Roman"/>
                      <w:color w:val="auto"/>
                      <w:szCs w:val="21"/>
                    </w:rPr>
                  </w:pPr>
                </w:p>
              </w:tc>
              <w:tc>
                <w:tcPr>
                  <w:tcW w:w="2914" w:type="pct"/>
                  <w:tcBorders>
                    <w:tl2br w:val="nil"/>
                    <w:tr2bl w:val="nil"/>
                  </w:tcBorders>
                  <w:vAlign w:val="center"/>
                </w:tcPr>
                <w:p w14:paraId="7D326E12">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引导行业规范发展。各级发展改革、工业和信息化、生态环境、应急管理、市场监管部门要严格执行节能、环保、质量、安全技术等相关法律法规标准和《产业结构调整指导目录》中限制类、淘汰类目录，依法依规淘汰工艺装备落后、污染物排放不达标、生产安全无保障的落后产能。各级生态环境部门要严格落实主要污染物排放总量控制，依法依规制定污染防治方案，推动源头减排、过程控制和末端治理全过程深度治理。各级发展改革、工业和信息化部门要有效落实能源消耗总量和强度调控制度，以降碳为方向，加强能力建设，健全配套制度，推动能耗双控逐步转向碳排放总量和强度双控制度。各级工业和信息化部门要严格按照国家和省有关产业政策，依法依规淘汰无芯工频感应电炉、无磁轭（≥0.25吨）铝壳中频感应电炉等落后工艺装备。新建、改扩建项目单位产品的能耗、物耗、水耗、资源综合利用和污染物排放量等指标应符合相关法律法规标准要求。</w:t>
                  </w:r>
                </w:p>
              </w:tc>
              <w:tc>
                <w:tcPr>
                  <w:tcW w:w="1084" w:type="pct"/>
                  <w:tcBorders>
                    <w:tl2br w:val="nil"/>
                    <w:tr2bl w:val="nil"/>
                  </w:tcBorders>
                  <w:vAlign w:val="center"/>
                </w:tcPr>
                <w:p w14:paraId="4D32A046">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本项目生产工艺、装备不属于淘汰工艺装备、污染物排放做到达标排放、安全生产设施，能耗、物耗、水耗、资源综合利用和污染物排放量等符合相关法律法规标准要求。</w:t>
                  </w:r>
                </w:p>
              </w:tc>
              <w:tc>
                <w:tcPr>
                  <w:tcW w:w="428" w:type="pct"/>
                  <w:tcBorders>
                    <w:tl2br w:val="nil"/>
                    <w:tr2bl w:val="nil"/>
                  </w:tcBorders>
                  <w:vAlign w:val="center"/>
                </w:tcPr>
                <w:p w14:paraId="05510E28">
                  <w:pPr>
                    <w:widowControl/>
                    <w:adjustRightInd w:val="0"/>
                    <w:snapToGrid w:val="0"/>
                    <w:jc w:val="left"/>
                    <w:textAlignment w:val="center"/>
                    <w:rPr>
                      <w:rFonts w:hint="eastAsia" w:ascii="Times New Roman" w:hAnsi="Times New Roman" w:eastAsia="宋体" w:cs="Times New Roman"/>
                      <w:color w:val="auto"/>
                      <w:szCs w:val="21"/>
                    </w:rPr>
                  </w:pPr>
                </w:p>
                <w:p w14:paraId="2667AC19">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6F6C7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2" w:type="pct"/>
                  <w:vMerge w:val="continue"/>
                  <w:tcBorders>
                    <w:tl2br w:val="nil"/>
                    <w:tr2bl w:val="nil"/>
                  </w:tcBorders>
                  <w:vAlign w:val="center"/>
                </w:tcPr>
                <w:p w14:paraId="3D0F2163">
                  <w:pPr>
                    <w:widowControl/>
                    <w:adjustRightInd w:val="0"/>
                    <w:snapToGrid w:val="0"/>
                    <w:jc w:val="left"/>
                    <w:textAlignment w:val="center"/>
                    <w:rPr>
                      <w:rFonts w:hint="eastAsia" w:ascii="Times New Roman" w:hAnsi="Times New Roman" w:eastAsia="宋体" w:cs="Times New Roman"/>
                      <w:color w:val="auto"/>
                      <w:szCs w:val="21"/>
                    </w:rPr>
                  </w:pPr>
                </w:p>
              </w:tc>
              <w:tc>
                <w:tcPr>
                  <w:tcW w:w="2914" w:type="pct"/>
                  <w:tcBorders>
                    <w:tl2br w:val="nil"/>
                    <w:tr2bl w:val="nil"/>
                  </w:tcBorders>
                  <w:vAlign w:val="center"/>
                </w:tcPr>
                <w:p w14:paraId="3EFF832E">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加强项目建设服务。各级发展改革、工业和信息化、生态环境、应急管理、行政审批部门要依照《江苏省企业投资项目核准和备案管理办法》《江苏省建设项目环境影响评价文件分级审批管理办法》《江苏省固定资产投资项目节能审查实施办法》《排污许可管理条例》《建设项目安全设施“三同时”监督管理办法》等文件要求开展项目服务，确保新建、改扩建项目备案、环评、排污许可、安评、节能审查等手续合规、完备，项目建设符合相关法律法规标准要求。加快存量项目升级改造，推进企业选择低污染、低能耗、经济高效的先进工艺技术，提升行业竞争能力。</w:t>
                  </w:r>
                </w:p>
              </w:tc>
              <w:tc>
                <w:tcPr>
                  <w:tcW w:w="1084" w:type="pct"/>
                  <w:tcBorders>
                    <w:tl2br w:val="nil"/>
                    <w:tr2bl w:val="nil"/>
                  </w:tcBorders>
                  <w:vAlign w:val="center"/>
                </w:tcPr>
                <w:p w14:paraId="04BFC604">
                  <w:pPr>
                    <w:widowControl/>
                    <w:adjustRightInd w:val="0"/>
                    <w:snapToGrid w:val="0"/>
                    <w:jc w:val="left"/>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本项目将严格执行项目备案、环评、排污许可、安评、节能审查等手续。</w:t>
                  </w:r>
                </w:p>
              </w:tc>
              <w:tc>
                <w:tcPr>
                  <w:tcW w:w="428" w:type="pct"/>
                  <w:tcBorders>
                    <w:tl2br w:val="nil"/>
                    <w:tr2bl w:val="nil"/>
                  </w:tcBorders>
                  <w:vAlign w:val="center"/>
                </w:tcPr>
                <w:p w14:paraId="73B82EAE">
                  <w:pPr>
                    <w:widowControl/>
                    <w:adjustRightInd w:val="0"/>
                    <w:snapToGrid w:val="0"/>
                    <w:jc w:val="left"/>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符合</w:t>
                  </w:r>
                </w:p>
              </w:tc>
            </w:tr>
            <w:tr w14:paraId="637D5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2" w:type="pct"/>
                  <w:vMerge w:val="restart"/>
                  <w:tcBorders>
                    <w:tl2br w:val="nil"/>
                    <w:tr2bl w:val="nil"/>
                  </w:tcBorders>
                  <w:vAlign w:val="center"/>
                </w:tcPr>
                <w:p w14:paraId="31BDE66B">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（五）强化企业主体责任，提升绿色安全发展水平。</w:t>
                  </w:r>
                </w:p>
                <w:p w14:paraId="01DA6CA3">
                  <w:pPr>
                    <w:widowControl/>
                    <w:adjustRightInd w:val="0"/>
                    <w:snapToGrid w:val="0"/>
                    <w:jc w:val="left"/>
                    <w:textAlignment w:val="center"/>
                    <w:rPr>
                      <w:rFonts w:hint="eastAsia" w:ascii="Times New Roman" w:hAnsi="Times New Roman" w:eastAsia="宋体" w:cs="Times New Roman"/>
                      <w:color w:val="auto"/>
                      <w:szCs w:val="21"/>
                    </w:rPr>
                  </w:pPr>
                </w:p>
              </w:tc>
              <w:tc>
                <w:tcPr>
                  <w:tcW w:w="2914" w:type="pct"/>
                  <w:tcBorders>
                    <w:tl2br w:val="nil"/>
                    <w:tr2bl w:val="nil"/>
                  </w:tcBorders>
                  <w:vAlign w:val="center"/>
                </w:tcPr>
                <w:p w14:paraId="3E0AFA79">
                  <w:pPr>
                    <w:widowControl/>
                    <w:adjustRightInd w:val="0"/>
                    <w:snapToGrid w:val="0"/>
                    <w:jc w:val="left"/>
                    <w:textAlignment w:val="center"/>
                    <w:rPr>
                      <w:rFonts w:hint="eastAsia" w:ascii="Times New Roman" w:hAnsi="Times New Roman" w:eastAsia="宋体" w:cs="Times New Roman"/>
                      <w:color w:val="auto"/>
                      <w:szCs w:val="21"/>
                    </w:rPr>
                  </w:pPr>
                  <w:r>
                    <w:rPr>
                      <w:rFonts w:hint="eastAsia"/>
                      <w:color w:val="auto"/>
                    </w:rPr>
                    <w:t>1.加快绿色低碳转型。推进绿色生产方式贯穿生产全流程，开发绿色原辅材料应用、推广绿色工艺，积极创建绿色工厂、绿色园区。推动企业依法披露环境信息，接受社会监督。积极开展清洁生产，做好节能监察执法、节能诊断服务工作，深入挖掘节能潜力。鼓励企业采用高效节能工艺和设备。</w:t>
                  </w:r>
                </w:p>
              </w:tc>
              <w:tc>
                <w:tcPr>
                  <w:tcW w:w="1084" w:type="pct"/>
                  <w:tcBorders>
                    <w:tl2br w:val="nil"/>
                    <w:tr2bl w:val="nil"/>
                  </w:tcBorders>
                  <w:vAlign w:val="center"/>
                </w:tcPr>
                <w:p w14:paraId="05618D13">
                  <w:pPr>
                    <w:widowControl/>
                    <w:adjustRightInd w:val="0"/>
                    <w:snapToGrid w:val="0"/>
                    <w:jc w:val="left"/>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项目实施后，企业将依法披露环境信息，接受社会监督。积极开展清洁生产，深入挖掘节能潜力。企业建设过程中将采用高效节能工艺和设备。</w:t>
                  </w:r>
                </w:p>
              </w:tc>
              <w:tc>
                <w:tcPr>
                  <w:tcW w:w="428" w:type="pct"/>
                  <w:tcBorders>
                    <w:tl2br w:val="nil"/>
                    <w:tr2bl w:val="nil"/>
                  </w:tcBorders>
                  <w:vAlign w:val="center"/>
                </w:tcPr>
                <w:p w14:paraId="5B7122BC">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204D4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2" w:type="pct"/>
                  <w:vMerge w:val="continue"/>
                  <w:tcBorders>
                    <w:tl2br w:val="nil"/>
                    <w:tr2bl w:val="nil"/>
                  </w:tcBorders>
                  <w:vAlign w:val="center"/>
                </w:tcPr>
                <w:p w14:paraId="53C03D78">
                  <w:pPr>
                    <w:widowControl/>
                    <w:adjustRightInd w:val="0"/>
                    <w:snapToGrid w:val="0"/>
                    <w:jc w:val="left"/>
                    <w:textAlignment w:val="center"/>
                    <w:rPr>
                      <w:rFonts w:hint="eastAsia" w:ascii="Times New Roman" w:hAnsi="Times New Roman" w:eastAsia="宋体" w:cs="Times New Roman"/>
                      <w:color w:val="auto"/>
                      <w:szCs w:val="21"/>
                    </w:rPr>
                  </w:pPr>
                </w:p>
              </w:tc>
              <w:tc>
                <w:tcPr>
                  <w:tcW w:w="2914" w:type="pct"/>
                  <w:tcBorders>
                    <w:tl2br w:val="nil"/>
                    <w:tr2bl w:val="nil"/>
                  </w:tcBorders>
                  <w:vAlign w:val="center"/>
                </w:tcPr>
                <w:p w14:paraId="0F165C70">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加大环保治理力度。铸造和锻压企业应当依法申领排污许可证，严格持证排污、按证排污并按排污许可证规定落实自行监测、记录报告、信息公开等要求。铸造企业应当严格执行《铸造工业大气污染物排放标准》（GB 39726-2020）及地方标准，加强无组织排放控制。不能稳定达标排放的，限期完成设施升级改造；不具备改造条件及改造后仍不能达标的，依法依规关停退出。</w:t>
                  </w:r>
                </w:p>
                <w:p w14:paraId="013A87BC">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84" w:type="pct"/>
                  <w:tcBorders>
                    <w:tl2br w:val="nil"/>
                    <w:tr2bl w:val="nil"/>
                  </w:tcBorders>
                  <w:vAlign w:val="center"/>
                </w:tcPr>
                <w:p w14:paraId="10B4F479">
                  <w:pPr>
                    <w:widowControl/>
                    <w:adjustRightInd w:val="0"/>
                    <w:snapToGrid w:val="0"/>
                    <w:jc w:val="left"/>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本项目依法申领排污许可证，</w:t>
                  </w:r>
                  <w:r>
                    <w:rPr>
                      <w:rFonts w:hint="eastAsia" w:cs="Times New Roman"/>
                      <w:color w:val="auto"/>
                      <w:szCs w:val="21"/>
                      <w:lang w:val="en-US" w:eastAsia="zh-CN"/>
                    </w:rPr>
                    <w:t>严格持证排污；项目产生的废气经相应环保设施收集治理后达标排放，并将加强无组织排放控制。</w:t>
                  </w:r>
                </w:p>
              </w:tc>
              <w:tc>
                <w:tcPr>
                  <w:tcW w:w="428" w:type="pct"/>
                  <w:tcBorders>
                    <w:tl2br w:val="nil"/>
                    <w:tr2bl w:val="nil"/>
                  </w:tcBorders>
                  <w:vAlign w:val="center"/>
                </w:tcPr>
                <w:p w14:paraId="1A8ACF70">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0D74B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2" w:type="pct"/>
                  <w:vMerge w:val="continue"/>
                  <w:tcBorders>
                    <w:tl2br w:val="nil"/>
                    <w:tr2bl w:val="nil"/>
                  </w:tcBorders>
                  <w:vAlign w:val="center"/>
                </w:tcPr>
                <w:p w14:paraId="5D822892">
                  <w:pPr>
                    <w:widowControl/>
                    <w:adjustRightInd w:val="0"/>
                    <w:snapToGrid w:val="0"/>
                    <w:jc w:val="left"/>
                    <w:textAlignment w:val="center"/>
                    <w:rPr>
                      <w:rFonts w:hint="eastAsia" w:ascii="Times New Roman" w:hAnsi="Times New Roman" w:eastAsia="宋体" w:cs="Times New Roman"/>
                      <w:color w:val="auto"/>
                      <w:szCs w:val="21"/>
                    </w:rPr>
                  </w:pPr>
                </w:p>
              </w:tc>
              <w:tc>
                <w:tcPr>
                  <w:tcW w:w="2914" w:type="pct"/>
                  <w:tcBorders>
                    <w:tl2br w:val="nil"/>
                    <w:tr2bl w:val="nil"/>
                  </w:tcBorders>
                  <w:vAlign w:val="center"/>
                </w:tcPr>
                <w:p w14:paraId="5E4F1FB2">
                  <w:pPr>
                    <w:widowControl/>
                    <w:adjustRightInd w:val="0"/>
                    <w:snapToGrid w:val="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提升本质安全水平。常态化开展安全状况分析，防范安全风险。深入开展安全生产专项整治行动，督促各地做好隐患排查及整改。铸造和锻压企业严格执行《特种设备生产单位落实生产安全主体责任监督管理规定》《特种设备使用单位落实使用安全主体责任监督管理规定》。</w:t>
                  </w:r>
                </w:p>
              </w:tc>
              <w:tc>
                <w:tcPr>
                  <w:tcW w:w="1084" w:type="pct"/>
                  <w:tcBorders>
                    <w:tl2br w:val="nil"/>
                    <w:tr2bl w:val="nil"/>
                  </w:tcBorders>
                  <w:vAlign w:val="center"/>
                </w:tcPr>
                <w:p w14:paraId="2AEFEB38">
                  <w:pPr>
                    <w:widowControl/>
                    <w:adjustRightInd w:val="0"/>
                    <w:snapToGrid w:val="0"/>
                    <w:jc w:val="left"/>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项目实施后，企业将严格执行</w:t>
                  </w:r>
                  <w:r>
                    <w:rPr>
                      <w:rFonts w:hint="eastAsia" w:ascii="Times New Roman" w:hAnsi="Times New Roman" w:eastAsia="宋体" w:cs="Times New Roman"/>
                      <w:color w:val="auto"/>
                      <w:szCs w:val="21"/>
                    </w:rPr>
                    <w:t>《特种设备生产单位落实生产安全主体责任监督管理规定》《特种设备使用单位落实使用安全主体责任监督管理规定》</w:t>
                  </w:r>
                  <w:r>
                    <w:rPr>
                      <w:rFonts w:hint="eastAsia" w:cs="Times New Roman"/>
                      <w:color w:val="auto"/>
                      <w:szCs w:val="21"/>
                      <w:lang w:val="en-US" w:eastAsia="zh-CN"/>
                    </w:rPr>
                    <w:t>。</w:t>
                  </w:r>
                </w:p>
              </w:tc>
              <w:tc>
                <w:tcPr>
                  <w:tcW w:w="428" w:type="pct"/>
                  <w:tcBorders>
                    <w:tl2br w:val="nil"/>
                    <w:tr2bl w:val="nil"/>
                  </w:tcBorders>
                  <w:vAlign w:val="center"/>
                </w:tcPr>
                <w:p w14:paraId="4C2DF0B8">
                  <w:pPr>
                    <w:widowControl/>
                    <w:adjustRightInd w:val="0"/>
                    <w:snapToGrid w:val="0"/>
                    <w:jc w:val="left"/>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符合</w:t>
                  </w:r>
                </w:p>
              </w:tc>
            </w:tr>
          </w:tbl>
          <w:p w14:paraId="1E874D8D">
            <w:pPr>
              <w:pStyle w:val="64"/>
              <w:keepNext w:val="0"/>
              <w:keepLines w:val="0"/>
              <w:pageBreakBefore w:val="0"/>
              <w:widowControl w:val="0"/>
              <w:kinsoku/>
              <w:wordWrap/>
              <w:overflowPunct/>
              <w:topLinePunct w:val="0"/>
              <w:autoSpaceDE/>
              <w:autoSpaceDN/>
              <w:bidi w:val="0"/>
              <w:adjustRightInd/>
              <w:snapToGrid w:val="0"/>
              <w:spacing w:beforeLines="50"/>
              <w:ind w:firstLine="420"/>
              <w:textAlignment w:val="auto"/>
              <w:rPr>
                <w:rFonts w:hint="eastAsia" w:ascii="Times New Roman" w:hAnsi="Times New Roman" w:eastAsia="宋体" w:cs="Times New Roman"/>
                <w:color w:val="auto"/>
                <w:sz w:val="21"/>
                <w:szCs w:val="21"/>
              </w:rPr>
            </w:pPr>
            <w:r>
              <w:rPr>
                <w:rFonts w:hint="eastAsia"/>
                <w:color w:val="auto"/>
                <w:sz w:val="21"/>
                <w:szCs w:val="21"/>
              </w:rPr>
              <w:t>综上，本项目建设符合江苏省《关于</w:t>
            </w:r>
            <w:r>
              <w:rPr>
                <w:rFonts w:hint="eastAsia" w:ascii="Times New Roman" w:hAnsi="Times New Roman" w:eastAsia="宋体" w:cs="Times New Roman"/>
                <w:color w:val="auto"/>
                <w:sz w:val="21"/>
                <w:szCs w:val="21"/>
              </w:rPr>
              <w:t>推动全省铸造和锻压行业高质量发展的实施意见》（苏工信装备〔2023〕403号）的相关要求。</w:t>
            </w:r>
          </w:p>
          <w:p w14:paraId="15B59A8C">
            <w:pPr>
              <w:pStyle w:val="64"/>
              <w:keepNext w:val="0"/>
              <w:keepLines w:val="0"/>
              <w:pageBreakBefore w:val="0"/>
              <w:widowControl w:val="0"/>
              <w:kinsoku/>
              <w:wordWrap/>
              <w:overflowPunct/>
              <w:topLinePunct w:val="0"/>
              <w:autoSpaceDE/>
              <w:autoSpaceDN/>
              <w:bidi w:val="0"/>
              <w:adjustRightInd/>
              <w:snapToGrid w:val="0"/>
              <w:spacing w:beforeLines="50"/>
              <w:ind w:firstLine="420"/>
              <w:textAlignment w:val="auto"/>
              <w:rPr>
                <w:rFonts w:hint="eastAsia" w:ascii="Times New Roman" w:hAnsi="Times New Roman" w:eastAsia="宋体" w:cs="Times New Roman"/>
                <w:b/>
                <w:bCs/>
                <w:color w:val="auto"/>
                <w:sz w:val="21"/>
                <w:szCs w:val="21"/>
              </w:rPr>
            </w:pPr>
          </w:p>
          <w:p w14:paraId="4DA1B464">
            <w:pPr>
              <w:pStyle w:val="64"/>
              <w:keepNext w:val="0"/>
              <w:keepLines w:val="0"/>
              <w:pageBreakBefore w:val="0"/>
              <w:widowControl w:val="0"/>
              <w:kinsoku/>
              <w:wordWrap/>
              <w:overflowPunct/>
              <w:topLinePunct w:val="0"/>
              <w:autoSpaceDE/>
              <w:autoSpaceDN/>
              <w:bidi w:val="0"/>
              <w:adjustRightInd/>
              <w:snapToGrid w:val="0"/>
              <w:spacing w:beforeLines="50"/>
              <w:ind w:firstLine="420"/>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w:t>
            </w:r>
            <w:r>
              <w:rPr>
                <w:rFonts w:hint="eastAsia" w:cs="Times New Roman"/>
                <w:b/>
                <w:bCs/>
                <w:color w:val="auto"/>
                <w:sz w:val="21"/>
                <w:szCs w:val="21"/>
                <w:lang w:val="en-US" w:eastAsia="zh-CN"/>
              </w:rPr>
              <w:t>12</w:t>
            </w:r>
            <w:r>
              <w:rPr>
                <w:rFonts w:hint="eastAsia" w:ascii="Times New Roman" w:hAnsi="Times New Roman" w:eastAsia="宋体" w:cs="Times New Roman"/>
                <w:b/>
                <w:bCs/>
                <w:color w:val="auto"/>
                <w:sz w:val="21"/>
                <w:szCs w:val="21"/>
              </w:rPr>
              <w:t>）与《铸造企业规范条件》（T/CFA 0310021-2023）相符性分析</w:t>
            </w:r>
          </w:p>
          <w:p w14:paraId="5825429F">
            <w:pPr>
              <w:jc w:val="center"/>
              <w:rPr>
                <w:b/>
                <w:bCs/>
                <w:color w:val="auto"/>
                <w:szCs w:val="21"/>
              </w:rPr>
            </w:pPr>
            <w:r>
              <w:rPr>
                <w:rFonts w:hint="eastAsia"/>
                <w:b/>
                <w:bCs/>
                <w:color w:val="auto"/>
                <w:szCs w:val="21"/>
              </w:rPr>
              <w:t>表1-1</w:t>
            </w:r>
            <w:r>
              <w:rPr>
                <w:rFonts w:hint="eastAsia"/>
                <w:b/>
                <w:bCs/>
                <w:color w:val="auto"/>
                <w:szCs w:val="21"/>
                <w:lang w:val="en-US" w:eastAsia="zh-CN"/>
              </w:rPr>
              <w:t>2</w:t>
            </w:r>
            <w:r>
              <w:rPr>
                <w:rFonts w:hint="eastAsia"/>
                <w:b/>
                <w:bCs/>
                <w:color w:val="auto"/>
                <w:szCs w:val="21"/>
              </w:rPr>
              <w:t>与《铸造企业规范条件》相符性分析</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596"/>
              <w:gridCol w:w="3844"/>
              <w:gridCol w:w="2150"/>
              <w:gridCol w:w="734"/>
            </w:tblGrid>
            <w:tr w14:paraId="6D9E02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3" w:hRule="atLeast"/>
                <w:jc w:val="center"/>
              </w:trPr>
              <w:tc>
                <w:tcPr>
                  <w:tcW w:w="3030" w:type="pct"/>
                  <w:gridSpan w:val="2"/>
                  <w:tcBorders>
                    <w:tl2br w:val="nil"/>
                    <w:tr2bl w:val="nil"/>
                  </w:tcBorders>
                  <w:vAlign w:val="center"/>
                </w:tcPr>
                <w:p w14:paraId="22B46ACC">
                  <w:pPr>
                    <w:widowControl/>
                    <w:jc w:val="center"/>
                    <w:rPr>
                      <w:b/>
                      <w:bCs/>
                      <w:color w:val="auto"/>
                      <w:szCs w:val="21"/>
                    </w:rPr>
                  </w:pPr>
                  <w:r>
                    <w:rPr>
                      <w:b/>
                      <w:bCs/>
                      <w:color w:val="auto"/>
                      <w:szCs w:val="21"/>
                    </w:rPr>
                    <w:t>规范条件</w:t>
                  </w:r>
                </w:p>
              </w:tc>
              <w:tc>
                <w:tcPr>
                  <w:tcW w:w="1467" w:type="pct"/>
                  <w:tcBorders>
                    <w:tl2br w:val="nil"/>
                    <w:tr2bl w:val="nil"/>
                  </w:tcBorders>
                  <w:vAlign w:val="center"/>
                </w:tcPr>
                <w:p w14:paraId="4C5F9B1A">
                  <w:pPr>
                    <w:widowControl/>
                    <w:jc w:val="center"/>
                    <w:rPr>
                      <w:b/>
                      <w:bCs/>
                      <w:color w:val="auto"/>
                      <w:szCs w:val="21"/>
                    </w:rPr>
                  </w:pPr>
                  <w:r>
                    <w:rPr>
                      <w:b/>
                      <w:bCs/>
                      <w:color w:val="auto"/>
                      <w:szCs w:val="21"/>
                    </w:rPr>
                    <w:t>本项目情况</w:t>
                  </w:r>
                </w:p>
              </w:tc>
              <w:tc>
                <w:tcPr>
                  <w:tcW w:w="501" w:type="pct"/>
                  <w:tcBorders>
                    <w:tl2br w:val="nil"/>
                    <w:tr2bl w:val="nil"/>
                  </w:tcBorders>
                  <w:vAlign w:val="center"/>
                </w:tcPr>
                <w:p w14:paraId="05297A77">
                  <w:pPr>
                    <w:widowControl/>
                    <w:jc w:val="center"/>
                    <w:rPr>
                      <w:b/>
                      <w:bCs/>
                      <w:color w:val="auto"/>
                      <w:szCs w:val="21"/>
                    </w:rPr>
                  </w:pPr>
                  <w:r>
                    <w:rPr>
                      <w:b/>
                      <w:bCs/>
                      <w:color w:val="auto"/>
                      <w:szCs w:val="21"/>
                    </w:rPr>
                    <w:t>相符性</w:t>
                  </w:r>
                </w:p>
              </w:tc>
            </w:tr>
            <w:tr w14:paraId="26A474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76" w:hRule="atLeast"/>
                <w:jc w:val="center"/>
              </w:trPr>
              <w:tc>
                <w:tcPr>
                  <w:tcW w:w="406" w:type="pct"/>
                  <w:vMerge w:val="restart"/>
                  <w:tcBorders>
                    <w:tl2br w:val="nil"/>
                    <w:tr2bl w:val="nil"/>
                  </w:tcBorders>
                  <w:vAlign w:val="center"/>
                </w:tcPr>
                <w:p w14:paraId="531CED87">
                  <w:pPr>
                    <w:widowControl/>
                    <w:jc w:val="center"/>
                    <w:rPr>
                      <w:color w:val="auto"/>
                      <w:szCs w:val="21"/>
                    </w:rPr>
                  </w:pPr>
                  <w:r>
                    <w:rPr>
                      <w:b/>
                      <w:bCs/>
                      <w:color w:val="auto"/>
                      <w:szCs w:val="21"/>
                    </w:rPr>
                    <w:t>建设条件与布局</w:t>
                  </w:r>
                </w:p>
              </w:tc>
              <w:tc>
                <w:tcPr>
                  <w:tcW w:w="2624" w:type="pct"/>
                  <w:tcBorders>
                    <w:tl2br w:val="nil"/>
                    <w:tr2bl w:val="nil"/>
                  </w:tcBorders>
                  <w:vAlign w:val="center"/>
                </w:tcPr>
                <w:p w14:paraId="5B563B0E">
                  <w:pPr>
                    <w:widowControl/>
                    <w:rPr>
                      <w:color w:val="auto"/>
                      <w:szCs w:val="21"/>
                    </w:rPr>
                  </w:pPr>
                  <w:r>
                    <w:rPr>
                      <w:color w:val="auto"/>
                      <w:szCs w:val="21"/>
                    </w:rPr>
                    <w:t>1、企业的布局和厂址的确定应符合国家相关法律法规、产业政策以及各地方装备制造业和铸造行业的总体规划要求。</w:t>
                  </w:r>
                </w:p>
              </w:tc>
              <w:tc>
                <w:tcPr>
                  <w:tcW w:w="1467" w:type="pct"/>
                  <w:tcBorders>
                    <w:tl2br w:val="nil"/>
                    <w:tr2bl w:val="nil"/>
                  </w:tcBorders>
                  <w:vAlign w:val="center"/>
                </w:tcPr>
                <w:p w14:paraId="3767029F">
                  <w:pPr>
                    <w:widowControl/>
                    <w:rPr>
                      <w:rFonts w:hint="default" w:eastAsia="宋体"/>
                      <w:color w:val="auto"/>
                      <w:szCs w:val="21"/>
                      <w:lang w:val="en-US" w:eastAsia="zh-CN"/>
                    </w:rPr>
                  </w:pPr>
                  <w:r>
                    <w:rPr>
                      <w:rFonts w:hint="eastAsia"/>
                      <w:color w:val="auto"/>
                      <w:szCs w:val="21"/>
                      <w:lang w:val="en-US" w:eastAsia="zh-CN"/>
                    </w:rPr>
                    <w:t>企业的布局和厂址符合相关规划要求。</w:t>
                  </w:r>
                </w:p>
              </w:tc>
              <w:tc>
                <w:tcPr>
                  <w:tcW w:w="501" w:type="pct"/>
                  <w:tcBorders>
                    <w:tl2br w:val="nil"/>
                    <w:tr2bl w:val="nil"/>
                  </w:tcBorders>
                  <w:vAlign w:val="center"/>
                </w:tcPr>
                <w:p w14:paraId="5E1F3D50">
                  <w:pPr>
                    <w:widowControl/>
                    <w:jc w:val="center"/>
                    <w:rPr>
                      <w:color w:val="auto"/>
                      <w:szCs w:val="21"/>
                    </w:rPr>
                  </w:pPr>
                  <w:r>
                    <w:rPr>
                      <w:color w:val="auto"/>
                      <w:szCs w:val="21"/>
                    </w:rPr>
                    <w:t>相符</w:t>
                  </w:r>
                </w:p>
              </w:tc>
            </w:tr>
            <w:tr w14:paraId="50D69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continue"/>
                  <w:tcBorders>
                    <w:tl2br w:val="nil"/>
                    <w:tr2bl w:val="nil"/>
                  </w:tcBorders>
                  <w:vAlign w:val="center"/>
                </w:tcPr>
                <w:p w14:paraId="57394742">
                  <w:pPr>
                    <w:widowControl/>
                    <w:jc w:val="center"/>
                    <w:rPr>
                      <w:color w:val="auto"/>
                      <w:szCs w:val="21"/>
                    </w:rPr>
                  </w:pPr>
                </w:p>
              </w:tc>
              <w:tc>
                <w:tcPr>
                  <w:tcW w:w="2624" w:type="pct"/>
                  <w:tcBorders>
                    <w:tl2br w:val="nil"/>
                    <w:tr2bl w:val="nil"/>
                  </w:tcBorders>
                  <w:vAlign w:val="center"/>
                </w:tcPr>
                <w:p w14:paraId="72C30830">
                  <w:pPr>
                    <w:widowControl/>
                    <w:rPr>
                      <w:color w:val="auto"/>
                      <w:szCs w:val="21"/>
                    </w:rPr>
                  </w:pPr>
                  <w:r>
                    <w:rPr>
                      <w:color w:val="auto"/>
                      <w:szCs w:val="21"/>
                    </w:rPr>
                    <w:t>2、企业生产场所应依法取得土地使用权并符合土地使用性质。</w:t>
                  </w:r>
                </w:p>
              </w:tc>
              <w:tc>
                <w:tcPr>
                  <w:tcW w:w="1467" w:type="pct"/>
                  <w:tcBorders>
                    <w:tl2br w:val="nil"/>
                    <w:tr2bl w:val="nil"/>
                  </w:tcBorders>
                  <w:vAlign w:val="center"/>
                </w:tcPr>
                <w:p w14:paraId="49AC97C7">
                  <w:pPr>
                    <w:widowControl/>
                    <w:rPr>
                      <w:rFonts w:hint="default" w:eastAsia="宋体"/>
                      <w:color w:val="auto"/>
                      <w:szCs w:val="21"/>
                      <w:lang w:val="en-US" w:eastAsia="zh-CN"/>
                    </w:rPr>
                  </w:pPr>
                  <w:r>
                    <w:rPr>
                      <w:rFonts w:hint="eastAsia"/>
                      <w:color w:val="auto"/>
                      <w:szCs w:val="21"/>
                      <w:lang w:val="en-US" w:eastAsia="zh-CN"/>
                    </w:rPr>
                    <w:t>本项目位于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color w:val="auto"/>
                      <w:szCs w:val="21"/>
                      <w:lang w:eastAsia="zh-CN"/>
                    </w:rPr>
                    <w:t>，</w:t>
                  </w:r>
                  <w:r>
                    <w:rPr>
                      <w:rFonts w:hint="eastAsia"/>
                      <w:color w:val="auto"/>
                      <w:szCs w:val="21"/>
                      <w:lang w:val="en-US" w:eastAsia="zh-CN"/>
                    </w:rPr>
                    <w:t>属于工业用地。</w:t>
                  </w:r>
                </w:p>
              </w:tc>
              <w:tc>
                <w:tcPr>
                  <w:tcW w:w="501" w:type="pct"/>
                  <w:tcBorders>
                    <w:tl2br w:val="nil"/>
                    <w:tr2bl w:val="nil"/>
                  </w:tcBorders>
                  <w:vAlign w:val="center"/>
                </w:tcPr>
                <w:p w14:paraId="3DC3FEA5">
                  <w:pPr>
                    <w:widowControl/>
                    <w:jc w:val="center"/>
                    <w:rPr>
                      <w:color w:val="auto"/>
                      <w:szCs w:val="21"/>
                    </w:rPr>
                  </w:pPr>
                  <w:r>
                    <w:rPr>
                      <w:color w:val="auto"/>
                      <w:szCs w:val="21"/>
                    </w:rPr>
                    <w:t>相符</w:t>
                  </w:r>
                </w:p>
              </w:tc>
            </w:tr>
            <w:tr w14:paraId="2E96E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42" w:hRule="atLeast"/>
                <w:jc w:val="center"/>
              </w:trPr>
              <w:tc>
                <w:tcPr>
                  <w:tcW w:w="406" w:type="pct"/>
                  <w:tcBorders>
                    <w:tl2br w:val="nil"/>
                    <w:tr2bl w:val="nil"/>
                  </w:tcBorders>
                  <w:vAlign w:val="center"/>
                </w:tcPr>
                <w:p w14:paraId="6C9E986B">
                  <w:pPr>
                    <w:widowControl/>
                    <w:jc w:val="center"/>
                    <w:rPr>
                      <w:b/>
                      <w:bCs/>
                      <w:color w:val="auto"/>
                      <w:szCs w:val="21"/>
                    </w:rPr>
                  </w:pPr>
                  <w:r>
                    <w:rPr>
                      <w:b/>
                      <w:bCs/>
                      <w:color w:val="auto"/>
                      <w:szCs w:val="21"/>
                    </w:rPr>
                    <w:t>企业</w:t>
                  </w:r>
                </w:p>
                <w:p w14:paraId="206196AF">
                  <w:pPr>
                    <w:widowControl/>
                    <w:jc w:val="center"/>
                    <w:rPr>
                      <w:color w:val="auto"/>
                      <w:szCs w:val="21"/>
                    </w:rPr>
                  </w:pPr>
                  <w:r>
                    <w:rPr>
                      <w:b/>
                      <w:bCs/>
                      <w:color w:val="auto"/>
                      <w:szCs w:val="21"/>
                    </w:rPr>
                    <w:t>规模</w:t>
                  </w:r>
                </w:p>
              </w:tc>
              <w:tc>
                <w:tcPr>
                  <w:tcW w:w="2624" w:type="pct"/>
                  <w:tcBorders>
                    <w:tl2br w:val="nil"/>
                    <w:tr2bl w:val="nil"/>
                  </w:tcBorders>
                  <w:vAlign w:val="center"/>
                </w:tcPr>
                <w:p w14:paraId="389EFC2B">
                  <w:pPr>
                    <w:widowControl/>
                    <w:jc w:val="left"/>
                    <w:rPr>
                      <w:color w:val="auto"/>
                      <w:szCs w:val="21"/>
                    </w:rPr>
                  </w:pPr>
                  <w:r>
                    <w:rPr>
                      <w:rFonts w:hint="eastAsia"/>
                      <w:color w:val="auto"/>
                      <w:szCs w:val="21"/>
                    </w:rPr>
                    <w:t>新建企业铸铁、铸钢、铝合金类项目:销售收入≥7000万元，参考产量</w:t>
                  </w:r>
                  <w:r>
                    <w:rPr>
                      <w:rFonts w:hint="eastAsia"/>
                      <w:color w:val="auto"/>
                      <w:szCs w:val="21"/>
                      <w:lang w:eastAsia="zh-CN"/>
                    </w:rPr>
                    <w:t>（</w:t>
                  </w:r>
                  <w:r>
                    <w:rPr>
                      <w:rFonts w:hint="eastAsia"/>
                      <w:color w:val="auto"/>
                      <w:szCs w:val="21"/>
                    </w:rPr>
                    <w:t>不低于)铸铁10000吨、铸钢8000吨、铝合金3000吨。</w:t>
                  </w:r>
                </w:p>
              </w:tc>
              <w:tc>
                <w:tcPr>
                  <w:tcW w:w="1467" w:type="pct"/>
                  <w:tcBorders>
                    <w:tl2br w:val="nil"/>
                    <w:tr2bl w:val="nil"/>
                  </w:tcBorders>
                  <w:vAlign w:val="center"/>
                </w:tcPr>
                <w:p w14:paraId="429EF6B9">
                  <w:pPr>
                    <w:widowControl/>
                    <w:jc w:val="left"/>
                    <w:rPr>
                      <w:rFonts w:hint="default" w:eastAsia="宋体"/>
                      <w:color w:val="auto"/>
                      <w:szCs w:val="21"/>
                      <w:lang w:val="en-US" w:eastAsia="zh-CN"/>
                    </w:rPr>
                  </w:pPr>
                  <w:r>
                    <w:rPr>
                      <w:rFonts w:hint="eastAsia"/>
                      <w:color w:val="auto"/>
                      <w:szCs w:val="21"/>
                    </w:rPr>
                    <w:t>本项目投产后年产值为</w:t>
                  </w:r>
                  <w:r>
                    <w:rPr>
                      <w:rFonts w:hint="eastAsia"/>
                      <w:color w:val="auto"/>
                      <w:szCs w:val="21"/>
                      <w:lang w:val="en-US" w:eastAsia="zh-CN"/>
                    </w:rPr>
                    <w:t>8</w:t>
                  </w:r>
                  <w:r>
                    <w:rPr>
                      <w:rFonts w:hint="eastAsia"/>
                      <w:color w:val="auto"/>
                      <w:szCs w:val="21"/>
                    </w:rPr>
                    <w:t>000万元，大于表1中的7000万元限值</w:t>
                  </w:r>
                  <w:r>
                    <w:rPr>
                      <w:rFonts w:hint="eastAsia"/>
                      <w:color w:val="auto"/>
                      <w:szCs w:val="21"/>
                      <w:lang w:eastAsia="zh-CN"/>
                    </w:rPr>
                    <w:t>；</w:t>
                  </w:r>
                  <w:r>
                    <w:rPr>
                      <w:rFonts w:hint="eastAsia"/>
                      <w:color w:val="auto"/>
                      <w:szCs w:val="21"/>
                      <w:lang w:val="en-US" w:eastAsia="zh-CN"/>
                    </w:rPr>
                    <w:t>本项目铝合金产量3000t。</w:t>
                  </w:r>
                </w:p>
              </w:tc>
              <w:tc>
                <w:tcPr>
                  <w:tcW w:w="501" w:type="pct"/>
                  <w:tcBorders>
                    <w:tl2br w:val="nil"/>
                    <w:tr2bl w:val="nil"/>
                  </w:tcBorders>
                  <w:vAlign w:val="center"/>
                </w:tcPr>
                <w:p w14:paraId="111747EE">
                  <w:pPr>
                    <w:widowControl/>
                    <w:jc w:val="center"/>
                    <w:rPr>
                      <w:color w:val="auto"/>
                      <w:szCs w:val="21"/>
                    </w:rPr>
                  </w:pPr>
                  <w:r>
                    <w:rPr>
                      <w:color w:val="auto"/>
                      <w:szCs w:val="21"/>
                    </w:rPr>
                    <w:t>相符</w:t>
                  </w:r>
                </w:p>
              </w:tc>
            </w:tr>
            <w:tr w14:paraId="4C57CA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restart"/>
                  <w:tcBorders>
                    <w:tl2br w:val="nil"/>
                    <w:tr2bl w:val="nil"/>
                  </w:tcBorders>
                  <w:vAlign w:val="center"/>
                </w:tcPr>
                <w:p w14:paraId="4872288F">
                  <w:pPr>
                    <w:widowControl/>
                    <w:jc w:val="center"/>
                    <w:rPr>
                      <w:b/>
                      <w:bCs/>
                      <w:color w:val="auto"/>
                      <w:szCs w:val="21"/>
                    </w:rPr>
                  </w:pPr>
                  <w:r>
                    <w:rPr>
                      <w:b/>
                      <w:bCs/>
                      <w:color w:val="auto"/>
                      <w:szCs w:val="21"/>
                    </w:rPr>
                    <w:t>生产</w:t>
                  </w:r>
                </w:p>
                <w:p w14:paraId="13F49D51">
                  <w:pPr>
                    <w:widowControl/>
                    <w:jc w:val="center"/>
                    <w:rPr>
                      <w:b/>
                      <w:bCs/>
                      <w:color w:val="auto"/>
                      <w:szCs w:val="21"/>
                    </w:rPr>
                  </w:pPr>
                  <w:r>
                    <w:rPr>
                      <w:b/>
                      <w:bCs/>
                      <w:color w:val="auto"/>
                      <w:szCs w:val="21"/>
                    </w:rPr>
                    <w:t>工艺</w:t>
                  </w:r>
                </w:p>
              </w:tc>
              <w:tc>
                <w:tcPr>
                  <w:tcW w:w="2624" w:type="pct"/>
                  <w:tcBorders>
                    <w:tl2br w:val="nil"/>
                    <w:tr2bl w:val="nil"/>
                  </w:tcBorders>
                  <w:vAlign w:val="center"/>
                </w:tcPr>
                <w:p w14:paraId="79036A05">
                  <w:pPr>
                    <w:widowControl/>
                    <w:rPr>
                      <w:color w:val="auto"/>
                      <w:szCs w:val="21"/>
                    </w:rPr>
                  </w:pPr>
                  <w:r>
                    <w:rPr>
                      <w:color w:val="auto"/>
                      <w:szCs w:val="21"/>
                    </w:rPr>
                    <w:t>1、企业应根据生产铸件的材质、品种、批量，合理选择低污染、低排放、低能耗、经济高效的铸造工艺。</w:t>
                  </w:r>
                </w:p>
              </w:tc>
              <w:tc>
                <w:tcPr>
                  <w:tcW w:w="1467" w:type="pct"/>
                  <w:tcBorders>
                    <w:tl2br w:val="nil"/>
                    <w:tr2bl w:val="nil"/>
                  </w:tcBorders>
                  <w:vAlign w:val="center"/>
                </w:tcPr>
                <w:p w14:paraId="3208B449">
                  <w:pPr>
                    <w:widowControl/>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本项目电炉选用国内最为</w:t>
                  </w:r>
                  <w:r>
                    <w:rPr>
                      <w:rFonts w:hint="eastAsia" w:cs="Times New Roman"/>
                      <w:color w:val="auto"/>
                      <w:szCs w:val="21"/>
                      <w:lang w:eastAsia="zh-CN"/>
                    </w:rPr>
                    <w:t>先</w:t>
                  </w:r>
                  <w:r>
                    <w:rPr>
                      <w:rFonts w:hint="eastAsia" w:ascii="Times New Roman" w:hAnsi="Times New Roman" w:eastAsia="宋体" w:cs="Times New Roman"/>
                      <w:color w:val="auto"/>
                      <w:szCs w:val="21"/>
                    </w:rPr>
                    <w:t>进的电炉，低耗能，低排放；</w:t>
                  </w:r>
                </w:p>
                <w:p w14:paraId="5CAE1625">
                  <w:pPr>
                    <w:widowControl/>
                    <w:jc w:val="left"/>
                    <w:rPr>
                      <w:rFonts w:hint="eastAsia" w:ascii="Times New Roman" w:hAnsi="Times New Roman" w:eastAsia="宋体" w:cs="Times New Roman"/>
                      <w:color w:val="auto"/>
                      <w:szCs w:val="21"/>
                    </w:rPr>
                  </w:pPr>
                  <w:r>
                    <w:rPr>
                      <w:rFonts w:hint="eastAsia" w:cs="Times New Roman"/>
                      <w:color w:val="auto"/>
                      <w:szCs w:val="21"/>
                      <w:lang w:val="en-US" w:eastAsia="zh-CN"/>
                    </w:rPr>
                    <w:t>企业</w:t>
                  </w:r>
                  <w:r>
                    <w:rPr>
                      <w:rFonts w:hint="eastAsia" w:ascii="Times New Roman" w:hAnsi="Times New Roman" w:eastAsia="宋体" w:cs="Times New Roman"/>
                      <w:color w:val="auto"/>
                      <w:szCs w:val="21"/>
                      <w:lang w:val="en-US" w:eastAsia="zh-CN"/>
                    </w:rPr>
                    <w:t>主要</w:t>
                  </w:r>
                  <w:r>
                    <w:rPr>
                      <w:rFonts w:hint="eastAsia" w:ascii="Times New Roman" w:hAnsi="Times New Roman" w:eastAsia="宋体" w:cs="Times New Roman"/>
                      <w:color w:val="auto"/>
                      <w:szCs w:val="21"/>
                    </w:rPr>
                    <w:t>采用</w:t>
                  </w:r>
                  <w:r>
                    <w:rPr>
                      <w:rFonts w:hint="eastAsia"/>
                      <w:color w:val="auto"/>
                      <w:szCs w:val="21"/>
                      <w:lang w:eastAsia="zh-CN"/>
                    </w:rPr>
                    <w:t>金属型铸造（覆膜砂干芯）工艺</w:t>
                  </w:r>
                  <w:r>
                    <w:rPr>
                      <w:rFonts w:hint="eastAsia" w:ascii="Times New Roman" w:hAnsi="Times New Roman" w:eastAsia="宋体" w:cs="Times New Roman"/>
                      <w:color w:val="auto"/>
                      <w:szCs w:val="21"/>
                    </w:rPr>
                    <w:t>，生产中产生的污染物进行合理处置。</w:t>
                  </w:r>
                </w:p>
              </w:tc>
              <w:tc>
                <w:tcPr>
                  <w:tcW w:w="501" w:type="pct"/>
                  <w:tcBorders>
                    <w:tl2br w:val="nil"/>
                    <w:tr2bl w:val="nil"/>
                  </w:tcBorders>
                  <w:vAlign w:val="center"/>
                </w:tcPr>
                <w:p w14:paraId="638DC50D">
                  <w:pPr>
                    <w:widowControl/>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相符</w:t>
                  </w:r>
                </w:p>
              </w:tc>
            </w:tr>
            <w:tr w14:paraId="7A12F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continue"/>
                  <w:tcBorders>
                    <w:tl2br w:val="nil"/>
                    <w:tr2bl w:val="nil"/>
                  </w:tcBorders>
                  <w:vAlign w:val="center"/>
                </w:tcPr>
                <w:p w14:paraId="1F0C7DC1">
                  <w:pPr>
                    <w:widowControl/>
                    <w:jc w:val="center"/>
                    <w:rPr>
                      <w:b/>
                      <w:bCs/>
                      <w:color w:val="auto"/>
                      <w:szCs w:val="21"/>
                    </w:rPr>
                  </w:pPr>
                </w:p>
              </w:tc>
              <w:tc>
                <w:tcPr>
                  <w:tcW w:w="2624" w:type="pct"/>
                  <w:tcBorders>
                    <w:tl2br w:val="nil"/>
                    <w:tr2bl w:val="nil"/>
                  </w:tcBorders>
                  <w:vAlign w:val="center"/>
                </w:tcPr>
                <w:p w14:paraId="2B482445">
                  <w:pPr>
                    <w:widowControl/>
                    <w:rPr>
                      <w:color w:val="auto"/>
                      <w:szCs w:val="21"/>
                    </w:rPr>
                  </w:pPr>
                  <w:r>
                    <w:rPr>
                      <w:color w:val="auto"/>
                      <w:szCs w:val="21"/>
                    </w:rPr>
                    <w:t>2、</w:t>
                  </w:r>
                  <w:r>
                    <w:rPr>
                      <w:rFonts w:hint="eastAsia"/>
                      <w:color w:val="auto"/>
                      <w:szCs w:val="21"/>
                    </w:rPr>
                    <w:t>……不应采用粘土砂干型/芯、油砂制芯、</w:t>
                  </w:r>
                  <w:r>
                    <w:rPr>
                      <w:rFonts w:hint="eastAsia"/>
                      <w:color w:val="auto"/>
                      <w:szCs w:val="21"/>
                      <w:lang w:eastAsia="zh-CN"/>
                    </w:rPr>
                    <w:t>七〇</w:t>
                  </w:r>
                  <w:r>
                    <w:rPr>
                      <w:rFonts w:hint="eastAsia"/>
                      <w:color w:val="auto"/>
                      <w:szCs w:val="21"/>
                    </w:rPr>
                    <w:t>砂制型/芯等落后铸造工艺；粘土砂工艺批量生产铸件不应采用手工造型；……</w:t>
                  </w:r>
                  <w:r>
                    <w:rPr>
                      <w:color w:val="auto"/>
                      <w:szCs w:val="21"/>
                    </w:rPr>
                    <w:t>。</w:t>
                  </w:r>
                </w:p>
              </w:tc>
              <w:tc>
                <w:tcPr>
                  <w:tcW w:w="1467" w:type="pct"/>
                  <w:tcBorders>
                    <w:tl2br w:val="nil"/>
                    <w:tr2bl w:val="nil"/>
                  </w:tcBorders>
                  <w:vAlign w:val="center"/>
                </w:tcPr>
                <w:p w14:paraId="2B5258E8">
                  <w:pPr>
                    <w:widowControl/>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w:t>
                  </w:r>
                  <w:r>
                    <w:rPr>
                      <w:rFonts w:hint="eastAsia" w:cs="Times New Roman"/>
                      <w:color w:val="auto"/>
                      <w:szCs w:val="21"/>
                      <w:lang w:val="en-US" w:eastAsia="zh-CN"/>
                    </w:rPr>
                    <w:t>不采用国家明令淘汰的生产工艺；本项目采用</w:t>
                  </w:r>
                  <w:r>
                    <w:rPr>
                      <w:rFonts w:hint="eastAsia"/>
                      <w:color w:val="auto"/>
                      <w:szCs w:val="21"/>
                      <w:lang w:eastAsia="zh-CN"/>
                    </w:rPr>
                    <w:t>金属型铸造（覆膜砂干芯）工艺</w:t>
                  </w:r>
                  <w:r>
                    <w:rPr>
                      <w:rFonts w:hint="eastAsia" w:ascii="Times New Roman" w:hAnsi="Times New Roman" w:eastAsia="宋体" w:cs="Times New Roman"/>
                      <w:color w:val="auto"/>
                      <w:szCs w:val="21"/>
                    </w:rPr>
                    <w:t>。</w:t>
                  </w:r>
                </w:p>
              </w:tc>
              <w:tc>
                <w:tcPr>
                  <w:tcW w:w="501" w:type="pct"/>
                  <w:tcBorders>
                    <w:tl2br w:val="nil"/>
                    <w:tr2bl w:val="nil"/>
                  </w:tcBorders>
                  <w:vAlign w:val="center"/>
                </w:tcPr>
                <w:p w14:paraId="7DD7FAC9">
                  <w:pPr>
                    <w:widowControl/>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相符</w:t>
                  </w:r>
                </w:p>
              </w:tc>
            </w:tr>
            <w:tr w14:paraId="64EACA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continue"/>
                  <w:tcBorders>
                    <w:tl2br w:val="nil"/>
                    <w:tr2bl w:val="nil"/>
                  </w:tcBorders>
                  <w:vAlign w:val="center"/>
                </w:tcPr>
                <w:p w14:paraId="6D1E3BB6">
                  <w:pPr>
                    <w:widowControl/>
                    <w:jc w:val="center"/>
                    <w:rPr>
                      <w:b/>
                      <w:bCs/>
                      <w:color w:val="auto"/>
                      <w:szCs w:val="21"/>
                    </w:rPr>
                  </w:pPr>
                </w:p>
              </w:tc>
              <w:tc>
                <w:tcPr>
                  <w:tcW w:w="2624" w:type="pct"/>
                  <w:tcBorders>
                    <w:tl2br w:val="nil"/>
                    <w:tr2bl w:val="nil"/>
                  </w:tcBorders>
                  <w:vAlign w:val="center"/>
                </w:tcPr>
                <w:p w14:paraId="138FE6F0">
                  <w:pPr>
                    <w:widowControl/>
                    <w:rPr>
                      <w:color w:val="auto"/>
                      <w:szCs w:val="21"/>
                    </w:rPr>
                  </w:pPr>
                  <w:r>
                    <w:rPr>
                      <w:color w:val="auto"/>
                      <w:szCs w:val="21"/>
                    </w:rPr>
                    <w:t>3、新（扩、改）建粘土砂型...熔模精密铸造...不应采用水玻璃熔模精密铸造工艺。</w:t>
                  </w:r>
                </w:p>
              </w:tc>
              <w:tc>
                <w:tcPr>
                  <w:tcW w:w="1467" w:type="pct"/>
                  <w:tcBorders>
                    <w:tl2br w:val="nil"/>
                    <w:tr2bl w:val="nil"/>
                  </w:tcBorders>
                  <w:vAlign w:val="center"/>
                </w:tcPr>
                <w:p w14:paraId="05417953">
                  <w:pPr>
                    <w:widowControl/>
                    <w:rPr>
                      <w:color w:val="auto"/>
                      <w:szCs w:val="21"/>
                    </w:rPr>
                  </w:pPr>
                  <w:r>
                    <w:rPr>
                      <w:color w:val="auto"/>
                      <w:szCs w:val="21"/>
                    </w:rPr>
                    <w:t>本项目</w:t>
                  </w:r>
                  <w:r>
                    <w:rPr>
                      <w:rFonts w:hint="eastAsia"/>
                      <w:color w:val="auto"/>
                      <w:szCs w:val="21"/>
                    </w:rPr>
                    <w:t>不属于</w:t>
                  </w:r>
                  <w:r>
                    <w:rPr>
                      <w:color w:val="auto"/>
                      <w:szCs w:val="21"/>
                    </w:rPr>
                    <w:t>水玻璃熔模精密铸造工艺。</w:t>
                  </w:r>
                </w:p>
              </w:tc>
              <w:tc>
                <w:tcPr>
                  <w:tcW w:w="501" w:type="pct"/>
                  <w:tcBorders>
                    <w:tl2br w:val="nil"/>
                    <w:tr2bl w:val="nil"/>
                  </w:tcBorders>
                  <w:vAlign w:val="center"/>
                </w:tcPr>
                <w:p w14:paraId="155F7536">
                  <w:pPr>
                    <w:widowControl/>
                    <w:jc w:val="center"/>
                    <w:rPr>
                      <w:color w:val="auto"/>
                      <w:szCs w:val="21"/>
                    </w:rPr>
                  </w:pPr>
                  <w:r>
                    <w:rPr>
                      <w:color w:val="auto"/>
                      <w:szCs w:val="21"/>
                    </w:rPr>
                    <w:t>相符</w:t>
                  </w:r>
                </w:p>
              </w:tc>
            </w:tr>
            <w:tr w14:paraId="3FFFE9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restart"/>
                  <w:tcBorders>
                    <w:tl2br w:val="nil"/>
                    <w:tr2bl w:val="nil"/>
                  </w:tcBorders>
                  <w:vAlign w:val="center"/>
                </w:tcPr>
                <w:p w14:paraId="6D549E9D">
                  <w:pPr>
                    <w:widowControl/>
                    <w:jc w:val="center"/>
                    <w:rPr>
                      <w:b/>
                      <w:bCs/>
                      <w:color w:val="auto"/>
                      <w:szCs w:val="21"/>
                    </w:rPr>
                  </w:pPr>
                  <w:r>
                    <w:rPr>
                      <w:b/>
                      <w:bCs/>
                      <w:color w:val="auto"/>
                      <w:szCs w:val="21"/>
                    </w:rPr>
                    <w:t>生产</w:t>
                  </w:r>
                </w:p>
                <w:p w14:paraId="38451DE4">
                  <w:pPr>
                    <w:widowControl/>
                    <w:jc w:val="center"/>
                    <w:rPr>
                      <w:b/>
                      <w:bCs/>
                      <w:color w:val="auto"/>
                      <w:szCs w:val="21"/>
                    </w:rPr>
                  </w:pPr>
                  <w:r>
                    <w:rPr>
                      <w:b/>
                      <w:bCs/>
                      <w:color w:val="auto"/>
                      <w:szCs w:val="21"/>
                    </w:rPr>
                    <w:t>设备</w:t>
                  </w:r>
                </w:p>
              </w:tc>
              <w:tc>
                <w:tcPr>
                  <w:tcW w:w="2624" w:type="pct"/>
                  <w:tcBorders>
                    <w:tl2br w:val="nil"/>
                    <w:tr2bl w:val="nil"/>
                  </w:tcBorders>
                  <w:vAlign w:val="center"/>
                </w:tcPr>
                <w:p w14:paraId="1E167FBC">
                  <w:pPr>
                    <w:widowControl/>
                    <w:rPr>
                      <w:rFonts w:ascii="Times New Roman" w:hAnsi="Times New Roman" w:eastAsia="宋体" w:cs="Times New Roman"/>
                      <w:color w:val="auto"/>
                      <w:szCs w:val="21"/>
                    </w:rPr>
                  </w:pPr>
                  <w:r>
                    <w:rPr>
                      <w:rFonts w:ascii="Times New Roman" w:hAnsi="Times New Roman" w:eastAsia="宋体" w:cs="Times New Roman"/>
                      <w:color w:val="auto"/>
                      <w:szCs w:val="21"/>
                    </w:rPr>
                    <w:t>总则：（1）企业不应使用国家明令淘汰的生产装备，如：无芯工频感应电炉、0.25t及以上无磁轭的铝壳感应炉等。（2）采用冲天炉</w:t>
                  </w:r>
                  <w:r>
                    <w:rPr>
                      <w:rFonts w:hint="eastAsia" w:ascii="Times New Roman" w:hAnsi="Times New Roman" w:eastAsia="宋体" w:cs="Times New Roman"/>
                      <w:color w:val="auto"/>
                      <w:szCs w:val="21"/>
                    </w:rPr>
                    <w:t>熔炼</w:t>
                  </w:r>
                  <w:r>
                    <w:rPr>
                      <w:rFonts w:ascii="Times New Roman" w:hAnsi="Times New Roman" w:eastAsia="宋体" w:cs="Times New Roman"/>
                      <w:color w:val="auto"/>
                      <w:szCs w:val="21"/>
                    </w:rPr>
                    <w:t>，其设备熔化率宜大于10吨/小时。</w:t>
                  </w:r>
                </w:p>
              </w:tc>
              <w:tc>
                <w:tcPr>
                  <w:tcW w:w="1467" w:type="pct"/>
                  <w:tcBorders>
                    <w:tl2br w:val="nil"/>
                    <w:tr2bl w:val="nil"/>
                  </w:tcBorders>
                  <w:vAlign w:val="center"/>
                </w:tcPr>
                <w:p w14:paraId="5188511E">
                  <w:pPr>
                    <w:widowControl/>
                    <w:rPr>
                      <w:color w:val="auto"/>
                      <w:szCs w:val="21"/>
                    </w:rPr>
                  </w:pPr>
                  <w:r>
                    <w:rPr>
                      <w:rFonts w:hint="eastAsia"/>
                      <w:color w:val="auto"/>
                      <w:szCs w:val="21"/>
                    </w:rPr>
                    <w:t>本项目使用</w:t>
                  </w:r>
                  <w:r>
                    <w:rPr>
                      <w:rFonts w:hint="eastAsia"/>
                      <w:color w:val="auto"/>
                      <w:szCs w:val="21"/>
                      <w:lang w:val="en-US" w:eastAsia="zh-CN"/>
                    </w:rPr>
                    <w:t>1台1</w:t>
                  </w:r>
                  <w:r>
                    <w:rPr>
                      <w:rFonts w:hint="eastAsia"/>
                      <w:color w:val="auto"/>
                      <w:szCs w:val="21"/>
                    </w:rPr>
                    <w:t>t的电阻式坩埚熔化炉，不涉及上述设备。</w:t>
                  </w:r>
                </w:p>
              </w:tc>
              <w:tc>
                <w:tcPr>
                  <w:tcW w:w="501" w:type="pct"/>
                  <w:tcBorders>
                    <w:tl2br w:val="nil"/>
                    <w:tr2bl w:val="nil"/>
                  </w:tcBorders>
                  <w:vAlign w:val="center"/>
                </w:tcPr>
                <w:p w14:paraId="3EC212AC">
                  <w:pPr>
                    <w:widowControl/>
                    <w:jc w:val="center"/>
                    <w:rPr>
                      <w:color w:val="auto"/>
                      <w:szCs w:val="21"/>
                    </w:rPr>
                  </w:pPr>
                  <w:r>
                    <w:rPr>
                      <w:color w:val="auto"/>
                      <w:szCs w:val="21"/>
                    </w:rPr>
                    <w:t>相符</w:t>
                  </w:r>
                </w:p>
              </w:tc>
            </w:tr>
            <w:tr w14:paraId="7DD77D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continue"/>
                  <w:tcBorders>
                    <w:tl2br w:val="nil"/>
                    <w:tr2bl w:val="nil"/>
                  </w:tcBorders>
                  <w:vAlign w:val="center"/>
                </w:tcPr>
                <w:p w14:paraId="3118B212">
                  <w:pPr>
                    <w:widowControl/>
                    <w:jc w:val="center"/>
                    <w:rPr>
                      <w:color w:val="auto"/>
                      <w:szCs w:val="21"/>
                    </w:rPr>
                  </w:pPr>
                </w:p>
              </w:tc>
              <w:tc>
                <w:tcPr>
                  <w:tcW w:w="2624" w:type="pct"/>
                  <w:tcBorders>
                    <w:tl2br w:val="nil"/>
                    <w:tr2bl w:val="nil"/>
                  </w:tcBorders>
                  <w:vAlign w:val="center"/>
                </w:tcPr>
                <w:p w14:paraId="5CE71F32">
                  <w:pPr>
                    <w:widowControl/>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熔炼</w:t>
                  </w:r>
                  <w:r>
                    <w:rPr>
                      <w:rFonts w:ascii="Times New Roman" w:hAnsi="Times New Roman" w:eastAsia="宋体" w:cs="Times New Roman"/>
                      <w:color w:val="auto"/>
                      <w:szCs w:val="21"/>
                    </w:rPr>
                    <w:t>（化）及炉前检测设备：（1）企业应配备与生产能力相匹配的</w:t>
                  </w:r>
                  <w:r>
                    <w:rPr>
                      <w:rFonts w:hint="eastAsia" w:ascii="Times New Roman" w:hAnsi="Times New Roman" w:eastAsia="宋体" w:cs="Times New Roman"/>
                      <w:color w:val="auto"/>
                      <w:szCs w:val="21"/>
                    </w:rPr>
                    <w:t>熔炼</w:t>
                  </w:r>
                  <w:r>
                    <w:rPr>
                      <w:rFonts w:ascii="Times New Roman" w:hAnsi="Times New Roman" w:eastAsia="宋体" w:cs="Times New Roman"/>
                      <w:color w:val="auto"/>
                      <w:szCs w:val="21"/>
                    </w:rPr>
                    <w:t>（化）设备，如冲天炉、电弧炉、精炼炉（AOD、VOD、LF等）、电阻炉、燃气炉、熔化炉等。（2）企业</w:t>
                  </w:r>
                  <w:r>
                    <w:rPr>
                      <w:rFonts w:hint="eastAsia" w:ascii="Times New Roman" w:hAnsi="Times New Roman" w:eastAsia="宋体" w:cs="Times New Roman"/>
                      <w:color w:val="auto"/>
                      <w:szCs w:val="21"/>
                    </w:rPr>
                    <w:t>熔炼</w:t>
                  </w:r>
                  <w:r>
                    <w:rPr>
                      <w:rFonts w:ascii="Times New Roman" w:hAnsi="Times New Roman" w:eastAsia="宋体" w:cs="Times New Roman"/>
                      <w:color w:val="auto"/>
                      <w:szCs w:val="21"/>
                    </w:rPr>
                    <w:t>（化）炉前应配置必要的化学</w:t>
                  </w:r>
                  <w:r>
                    <w:rPr>
                      <w:rFonts w:hint="eastAsia" w:cs="Times New Roman"/>
                      <w:color w:val="auto"/>
                      <w:szCs w:val="21"/>
                      <w:lang w:eastAsia="zh-CN"/>
                    </w:rPr>
                    <w:t>成分分析</w:t>
                  </w:r>
                  <w:r>
                    <w:rPr>
                      <w:rFonts w:ascii="Times New Roman" w:hAnsi="Times New Roman" w:eastAsia="宋体" w:cs="Times New Roman"/>
                      <w:color w:val="auto"/>
                      <w:szCs w:val="21"/>
                    </w:rPr>
                    <w:t>、金属液温度测量等检测仪器。</w:t>
                  </w:r>
                </w:p>
              </w:tc>
              <w:tc>
                <w:tcPr>
                  <w:tcW w:w="1467" w:type="pct"/>
                  <w:tcBorders>
                    <w:tl2br w:val="nil"/>
                    <w:tr2bl w:val="nil"/>
                  </w:tcBorders>
                  <w:vAlign w:val="center"/>
                </w:tcPr>
                <w:p w14:paraId="2580D3C0">
                  <w:pPr>
                    <w:widowControl/>
                    <w:rPr>
                      <w:color w:val="auto"/>
                      <w:szCs w:val="21"/>
                    </w:rPr>
                  </w:pPr>
                  <w:r>
                    <w:rPr>
                      <w:color w:val="auto"/>
                      <w:szCs w:val="21"/>
                    </w:rPr>
                    <w:t>本项目配备与生产能力相匹配的熔化设备</w:t>
                  </w:r>
                  <w:r>
                    <w:rPr>
                      <w:rFonts w:hint="eastAsia"/>
                      <w:color w:val="auto"/>
                      <w:szCs w:val="21"/>
                    </w:rPr>
                    <w:t>：</w:t>
                  </w:r>
                  <w:r>
                    <w:rPr>
                      <w:rFonts w:hint="eastAsia"/>
                      <w:color w:val="auto"/>
                      <w:szCs w:val="21"/>
                      <w:lang w:val="en-US" w:eastAsia="zh-CN"/>
                    </w:rPr>
                    <w:t>1</w:t>
                  </w:r>
                  <w:r>
                    <w:rPr>
                      <w:rFonts w:hint="eastAsia"/>
                      <w:color w:val="auto"/>
                      <w:szCs w:val="21"/>
                    </w:rPr>
                    <w:t>T 电阻式坩埚熔化炉</w:t>
                  </w:r>
                  <w:r>
                    <w:rPr>
                      <w:rFonts w:hint="eastAsia"/>
                      <w:color w:val="auto"/>
                      <w:szCs w:val="21"/>
                      <w:lang w:val="en-US" w:eastAsia="zh-CN"/>
                    </w:rPr>
                    <w:t>1</w:t>
                  </w:r>
                  <w:r>
                    <w:rPr>
                      <w:rFonts w:hint="eastAsia"/>
                      <w:color w:val="auto"/>
                      <w:szCs w:val="21"/>
                    </w:rPr>
                    <w:t>台套</w:t>
                  </w:r>
                  <w:r>
                    <w:rPr>
                      <w:color w:val="auto"/>
                      <w:szCs w:val="21"/>
                    </w:rPr>
                    <w:t>。</w:t>
                  </w:r>
                  <w:r>
                    <w:rPr>
                      <w:rFonts w:hint="eastAsia"/>
                      <w:color w:val="auto"/>
                      <w:szCs w:val="21"/>
                    </w:rPr>
                    <w:t>电阻式坩埚熔化炉</w:t>
                  </w:r>
                  <w:r>
                    <w:rPr>
                      <w:color w:val="auto"/>
                      <w:szCs w:val="21"/>
                    </w:rPr>
                    <w:t>前配置</w:t>
                  </w:r>
                  <w:r>
                    <w:rPr>
                      <w:rFonts w:hint="eastAsia"/>
                      <w:color w:val="auto"/>
                      <w:szCs w:val="21"/>
                    </w:rPr>
                    <w:t>红外C/S分析仪、电子分析天平、真空直读光谱仪</w:t>
                  </w:r>
                  <w:r>
                    <w:rPr>
                      <w:color w:val="auto"/>
                      <w:szCs w:val="21"/>
                    </w:rPr>
                    <w:t>等检测仪器。</w:t>
                  </w:r>
                </w:p>
              </w:tc>
              <w:tc>
                <w:tcPr>
                  <w:tcW w:w="501" w:type="pct"/>
                  <w:tcBorders>
                    <w:tl2br w:val="nil"/>
                    <w:tr2bl w:val="nil"/>
                  </w:tcBorders>
                  <w:vAlign w:val="center"/>
                </w:tcPr>
                <w:p w14:paraId="76FAD372">
                  <w:pPr>
                    <w:widowControl/>
                    <w:jc w:val="center"/>
                    <w:rPr>
                      <w:color w:val="auto"/>
                      <w:szCs w:val="21"/>
                    </w:rPr>
                  </w:pPr>
                  <w:r>
                    <w:rPr>
                      <w:color w:val="auto"/>
                      <w:szCs w:val="21"/>
                    </w:rPr>
                    <w:t>相符</w:t>
                  </w:r>
                </w:p>
              </w:tc>
            </w:tr>
            <w:tr w14:paraId="797E88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077" w:hRule="atLeast"/>
                <w:jc w:val="center"/>
              </w:trPr>
              <w:tc>
                <w:tcPr>
                  <w:tcW w:w="406" w:type="pct"/>
                  <w:vMerge w:val="continue"/>
                  <w:tcBorders>
                    <w:tl2br w:val="nil"/>
                    <w:tr2bl w:val="nil"/>
                  </w:tcBorders>
                  <w:vAlign w:val="center"/>
                </w:tcPr>
                <w:p w14:paraId="10E5B943">
                  <w:pPr>
                    <w:widowControl/>
                    <w:jc w:val="center"/>
                    <w:rPr>
                      <w:color w:val="auto"/>
                      <w:szCs w:val="21"/>
                    </w:rPr>
                  </w:pPr>
                </w:p>
              </w:tc>
              <w:tc>
                <w:tcPr>
                  <w:tcW w:w="2624" w:type="pct"/>
                  <w:tcBorders>
                    <w:tl2br w:val="nil"/>
                    <w:tr2bl w:val="nil"/>
                  </w:tcBorders>
                  <w:vAlign w:val="center"/>
                </w:tcPr>
                <w:p w14:paraId="2CDD62D1">
                  <w:pPr>
                    <w:widowControl/>
                    <w:rPr>
                      <w:rFonts w:ascii="Times New Roman" w:hAnsi="Times New Roman" w:eastAsia="宋体" w:cs="Times New Roman"/>
                      <w:color w:val="auto"/>
                      <w:szCs w:val="21"/>
                    </w:rPr>
                  </w:pPr>
                  <w:r>
                    <w:rPr>
                      <w:rFonts w:ascii="Times New Roman" w:hAnsi="Times New Roman" w:eastAsia="宋体" w:cs="Times New Roman"/>
                      <w:color w:val="auto"/>
                      <w:szCs w:val="21"/>
                    </w:rPr>
                    <w:t>3、企业应配备与产品与生产能力相匹配的造型、制芯及其他成型设备（线），如......压铸设备......。</w:t>
                  </w:r>
                </w:p>
              </w:tc>
              <w:tc>
                <w:tcPr>
                  <w:tcW w:w="1467" w:type="pct"/>
                  <w:tcBorders>
                    <w:tl2br w:val="nil"/>
                    <w:tr2bl w:val="nil"/>
                  </w:tcBorders>
                  <w:vAlign w:val="center"/>
                </w:tcPr>
                <w:p w14:paraId="523DBC99">
                  <w:pPr>
                    <w:widowControl/>
                    <w:rPr>
                      <w:color w:val="auto"/>
                      <w:szCs w:val="21"/>
                    </w:rPr>
                  </w:pPr>
                  <w:r>
                    <w:rPr>
                      <w:color w:val="auto"/>
                      <w:szCs w:val="21"/>
                    </w:rPr>
                    <w:t>本项目配备产品与生产能力相匹配的</w:t>
                  </w:r>
                  <w:r>
                    <w:rPr>
                      <w:rFonts w:hint="eastAsia"/>
                      <w:color w:val="auto"/>
                      <w:szCs w:val="21"/>
                      <w:lang w:val="en-US" w:eastAsia="zh-CN"/>
                    </w:rPr>
                    <w:t>制芯</w:t>
                  </w:r>
                  <w:r>
                    <w:rPr>
                      <w:color w:val="auto"/>
                      <w:szCs w:val="21"/>
                    </w:rPr>
                    <w:t>设备（线）。</w:t>
                  </w:r>
                </w:p>
              </w:tc>
              <w:tc>
                <w:tcPr>
                  <w:tcW w:w="501" w:type="pct"/>
                  <w:tcBorders>
                    <w:tl2br w:val="nil"/>
                    <w:tr2bl w:val="nil"/>
                  </w:tcBorders>
                  <w:vAlign w:val="center"/>
                </w:tcPr>
                <w:p w14:paraId="3384EF0C">
                  <w:pPr>
                    <w:widowControl/>
                    <w:jc w:val="center"/>
                    <w:rPr>
                      <w:color w:val="auto"/>
                      <w:szCs w:val="21"/>
                    </w:rPr>
                  </w:pPr>
                  <w:r>
                    <w:rPr>
                      <w:color w:val="auto"/>
                      <w:szCs w:val="21"/>
                    </w:rPr>
                    <w:t>相符</w:t>
                  </w:r>
                </w:p>
              </w:tc>
            </w:tr>
            <w:tr w14:paraId="0BE027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406" w:type="pct"/>
                  <w:vMerge w:val="continue"/>
                  <w:tcBorders>
                    <w:tl2br w:val="nil"/>
                    <w:tr2bl w:val="nil"/>
                  </w:tcBorders>
                  <w:vAlign w:val="center"/>
                </w:tcPr>
                <w:p w14:paraId="2EB9DC4B">
                  <w:pPr>
                    <w:widowControl/>
                    <w:jc w:val="center"/>
                    <w:rPr>
                      <w:color w:val="auto"/>
                      <w:szCs w:val="21"/>
                    </w:rPr>
                  </w:pPr>
                </w:p>
              </w:tc>
              <w:tc>
                <w:tcPr>
                  <w:tcW w:w="2624" w:type="pct"/>
                  <w:tcBorders>
                    <w:tl2br w:val="nil"/>
                    <w:tr2bl w:val="nil"/>
                  </w:tcBorders>
                  <w:vAlign w:val="center"/>
                </w:tcPr>
                <w:p w14:paraId="10908912">
                  <w:pPr>
                    <w:widowControl/>
                    <w:rPr>
                      <w:color w:val="auto"/>
                      <w:szCs w:val="21"/>
                    </w:rPr>
                  </w:pPr>
                  <w:r>
                    <w:rPr>
                      <w:rFonts w:hint="eastAsia"/>
                      <w:color w:val="auto"/>
                      <w:szCs w:val="21"/>
                    </w:rPr>
                    <w:t>4、砂处理及砂再生设备。采用粘</w:t>
                  </w:r>
                  <w:r>
                    <w:rPr>
                      <w:rFonts w:hint="eastAsia"/>
                      <w:color w:val="auto"/>
                      <w:szCs w:val="21"/>
                      <w:lang w:val="en-US" w:eastAsia="zh-CN"/>
                    </w:rPr>
                    <w:t>土</w:t>
                  </w:r>
                  <w:r>
                    <w:rPr>
                      <w:rFonts w:hint="eastAsia"/>
                      <w:color w:val="auto"/>
                      <w:szCs w:val="21"/>
                    </w:rPr>
                    <w:t>砂、树脂自硬砂、酯硬化水玻璃</w:t>
                  </w:r>
                  <w:r>
                    <w:rPr>
                      <w:rFonts w:hint="eastAsia"/>
                      <w:color w:val="auto"/>
                      <w:szCs w:val="21"/>
                      <w:lang w:eastAsia="zh-CN"/>
                    </w:rPr>
                    <w:t>、</w:t>
                  </w:r>
                  <w:r>
                    <w:rPr>
                      <w:rFonts w:hint="eastAsia"/>
                      <w:color w:val="auto"/>
                      <w:szCs w:val="21"/>
                    </w:rPr>
                    <w:t>水玻璃砂铸造工艺的企业应配备完善的砂处理及砂再生设备，各种旧砂的回用率应达到表2的要求。（表2中</w:t>
                  </w:r>
                  <w:r>
                    <w:rPr>
                      <w:rFonts w:hint="eastAsia"/>
                      <w:color w:val="auto"/>
                      <w:szCs w:val="21"/>
                      <w:lang w:val="en-US" w:eastAsia="zh-CN"/>
                    </w:rPr>
                    <w:t>其他树脂自硬砂</w:t>
                  </w:r>
                  <w:r>
                    <w:rPr>
                      <w:rFonts w:hint="eastAsia"/>
                      <w:color w:val="auto"/>
                      <w:szCs w:val="21"/>
                    </w:rPr>
                    <w:t>回用率≥</w:t>
                  </w:r>
                  <w:r>
                    <w:rPr>
                      <w:rFonts w:hint="eastAsia"/>
                      <w:color w:val="auto"/>
                      <w:szCs w:val="21"/>
                      <w:lang w:val="en-US" w:eastAsia="zh-CN"/>
                    </w:rPr>
                    <w:t>80</w:t>
                  </w:r>
                  <w:r>
                    <w:rPr>
                      <w:rFonts w:hint="eastAsia"/>
                      <w:color w:val="auto"/>
                      <w:szCs w:val="21"/>
                    </w:rPr>
                    <w:t>%）</w:t>
                  </w:r>
                </w:p>
              </w:tc>
              <w:tc>
                <w:tcPr>
                  <w:tcW w:w="1467" w:type="pct"/>
                  <w:tcBorders>
                    <w:tl2br w:val="nil"/>
                    <w:tr2bl w:val="nil"/>
                  </w:tcBorders>
                  <w:vAlign w:val="center"/>
                </w:tcPr>
                <w:p w14:paraId="72C4E278">
                  <w:pPr>
                    <w:widowControl/>
                    <w:rPr>
                      <w:color w:val="auto"/>
                      <w:szCs w:val="21"/>
                    </w:rPr>
                  </w:pPr>
                  <w:r>
                    <w:rPr>
                      <w:rFonts w:hint="eastAsia"/>
                      <w:color w:val="auto"/>
                      <w:szCs w:val="21"/>
                    </w:rPr>
                    <w:t>本项目</w:t>
                  </w:r>
                  <w:r>
                    <w:rPr>
                      <w:rFonts w:hint="eastAsia" w:cs="Times New Roman"/>
                      <w:color w:val="auto"/>
                      <w:szCs w:val="21"/>
                      <w:lang w:val="en-US" w:eastAsia="zh-CN"/>
                    </w:rPr>
                    <w:t>采用</w:t>
                  </w:r>
                  <w:r>
                    <w:rPr>
                      <w:rFonts w:hint="eastAsia"/>
                      <w:color w:val="auto"/>
                      <w:szCs w:val="21"/>
                      <w:lang w:eastAsia="zh-CN"/>
                    </w:rPr>
                    <w:t>金属型铸造（覆膜砂干芯）工艺</w:t>
                  </w:r>
                  <w:r>
                    <w:rPr>
                      <w:rFonts w:hint="eastAsia"/>
                      <w:color w:val="auto"/>
                      <w:szCs w:val="21"/>
                    </w:rPr>
                    <w:t>，</w:t>
                  </w:r>
                  <w:r>
                    <w:rPr>
                      <w:rFonts w:hint="eastAsia"/>
                      <w:color w:val="auto"/>
                      <w:szCs w:val="21"/>
                      <w:lang w:val="en-US" w:eastAsia="zh-CN"/>
                    </w:rPr>
                    <w:t>落砂工序产生的废覆膜砂商家回收再生使用，回收回用效率</w:t>
                  </w:r>
                  <w:r>
                    <w:rPr>
                      <w:rFonts w:hint="eastAsia"/>
                      <w:color w:val="auto"/>
                      <w:szCs w:val="21"/>
                    </w:rPr>
                    <w:t>≥</w:t>
                  </w:r>
                  <w:r>
                    <w:rPr>
                      <w:rFonts w:hint="eastAsia"/>
                      <w:color w:val="auto"/>
                      <w:szCs w:val="21"/>
                      <w:lang w:val="en-US" w:eastAsia="zh-CN"/>
                    </w:rPr>
                    <w:t>80</w:t>
                  </w:r>
                  <w:r>
                    <w:rPr>
                      <w:rFonts w:hint="eastAsia"/>
                      <w:color w:val="auto"/>
                      <w:szCs w:val="21"/>
                    </w:rPr>
                    <w:t>%。</w:t>
                  </w:r>
                </w:p>
              </w:tc>
              <w:tc>
                <w:tcPr>
                  <w:tcW w:w="501" w:type="pct"/>
                  <w:tcBorders>
                    <w:tl2br w:val="nil"/>
                    <w:tr2bl w:val="nil"/>
                  </w:tcBorders>
                  <w:vAlign w:val="center"/>
                </w:tcPr>
                <w:p w14:paraId="2D6E98D5">
                  <w:pPr>
                    <w:widowControl/>
                    <w:jc w:val="center"/>
                    <w:rPr>
                      <w:color w:val="auto"/>
                      <w:szCs w:val="21"/>
                    </w:rPr>
                  </w:pPr>
                  <w:r>
                    <w:rPr>
                      <w:color w:val="auto"/>
                      <w:szCs w:val="21"/>
                    </w:rPr>
                    <w:t>相符</w:t>
                  </w:r>
                </w:p>
              </w:tc>
            </w:tr>
          </w:tbl>
          <w:p w14:paraId="68BC5ECF">
            <w:pPr>
              <w:pStyle w:val="79"/>
              <w:ind w:firstLine="422"/>
              <w:rPr>
                <w:b/>
                <w:bCs/>
                <w:color w:val="auto"/>
                <w:szCs w:val="21"/>
              </w:rPr>
            </w:pPr>
            <w:r>
              <w:rPr>
                <w:rFonts w:hAnsi="宋体"/>
                <w:b/>
                <w:bCs/>
                <w:color w:val="auto"/>
                <w:sz w:val="21"/>
                <w:szCs w:val="21"/>
              </w:rPr>
              <w:t>（</w:t>
            </w:r>
            <w:r>
              <w:rPr>
                <w:rFonts w:hint="eastAsia" w:hAnsi="宋体"/>
                <w:b/>
                <w:bCs/>
                <w:color w:val="auto"/>
                <w:sz w:val="21"/>
                <w:szCs w:val="21"/>
                <w:lang w:val="en-US" w:eastAsia="zh-CN"/>
              </w:rPr>
              <w:t>13</w:t>
            </w:r>
            <w:r>
              <w:rPr>
                <w:rFonts w:hAnsi="宋体"/>
                <w:b/>
                <w:bCs/>
                <w:color w:val="auto"/>
                <w:sz w:val="21"/>
                <w:szCs w:val="21"/>
              </w:rPr>
              <w:t>）</w:t>
            </w:r>
            <w:r>
              <w:rPr>
                <w:rFonts w:hint="eastAsia" w:hAnsi="宋体"/>
                <w:b/>
                <w:bCs/>
                <w:color w:val="auto"/>
                <w:sz w:val="21"/>
                <w:szCs w:val="21"/>
              </w:rPr>
              <w:t>与“省生态环境厅关于印发《江苏省铸造行业大气污染综合治理方案》的通知”相关要求相符性分析</w:t>
            </w:r>
          </w:p>
          <w:p w14:paraId="78166BE5">
            <w:pPr>
              <w:jc w:val="center"/>
              <w:rPr>
                <w:b/>
                <w:bCs/>
                <w:color w:val="auto"/>
                <w:szCs w:val="21"/>
              </w:rPr>
            </w:pPr>
            <w:r>
              <w:rPr>
                <w:rFonts w:hint="eastAsia"/>
                <w:b/>
                <w:bCs/>
                <w:color w:val="auto"/>
                <w:szCs w:val="21"/>
              </w:rPr>
              <w:t>表1-</w:t>
            </w:r>
            <w:r>
              <w:rPr>
                <w:rFonts w:hint="eastAsia"/>
                <w:b/>
                <w:bCs/>
                <w:color w:val="auto"/>
                <w:szCs w:val="21"/>
                <w:lang w:val="en-US" w:eastAsia="zh-CN"/>
              </w:rPr>
              <w:t>13</w:t>
            </w:r>
            <w:r>
              <w:rPr>
                <w:rFonts w:hint="eastAsia"/>
                <w:b/>
                <w:bCs/>
                <w:color w:val="auto"/>
                <w:szCs w:val="21"/>
              </w:rPr>
              <w:t>与《江苏省铸造行业大气污染综合治理方案》相符性分析</w:t>
            </w:r>
          </w:p>
          <w:tbl>
            <w:tblPr>
              <w:tblStyle w:val="25"/>
              <w:tblW w:w="759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57" w:type="dxa"/>
                <w:bottom w:w="0" w:type="dxa"/>
                <w:right w:w="57" w:type="dxa"/>
              </w:tblCellMar>
            </w:tblPr>
            <w:tblGrid>
              <w:gridCol w:w="489"/>
              <w:gridCol w:w="577"/>
              <w:gridCol w:w="3594"/>
              <w:gridCol w:w="2223"/>
              <w:gridCol w:w="716"/>
            </w:tblGrid>
            <w:tr w14:paraId="236A4B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572" w:hRule="atLeast"/>
                <w:jc w:val="center"/>
              </w:trPr>
              <w:tc>
                <w:tcPr>
                  <w:tcW w:w="3066" w:type="pct"/>
                  <w:gridSpan w:val="3"/>
                  <w:tcBorders>
                    <w:tl2br w:val="nil"/>
                    <w:tr2bl w:val="nil"/>
                  </w:tcBorders>
                  <w:vAlign w:val="center"/>
                </w:tcPr>
                <w:p w14:paraId="00CB9862">
                  <w:pPr>
                    <w:pStyle w:val="10"/>
                    <w:spacing w:before="0" w:after="0" w:line="240" w:lineRule="auto"/>
                    <w:jc w:val="center"/>
                    <w:rPr>
                      <w:b/>
                      <w:bCs/>
                      <w:color w:val="auto"/>
                      <w:sz w:val="21"/>
                      <w:szCs w:val="21"/>
                    </w:rPr>
                  </w:pPr>
                  <w:r>
                    <w:rPr>
                      <w:b/>
                      <w:bCs/>
                      <w:color w:val="auto"/>
                      <w:sz w:val="21"/>
                      <w:szCs w:val="21"/>
                    </w:rPr>
                    <w:t>意见要求</w:t>
                  </w:r>
                </w:p>
              </w:tc>
              <w:tc>
                <w:tcPr>
                  <w:tcW w:w="1462" w:type="pct"/>
                  <w:tcBorders>
                    <w:tl2br w:val="nil"/>
                    <w:tr2bl w:val="nil"/>
                  </w:tcBorders>
                  <w:vAlign w:val="center"/>
                </w:tcPr>
                <w:p w14:paraId="7E36E26B">
                  <w:pPr>
                    <w:pStyle w:val="10"/>
                    <w:spacing w:before="0" w:after="0" w:line="240" w:lineRule="auto"/>
                    <w:jc w:val="center"/>
                    <w:rPr>
                      <w:b/>
                      <w:bCs/>
                      <w:color w:val="auto"/>
                      <w:sz w:val="21"/>
                      <w:szCs w:val="21"/>
                    </w:rPr>
                  </w:pPr>
                  <w:r>
                    <w:rPr>
                      <w:b/>
                      <w:bCs/>
                      <w:color w:val="auto"/>
                      <w:sz w:val="21"/>
                      <w:szCs w:val="21"/>
                    </w:rPr>
                    <w:t>项目情况</w:t>
                  </w:r>
                </w:p>
              </w:tc>
              <w:tc>
                <w:tcPr>
                  <w:tcW w:w="471" w:type="pct"/>
                  <w:tcBorders>
                    <w:tl2br w:val="nil"/>
                    <w:tr2bl w:val="nil"/>
                  </w:tcBorders>
                  <w:vAlign w:val="center"/>
                </w:tcPr>
                <w:p w14:paraId="02357754">
                  <w:pPr>
                    <w:pStyle w:val="10"/>
                    <w:spacing w:before="0" w:after="0" w:line="240" w:lineRule="auto"/>
                    <w:jc w:val="center"/>
                    <w:rPr>
                      <w:b/>
                      <w:bCs/>
                      <w:color w:val="auto"/>
                      <w:sz w:val="21"/>
                      <w:szCs w:val="21"/>
                    </w:rPr>
                  </w:pPr>
                  <w:r>
                    <w:rPr>
                      <w:b/>
                      <w:bCs/>
                      <w:color w:val="auto"/>
                      <w:sz w:val="21"/>
                      <w:szCs w:val="21"/>
                    </w:rPr>
                    <w:t>相符性</w:t>
                  </w:r>
                </w:p>
              </w:tc>
            </w:tr>
            <w:tr w14:paraId="1D1379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886" w:hRule="atLeast"/>
                <w:jc w:val="center"/>
              </w:trPr>
              <w:tc>
                <w:tcPr>
                  <w:tcW w:w="321" w:type="pct"/>
                  <w:vMerge w:val="restart"/>
                  <w:tcBorders>
                    <w:tl2br w:val="nil"/>
                    <w:tr2bl w:val="nil"/>
                  </w:tcBorders>
                  <w:vAlign w:val="center"/>
                </w:tcPr>
                <w:p w14:paraId="6984B127">
                  <w:pPr>
                    <w:widowControl/>
                    <w:jc w:val="center"/>
                    <w:rPr>
                      <w:color w:val="auto"/>
                      <w:szCs w:val="21"/>
                    </w:rPr>
                  </w:pPr>
                  <w:r>
                    <w:rPr>
                      <w:color w:val="auto"/>
                      <w:szCs w:val="21"/>
                    </w:rPr>
                    <w:t>二、大气污染防治要求</w:t>
                  </w:r>
                </w:p>
              </w:tc>
              <w:tc>
                <w:tcPr>
                  <w:tcW w:w="379" w:type="pct"/>
                  <w:tcBorders>
                    <w:tl2br w:val="nil"/>
                    <w:tr2bl w:val="nil"/>
                  </w:tcBorders>
                  <w:vAlign w:val="center"/>
                </w:tcPr>
                <w:p w14:paraId="42B5AF26">
                  <w:pPr>
                    <w:widowControl/>
                    <w:jc w:val="center"/>
                    <w:rPr>
                      <w:color w:val="auto"/>
                      <w:szCs w:val="21"/>
                    </w:rPr>
                  </w:pPr>
                  <w:r>
                    <w:rPr>
                      <w:color w:val="auto"/>
                      <w:szCs w:val="21"/>
                    </w:rPr>
                    <w:t>（一）有组织排放控制要求</w:t>
                  </w:r>
                </w:p>
              </w:tc>
              <w:tc>
                <w:tcPr>
                  <w:tcW w:w="2364" w:type="pct"/>
                  <w:tcBorders>
                    <w:tl2br w:val="nil"/>
                    <w:tr2bl w:val="nil"/>
                  </w:tcBorders>
                  <w:vAlign w:val="center"/>
                </w:tcPr>
                <w:p w14:paraId="046E2E74">
                  <w:pPr>
                    <w:widowControl/>
                    <w:jc w:val="center"/>
                    <w:rPr>
                      <w:color w:val="auto"/>
                      <w:szCs w:val="21"/>
                    </w:rPr>
                  </w:pPr>
                  <w:r>
                    <w:rPr>
                      <w:color w:val="auto"/>
                      <w:szCs w:val="21"/>
                    </w:rPr>
                    <w:t>……</w:t>
                  </w:r>
                  <w:r>
                    <w:rPr>
                      <w:rFonts w:hint="eastAsia"/>
                      <w:color w:val="auto"/>
                      <w:szCs w:val="21"/>
                    </w:rPr>
                    <w:t>..；电弧炉、感应电炉、精炼炉等其他熔炼</w:t>
                  </w:r>
                  <w:r>
                    <w:rPr>
                      <w:rFonts w:hint="eastAsia"/>
                      <w:color w:val="auto"/>
                      <w:szCs w:val="21"/>
                      <w:lang w:eastAsia="zh-CN"/>
                    </w:rPr>
                    <w:t>（</w:t>
                  </w:r>
                  <w:r>
                    <w:rPr>
                      <w:rFonts w:hint="eastAsia"/>
                      <w:color w:val="auto"/>
                      <w:szCs w:val="21"/>
                    </w:rPr>
                    <w:t>化</w:t>
                  </w:r>
                  <w:r>
                    <w:rPr>
                      <w:rFonts w:hint="eastAsia"/>
                      <w:color w:val="auto"/>
                      <w:szCs w:val="21"/>
                      <w:lang w:eastAsia="zh-CN"/>
                    </w:rPr>
                    <w:t>）</w:t>
                  </w:r>
                  <w:r>
                    <w:rPr>
                      <w:rFonts w:hint="eastAsia"/>
                      <w:color w:val="auto"/>
                      <w:szCs w:val="21"/>
                    </w:rPr>
                    <w:t>炉、保温炉烟气颗粒物浓度小时均值不高于30毫克/立方米。自硬砂及干砂等造型设备、落砂机和抛</w:t>
                  </w:r>
                  <w:r>
                    <w:rPr>
                      <w:rFonts w:hint="eastAsia"/>
                      <w:color w:val="auto"/>
                      <w:szCs w:val="21"/>
                      <w:lang w:eastAsia="zh-CN"/>
                    </w:rPr>
                    <w:t>（</w:t>
                  </w:r>
                  <w:r>
                    <w:rPr>
                      <w:rFonts w:hint="eastAsia"/>
                      <w:color w:val="auto"/>
                      <w:szCs w:val="21"/>
                    </w:rPr>
                    <w:t>喷</w:t>
                  </w:r>
                  <w:r>
                    <w:rPr>
                      <w:rFonts w:hint="eastAsia"/>
                      <w:color w:val="auto"/>
                      <w:szCs w:val="21"/>
                      <w:lang w:eastAsia="zh-CN"/>
                    </w:rPr>
                    <w:t>）</w:t>
                  </w:r>
                  <w:r>
                    <w:rPr>
                      <w:rFonts w:hint="eastAsia"/>
                      <w:color w:val="auto"/>
                      <w:szCs w:val="21"/>
                    </w:rPr>
                    <w:t>丸机等清理设备、加砂和制芯设备、浇注区的颗粒物浓度小时均值不高于30毫克/立方米。砂处理及废砂再生设备烟气颗粒物、二氧化硫、氮氧化物浓度小时均值分别不高于30、150、300毫克/立方米；铸件热处理设备烟气颗粒物、二氧化硫、氮氧化物浓度小时均值分别不高于30、100、300毫克/立方米。表面涂装设备</w:t>
                  </w:r>
                  <w:r>
                    <w:rPr>
                      <w:rFonts w:hint="eastAsia"/>
                      <w:color w:val="auto"/>
                      <w:szCs w:val="21"/>
                      <w:lang w:eastAsia="zh-CN"/>
                    </w:rPr>
                    <w:t>（</w:t>
                  </w:r>
                  <w:r>
                    <w:rPr>
                      <w:rFonts w:hint="eastAsia"/>
                      <w:color w:val="auto"/>
                      <w:szCs w:val="21"/>
                    </w:rPr>
                    <w:t>线</w:t>
                  </w:r>
                  <w:r>
                    <w:rPr>
                      <w:rFonts w:hint="eastAsia"/>
                      <w:color w:val="auto"/>
                      <w:szCs w:val="21"/>
                      <w:lang w:eastAsia="zh-CN"/>
                    </w:rPr>
                    <w:t>）</w:t>
                  </w:r>
                  <w:r>
                    <w:rPr>
                      <w:rFonts w:hint="eastAsia"/>
                      <w:color w:val="auto"/>
                      <w:szCs w:val="21"/>
                    </w:rPr>
                    <w:t>烟气的颗粒物、苯、苯系物、NMHC（非甲烷总烃）、TVOC（总挥发性有机物）浓度小时均值分别不高于30、1、60、100、120毫克/立方米。其他生产工序或设备、设施烟气颗粒物浓度不高于30毫克/立方米。车间或生产设施排气中NMHC初始排放速率≥2kg/h的，VOCs（挥发性有机物）处理设施的处理效率不低于80%。</w:t>
                  </w:r>
                </w:p>
              </w:tc>
              <w:tc>
                <w:tcPr>
                  <w:tcW w:w="1462" w:type="pct"/>
                  <w:tcBorders>
                    <w:tl2br w:val="nil"/>
                    <w:tr2bl w:val="nil"/>
                  </w:tcBorders>
                  <w:vAlign w:val="center"/>
                </w:tcPr>
                <w:p w14:paraId="07E05FE5">
                  <w:pPr>
                    <w:widowControl/>
                    <w:numPr>
                      <w:ilvl w:val="0"/>
                      <w:numId w:val="4"/>
                    </w:numPr>
                    <w:jc w:val="left"/>
                    <w:rPr>
                      <w:rFonts w:hint="eastAsia"/>
                      <w:color w:val="auto"/>
                      <w:szCs w:val="21"/>
                      <w:lang w:val="en-US" w:eastAsia="zh-CN"/>
                    </w:rPr>
                  </w:pPr>
                  <w:r>
                    <w:rPr>
                      <w:rFonts w:hint="eastAsia"/>
                      <w:color w:val="auto"/>
                      <w:szCs w:val="21"/>
                    </w:rPr>
                    <w:t>本项目</w:t>
                  </w:r>
                  <w:r>
                    <w:rPr>
                      <w:rFonts w:hint="eastAsia"/>
                      <w:color w:val="auto"/>
                      <w:szCs w:val="21"/>
                      <w:lang w:val="en-US" w:eastAsia="zh-CN"/>
                    </w:rPr>
                    <w:t>使用</w:t>
                  </w:r>
                  <w:r>
                    <w:rPr>
                      <w:rFonts w:hint="eastAsia"/>
                      <w:color w:val="auto"/>
                      <w:szCs w:val="21"/>
                    </w:rPr>
                    <w:t>电阻式坩埚熔化炉</w:t>
                  </w:r>
                  <w:r>
                    <w:rPr>
                      <w:rFonts w:hint="eastAsia"/>
                      <w:color w:val="auto"/>
                      <w:szCs w:val="21"/>
                      <w:lang w:val="en-US" w:eastAsia="zh-CN"/>
                    </w:rPr>
                    <w:t>，熔融工序颗粒物浓度小时均值不高于30mg/m</w:t>
                  </w:r>
                  <w:r>
                    <w:rPr>
                      <w:rFonts w:hint="eastAsia"/>
                      <w:color w:val="auto"/>
                      <w:szCs w:val="21"/>
                      <w:vertAlign w:val="superscript"/>
                      <w:lang w:val="en-US" w:eastAsia="zh-CN"/>
                    </w:rPr>
                    <w:t>3</w:t>
                  </w:r>
                  <w:r>
                    <w:rPr>
                      <w:rFonts w:hint="eastAsia"/>
                      <w:color w:val="auto"/>
                      <w:szCs w:val="21"/>
                      <w:lang w:val="en-US" w:eastAsia="zh-CN"/>
                    </w:rPr>
                    <w:t>；</w:t>
                  </w:r>
                </w:p>
                <w:p w14:paraId="5A9F8F52">
                  <w:pPr>
                    <w:widowControl/>
                    <w:numPr>
                      <w:ilvl w:val="0"/>
                      <w:numId w:val="4"/>
                    </w:numPr>
                    <w:ind w:left="0" w:leftChars="0" w:firstLine="0" w:firstLineChars="0"/>
                    <w:jc w:val="left"/>
                    <w:rPr>
                      <w:rFonts w:hint="eastAsia"/>
                      <w:color w:val="auto"/>
                      <w:szCs w:val="21"/>
                      <w:lang w:val="en-US" w:eastAsia="zh-CN"/>
                    </w:rPr>
                  </w:pPr>
                  <w:r>
                    <w:rPr>
                      <w:rFonts w:hint="eastAsia"/>
                      <w:color w:val="auto"/>
                      <w:szCs w:val="21"/>
                      <w:lang w:val="en-US" w:eastAsia="zh-CN"/>
                    </w:rPr>
                    <w:t>本项目</w:t>
                  </w:r>
                  <w:r>
                    <w:rPr>
                      <w:rFonts w:hint="eastAsia"/>
                      <w:color w:val="auto"/>
                      <w:szCs w:val="21"/>
                    </w:rPr>
                    <w:t>制芯、浇注、落砂</w:t>
                  </w:r>
                  <w:r>
                    <w:rPr>
                      <w:rFonts w:hint="eastAsia"/>
                      <w:color w:val="auto"/>
                      <w:szCs w:val="21"/>
                      <w:lang w:val="en-US" w:eastAsia="zh-CN"/>
                    </w:rPr>
                    <w:t>、打磨抛光工序颗粒物浓度小时均值不高于30mg/m</w:t>
                  </w:r>
                  <w:r>
                    <w:rPr>
                      <w:rFonts w:hint="eastAsia"/>
                      <w:color w:val="auto"/>
                      <w:szCs w:val="21"/>
                      <w:vertAlign w:val="superscript"/>
                      <w:lang w:val="en-US" w:eastAsia="zh-CN"/>
                    </w:rPr>
                    <w:t>3</w:t>
                  </w:r>
                  <w:r>
                    <w:rPr>
                      <w:rFonts w:hint="eastAsia"/>
                      <w:color w:val="auto"/>
                      <w:szCs w:val="21"/>
                      <w:lang w:val="en-US" w:eastAsia="zh-CN"/>
                    </w:rPr>
                    <w:t>；</w:t>
                  </w:r>
                </w:p>
                <w:p w14:paraId="5FAE698F">
                  <w:pPr>
                    <w:widowControl/>
                    <w:numPr>
                      <w:ilvl w:val="0"/>
                      <w:numId w:val="4"/>
                    </w:numPr>
                    <w:ind w:left="0" w:leftChars="0" w:firstLine="0" w:firstLineChars="0"/>
                    <w:jc w:val="left"/>
                    <w:rPr>
                      <w:color w:val="auto"/>
                      <w:szCs w:val="21"/>
                    </w:rPr>
                  </w:pPr>
                  <w:r>
                    <w:rPr>
                      <w:rFonts w:hint="eastAsia"/>
                      <w:color w:val="auto"/>
                      <w:szCs w:val="21"/>
                      <w:lang w:val="en-US" w:eastAsia="zh-CN"/>
                    </w:rPr>
                    <w:t>铸造涉及的</w:t>
                  </w:r>
                  <w:r>
                    <w:rPr>
                      <w:rFonts w:hint="eastAsia"/>
                      <w:color w:val="auto"/>
                      <w:szCs w:val="21"/>
                    </w:rPr>
                    <w:t>V</w:t>
                  </w:r>
                  <w:r>
                    <w:rPr>
                      <w:color w:val="auto"/>
                      <w:szCs w:val="21"/>
                    </w:rPr>
                    <w:t>OCs</w:t>
                  </w:r>
                  <w:r>
                    <w:rPr>
                      <w:rFonts w:hint="eastAsia"/>
                      <w:color w:val="auto"/>
                      <w:szCs w:val="21"/>
                    </w:rPr>
                    <w:t>处理</w:t>
                  </w:r>
                  <w:r>
                    <w:rPr>
                      <w:rFonts w:hint="eastAsia"/>
                      <w:color w:val="auto"/>
                      <w:szCs w:val="21"/>
                      <w:lang w:val="en-US" w:eastAsia="zh-CN"/>
                    </w:rPr>
                    <w:t>设施的处理</w:t>
                  </w:r>
                  <w:r>
                    <w:rPr>
                      <w:rFonts w:hint="eastAsia"/>
                      <w:color w:val="auto"/>
                      <w:szCs w:val="21"/>
                    </w:rPr>
                    <w:t>效率</w:t>
                  </w:r>
                  <w:r>
                    <w:rPr>
                      <w:rFonts w:hint="eastAsia"/>
                      <w:color w:val="auto"/>
                      <w:szCs w:val="21"/>
                      <w:lang w:val="en-US" w:eastAsia="zh-CN"/>
                    </w:rPr>
                    <w:t>高于</w:t>
                  </w:r>
                  <w:r>
                    <w:rPr>
                      <w:rFonts w:hint="eastAsia"/>
                      <w:color w:val="auto"/>
                      <w:szCs w:val="21"/>
                    </w:rPr>
                    <w:t>80%。</w:t>
                  </w:r>
                </w:p>
              </w:tc>
              <w:tc>
                <w:tcPr>
                  <w:tcW w:w="471" w:type="pct"/>
                  <w:tcBorders>
                    <w:tl2br w:val="nil"/>
                    <w:tr2bl w:val="nil"/>
                  </w:tcBorders>
                  <w:vAlign w:val="center"/>
                </w:tcPr>
                <w:p w14:paraId="2DE1D57A">
                  <w:pPr>
                    <w:pStyle w:val="10"/>
                    <w:spacing w:before="0" w:after="0" w:line="240" w:lineRule="auto"/>
                    <w:jc w:val="center"/>
                    <w:rPr>
                      <w:color w:val="auto"/>
                      <w:sz w:val="21"/>
                      <w:szCs w:val="21"/>
                    </w:rPr>
                  </w:pPr>
                  <w:r>
                    <w:rPr>
                      <w:color w:val="auto"/>
                      <w:sz w:val="21"/>
                      <w:szCs w:val="21"/>
                    </w:rPr>
                    <w:t>符合</w:t>
                  </w:r>
                </w:p>
              </w:tc>
            </w:tr>
            <w:tr w14:paraId="7A2416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90" w:hRule="atLeast"/>
                <w:jc w:val="center"/>
              </w:trPr>
              <w:tc>
                <w:tcPr>
                  <w:tcW w:w="321" w:type="pct"/>
                  <w:vMerge w:val="continue"/>
                  <w:tcBorders>
                    <w:tl2br w:val="nil"/>
                    <w:tr2bl w:val="nil"/>
                  </w:tcBorders>
                  <w:vAlign w:val="center"/>
                </w:tcPr>
                <w:p w14:paraId="33D89776">
                  <w:pPr>
                    <w:pStyle w:val="10"/>
                    <w:spacing w:before="0" w:after="0" w:line="240" w:lineRule="auto"/>
                    <w:jc w:val="center"/>
                    <w:rPr>
                      <w:color w:val="auto"/>
                      <w:sz w:val="21"/>
                      <w:szCs w:val="21"/>
                    </w:rPr>
                  </w:pPr>
                </w:p>
              </w:tc>
              <w:tc>
                <w:tcPr>
                  <w:tcW w:w="379" w:type="pct"/>
                  <w:vMerge w:val="restart"/>
                  <w:tcBorders>
                    <w:tl2br w:val="nil"/>
                    <w:tr2bl w:val="nil"/>
                  </w:tcBorders>
                  <w:vAlign w:val="center"/>
                </w:tcPr>
                <w:p w14:paraId="025E2DF7">
                  <w:pPr>
                    <w:widowControl/>
                    <w:jc w:val="center"/>
                    <w:rPr>
                      <w:color w:val="auto"/>
                      <w:szCs w:val="21"/>
                    </w:rPr>
                  </w:pPr>
                  <w:r>
                    <w:rPr>
                      <w:color w:val="auto"/>
                      <w:szCs w:val="21"/>
                    </w:rPr>
                    <w:t>（二）无组织排放控制要求</w:t>
                  </w:r>
                  <w:r>
                    <w:rPr>
                      <w:rFonts w:hint="eastAsia"/>
                      <w:color w:val="auto"/>
                      <w:szCs w:val="21"/>
                    </w:rPr>
                    <w:t>：</w:t>
                  </w:r>
                </w:p>
              </w:tc>
              <w:tc>
                <w:tcPr>
                  <w:tcW w:w="2364" w:type="pct"/>
                  <w:tcBorders>
                    <w:tl2br w:val="nil"/>
                    <w:tr2bl w:val="nil"/>
                  </w:tcBorders>
                  <w:vAlign w:val="center"/>
                </w:tcPr>
                <w:p w14:paraId="2FD55CC2">
                  <w:pPr>
                    <w:widowControl/>
                    <w:jc w:val="center"/>
                    <w:rPr>
                      <w:color w:val="auto"/>
                      <w:szCs w:val="21"/>
                    </w:rPr>
                  </w:pPr>
                  <w:r>
                    <w:rPr>
                      <w:rFonts w:hint="eastAsia"/>
                      <w:color w:val="auto"/>
                      <w:szCs w:val="21"/>
                    </w:rPr>
                    <w:t>1.颗粒物无组织排放控制要求。企业厂区内颗粒物无组织排放1小时平均浓度值不高于5毫克/立方米。</w:t>
                  </w:r>
                  <w:r>
                    <w:rPr>
                      <w:color w:val="auto"/>
                      <w:szCs w:val="21"/>
                    </w:rPr>
                    <w:t>……</w:t>
                  </w:r>
                  <w:r>
                    <w:rPr>
                      <w:rFonts w:hint="eastAsia"/>
                      <w:color w:val="auto"/>
                      <w:szCs w:val="21"/>
                    </w:rPr>
                    <w:t>；除尘器卸灰口应采取遮挡等抑尘措施，除尘灰不得直接卸落到地面；除尘灰采取袋装、罐装等密闭措施收集、存放和运输；厂区道路应硬化，并采取定期清扫、洒水等措施</w:t>
                  </w:r>
                  <w:r>
                    <w:rPr>
                      <w:color w:val="auto"/>
                      <w:szCs w:val="21"/>
                    </w:rPr>
                    <w:t>……</w:t>
                  </w:r>
                  <w:r>
                    <w:rPr>
                      <w:rFonts w:hint="eastAsia"/>
                      <w:color w:val="auto"/>
                      <w:szCs w:val="21"/>
                    </w:rPr>
                    <w:t>落砂、抛丸清理、砂处理工序应在封闭空间内操作，废气收集至除尘设施；</w:t>
                  </w:r>
                  <w:r>
                    <w:rPr>
                      <w:color w:val="auto"/>
                      <w:szCs w:val="21"/>
                    </w:rPr>
                    <w:t>……</w:t>
                  </w:r>
                  <w:r>
                    <w:rPr>
                      <w:rFonts w:hint="eastAsia"/>
                      <w:color w:val="auto"/>
                      <w:szCs w:val="21"/>
                    </w:rPr>
                    <w:t>车间外不得有可见烟粉尘外逸。</w:t>
                  </w:r>
                </w:p>
              </w:tc>
              <w:tc>
                <w:tcPr>
                  <w:tcW w:w="1462" w:type="pct"/>
                  <w:tcBorders>
                    <w:tl2br w:val="nil"/>
                    <w:tr2bl w:val="nil"/>
                  </w:tcBorders>
                  <w:vAlign w:val="center"/>
                </w:tcPr>
                <w:p w14:paraId="519F5B9E">
                  <w:pPr>
                    <w:widowControl/>
                    <w:jc w:val="center"/>
                    <w:rPr>
                      <w:rFonts w:hint="eastAsia" w:eastAsia="宋体"/>
                      <w:color w:val="auto"/>
                      <w:szCs w:val="21"/>
                      <w:lang w:eastAsia="zh-CN"/>
                    </w:rPr>
                  </w:pPr>
                  <w:r>
                    <w:rPr>
                      <w:rFonts w:hint="eastAsia"/>
                      <w:color w:val="auto"/>
                      <w:szCs w:val="21"/>
                    </w:rPr>
                    <w:t>1</w:t>
                  </w:r>
                  <w:r>
                    <w:rPr>
                      <w:rFonts w:hint="eastAsia"/>
                      <w:color w:val="auto"/>
                      <w:szCs w:val="21"/>
                      <w:lang w:eastAsia="zh-CN"/>
                    </w:rPr>
                    <w:t>）</w:t>
                  </w:r>
                  <w:r>
                    <w:rPr>
                      <w:rFonts w:hint="eastAsia"/>
                      <w:color w:val="auto"/>
                      <w:szCs w:val="21"/>
                    </w:rPr>
                    <w:t>企业厂区内颗粒物无组织排放1小时平均浓度值不高于5mg/m</w:t>
                  </w:r>
                  <w:r>
                    <w:rPr>
                      <w:rFonts w:hint="eastAsia"/>
                      <w:color w:val="auto"/>
                      <w:szCs w:val="21"/>
                      <w:vertAlign w:val="superscript"/>
                    </w:rPr>
                    <w:t>3</w:t>
                  </w:r>
                  <w:r>
                    <w:rPr>
                      <w:rFonts w:hint="eastAsia"/>
                      <w:color w:val="auto"/>
                      <w:szCs w:val="21"/>
                      <w:lang w:eastAsia="zh-CN"/>
                    </w:rPr>
                    <w:t>；</w:t>
                  </w:r>
                </w:p>
                <w:p w14:paraId="5C6A26AC">
                  <w:pPr>
                    <w:widowControl/>
                    <w:jc w:val="left"/>
                    <w:rPr>
                      <w:rFonts w:hint="eastAsia" w:eastAsia="宋体"/>
                      <w:color w:val="auto"/>
                      <w:szCs w:val="21"/>
                      <w:lang w:eastAsia="zh-CN"/>
                    </w:rPr>
                  </w:pPr>
                  <w:r>
                    <w:rPr>
                      <w:rFonts w:hint="eastAsia"/>
                      <w:color w:val="auto"/>
                      <w:szCs w:val="21"/>
                    </w:rPr>
                    <w:t>2</w:t>
                  </w:r>
                  <w:r>
                    <w:rPr>
                      <w:rFonts w:hint="eastAsia"/>
                      <w:color w:val="auto"/>
                      <w:szCs w:val="21"/>
                      <w:lang w:eastAsia="zh-CN"/>
                    </w:rPr>
                    <w:t>）</w:t>
                  </w:r>
                  <w:r>
                    <w:rPr>
                      <w:rFonts w:hint="eastAsia"/>
                      <w:color w:val="auto"/>
                      <w:szCs w:val="21"/>
                    </w:rPr>
                    <w:t>企业</w:t>
                  </w:r>
                  <w:r>
                    <w:rPr>
                      <w:rFonts w:hint="eastAsia"/>
                      <w:color w:val="auto"/>
                      <w:szCs w:val="21"/>
                      <w:lang w:val="en-US" w:eastAsia="zh-CN"/>
                    </w:rPr>
                    <w:t>铝合金等</w:t>
                  </w:r>
                  <w:r>
                    <w:rPr>
                      <w:rFonts w:hint="eastAsia"/>
                      <w:color w:val="auto"/>
                      <w:szCs w:val="21"/>
                    </w:rPr>
                    <w:t>散装物料储存于半封闭料场中</w:t>
                  </w:r>
                  <w:r>
                    <w:rPr>
                      <w:rFonts w:hint="eastAsia"/>
                      <w:color w:val="auto"/>
                      <w:szCs w:val="21"/>
                      <w:lang w:eastAsia="zh-CN"/>
                    </w:rPr>
                    <w:t>；</w:t>
                  </w:r>
                </w:p>
                <w:p w14:paraId="7D71EDC5">
                  <w:pPr>
                    <w:widowControl/>
                    <w:jc w:val="left"/>
                    <w:rPr>
                      <w:rFonts w:hint="eastAsia" w:eastAsia="宋体"/>
                      <w:color w:val="auto"/>
                      <w:szCs w:val="21"/>
                      <w:lang w:eastAsia="zh-CN"/>
                    </w:rPr>
                  </w:pPr>
                  <w:r>
                    <w:rPr>
                      <w:rFonts w:hint="eastAsia"/>
                      <w:color w:val="auto"/>
                      <w:szCs w:val="21"/>
                      <w:lang w:val="en-US" w:eastAsia="zh-CN"/>
                    </w:rPr>
                    <w:t>3）</w:t>
                  </w:r>
                  <w:r>
                    <w:rPr>
                      <w:rFonts w:hint="eastAsia"/>
                      <w:color w:val="auto"/>
                      <w:szCs w:val="21"/>
                    </w:rPr>
                    <w:t>企业粉状、粒状等易散发粉尘的物料厂内转移、输送过程为封闭形式</w:t>
                  </w:r>
                  <w:r>
                    <w:rPr>
                      <w:rFonts w:hint="eastAsia"/>
                      <w:color w:val="auto"/>
                      <w:szCs w:val="21"/>
                      <w:lang w:eastAsia="zh-CN"/>
                    </w:rPr>
                    <w:t>；</w:t>
                  </w:r>
                  <w:r>
                    <w:rPr>
                      <w:rFonts w:hint="eastAsia"/>
                      <w:color w:val="auto"/>
                      <w:szCs w:val="21"/>
                    </w:rPr>
                    <w:t>转移、输送、装卸过程中产尘点采取集气除尘措施</w:t>
                  </w:r>
                  <w:r>
                    <w:rPr>
                      <w:rFonts w:hint="eastAsia"/>
                      <w:color w:val="auto"/>
                      <w:szCs w:val="21"/>
                      <w:lang w:eastAsia="zh-CN"/>
                    </w:rPr>
                    <w:t>；</w:t>
                  </w:r>
                  <w:r>
                    <w:rPr>
                      <w:rFonts w:hint="eastAsia"/>
                      <w:color w:val="auto"/>
                      <w:szCs w:val="21"/>
                    </w:rPr>
                    <w:t>除尘器卸灰口采取遮挡等抑尘措施</w:t>
                  </w:r>
                  <w:r>
                    <w:rPr>
                      <w:rFonts w:hint="eastAsia"/>
                      <w:color w:val="auto"/>
                      <w:szCs w:val="21"/>
                      <w:lang w:eastAsia="zh-CN"/>
                    </w:rPr>
                    <w:t>，</w:t>
                  </w:r>
                  <w:r>
                    <w:rPr>
                      <w:rFonts w:hint="eastAsia"/>
                      <w:color w:val="auto"/>
                      <w:szCs w:val="21"/>
                    </w:rPr>
                    <w:t>除尘灰由推车收集不直接卸落到地面</w:t>
                  </w:r>
                  <w:r>
                    <w:rPr>
                      <w:rFonts w:hint="eastAsia"/>
                      <w:color w:val="auto"/>
                      <w:szCs w:val="21"/>
                      <w:lang w:eastAsia="zh-CN"/>
                    </w:rPr>
                    <w:t>；</w:t>
                  </w:r>
                  <w:r>
                    <w:rPr>
                      <w:rFonts w:hint="eastAsia"/>
                      <w:color w:val="auto"/>
                      <w:szCs w:val="21"/>
                    </w:rPr>
                    <w:t>除尘灰采取袋装密闭收集、存放和运输</w:t>
                  </w:r>
                  <w:r>
                    <w:rPr>
                      <w:rFonts w:hint="eastAsia"/>
                      <w:color w:val="auto"/>
                      <w:szCs w:val="21"/>
                      <w:lang w:eastAsia="zh-CN"/>
                    </w:rPr>
                    <w:t>；</w:t>
                  </w:r>
                </w:p>
                <w:p w14:paraId="546DFE40">
                  <w:pPr>
                    <w:widowControl/>
                    <w:jc w:val="left"/>
                    <w:rPr>
                      <w:rFonts w:hint="eastAsia" w:eastAsia="宋体"/>
                      <w:color w:val="auto"/>
                      <w:szCs w:val="21"/>
                      <w:lang w:eastAsia="zh-CN"/>
                    </w:rPr>
                  </w:pPr>
                  <w:r>
                    <w:rPr>
                      <w:rFonts w:hint="eastAsia"/>
                      <w:color w:val="auto"/>
                      <w:szCs w:val="21"/>
                      <w:lang w:val="en-US" w:eastAsia="zh-CN"/>
                    </w:rPr>
                    <w:t>4）</w:t>
                  </w:r>
                  <w:r>
                    <w:rPr>
                      <w:rFonts w:hint="eastAsia"/>
                      <w:color w:val="auto"/>
                      <w:szCs w:val="21"/>
                    </w:rPr>
                    <w:t>厂区道路已硬化，并采取定期清扫、洒水等措施，保持清洁</w:t>
                  </w:r>
                  <w:r>
                    <w:rPr>
                      <w:rFonts w:hint="eastAsia"/>
                      <w:color w:val="auto"/>
                      <w:szCs w:val="21"/>
                      <w:lang w:eastAsia="zh-CN"/>
                    </w:rPr>
                    <w:t>；</w:t>
                  </w:r>
                </w:p>
                <w:p w14:paraId="44D56D55">
                  <w:pPr>
                    <w:widowControl/>
                    <w:jc w:val="left"/>
                    <w:rPr>
                      <w:rFonts w:hint="eastAsia"/>
                      <w:color w:val="auto"/>
                      <w:szCs w:val="21"/>
                    </w:rPr>
                  </w:pPr>
                  <w:r>
                    <w:rPr>
                      <w:rFonts w:hint="eastAsia"/>
                      <w:color w:val="auto"/>
                      <w:szCs w:val="21"/>
                      <w:lang w:val="en-US" w:eastAsia="zh-CN"/>
                    </w:rPr>
                    <w:t>5）</w:t>
                  </w:r>
                  <w:r>
                    <w:rPr>
                      <w:rFonts w:hint="eastAsia"/>
                      <w:color w:val="auto"/>
                      <w:szCs w:val="21"/>
                    </w:rPr>
                    <w:t>制芯、浇注</w:t>
                  </w:r>
                  <w:r>
                    <w:rPr>
                      <w:rFonts w:hint="eastAsia"/>
                      <w:color w:val="auto"/>
                      <w:szCs w:val="21"/>
                      <w:lang w:val="en-US" w:eastAsia="zh-CN"/>
                    </w:rPr>
                    <w:t>、落砂、熔融、打磨抛光</w:t>
                  </w:r>
                  <w:r>
                    <w:rPr>
                      <w:rFonts w:hint="eastAsia"/>
                      <w:color w:val="auto"/>
                      <w:szCs w:val="21"/>
                    </w:rPr>
                    <w:t>工序产尘点安装集气罩</w:t>
                  </w:r>
                  <w:r>
                    <w:rPr>
                      <w:rFonts w:hint="eastAsia"/>
                      <w:color w:val="auto"/>
                      <w:szCs w:val="21"/>
                      <w:lang w:val="en-US" w:eastAsia="zh-CN"/>
                    </w:rPr>
                    <w:t>/密闭管道</w:t>
                  </w:r>
                  <w:r>
                    <w:rPr>
                      <w:rFonts w:hint="eastAsia"/>
                      <w:color w:val="auto"/>
                      <w:szCs w:val="21"/>
                    </w:rPr>
                    <w:t>并配备除尘设施。</w:t>
                  </w:r>
                </w:p>
                <w:p w14:paraId="6700C8D5">
                  <w:pPr>
                    <w:widowControl/>
                    <w:jc w:val="left"/>
                    <w:rPr>
                      <w:color w:val="auto"/>
                      <w:szCs w:val="21"/>
                    </w:rPr>
                  </w:pPr>
                  <w:r>
                    <w:rPr>
                      <w:rFonts w:hint="eastAsia"/>
                      <w:color w:val="auto"/>
                      <w:szCs w:val="21"/>
                      <w:lang w:val="en-US" w:eastAsia="zh-CN"/>
                    </w:rPr>
                    <w:t>6）</w:t>
                  </w:r>
                  <w:r>
                    <w:rPr>
                      <w:rFonts w:hint="eastAsia"/>
                      <w:color w:val="auto"/>
                      <w:szCs w:val="21"/>
                    </w:rPr>
                    <w:t>企业做到上述措施后，基本可以保证车间外无可见烟粉尘外逸。</w:t>
                  </w:r>
                </w:p>
              </w:tc>
              <w:tc>
                <w:tcPr>
                  <w:tcW w:w="471" w:type="pct"/>
                  <w:tcBorders>
                    <w:tl2br w:val="nil"/>
                    <w:tr2bl w:val="nil"/>
                  </w:tcBorders>
                  <w:vAlign w:val="center"/>
                </w:tcPr>
                <w:p w14:paraId="45988937">
                  <w:pPr>
                    <w:pStyle w:val="10"/>
                    <w:spacing w:before="0" w:after="0" w:line="240" w:lineRule="auto"/>
                    <w:jc w:val="center"/>
                    <w:rPr>
                      <w:color w:val="auto"/>
                      <w:sz w:val="21"/>
                      <w:szCs w:val="21"/>
                    </w:rPr>
                  </w:pPr>
                  <w:r>
                    <w:rPr>
                      <w:color w:val="auto"/>
                      <w:sz w:val="21"/>
                      <w:szCs w:val="21"/>
                    </w:rPr>
                    <w:t>符合</w:t>
                  </w:r>
                </w:p>
              </w:tc>
            </w:tr>
            <w:tr w14:paraId="2E2693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530" w:hRule="atLeast"/>
                <w:jc w:val="center"/>
              </w:trPr>
              <w:tc>
                <w:tcPr>
                  <w:tcW w:w="321" w:type="pct"/>
                  <w:vMerge w:val="continue"/>
                  <w:tcBorders>
                    <w:tl2br w:val="nil"/>
                    <w:tr2bl w:val="nil"/>
                  </w:tcBorders>
                  <w:vAlign w:val="center"/>
                </w:tcPr>
                <w:p w14:paraId="2F0C1938">
                  <w:pPr>
                    <w:pStyle w:val="10"/>
                    <w:spacing w:before="0" w:after="0" w:line="240" w:lineRule="auto"/>
                    <w:jc w:val="center"/>
                    <w:rPr>
                      <w:color w:val="auto"/>
                      <w:sz w:val="21"/>
                      <w:szCs w:val="21"/>
                    </w:rPr>
                  </w:pPr>
                </w:p>
              </w:tc>
              <w:tc>
                <w:tcPr>
                  <w:tcW w:w="379" w:type="pct"/>
                  <w:vMerge w:val="continue"/>
                  <w:tcBorders>
                    <w:tl2br w:val="nil"/>
                    <w:tr2bl w:val="nil"/>
                  </w:tcBorders>
                  <w:vAlign w:val="center"/>
                </w:tcPr>
                <w:p w14:paraId="0DD5AFC8">
                  <w:pPr>
                    <w:widowControl/>
                    <w:jc w:val="center"/>
                    <w:rPr>
                      <w:color w:val="auto"/>
                      <w:szCs w:val="21"/>
                    </w:rPr>
                  </w:pPr>
                </w:p>
              </w:tc>
              <w:tc>
                <w:tcPr>
                  <w:tcW w:w="2364" w:type="pct"/>
                  <w:tcBorders>
                    <w:tl2br w:val="nil"/>
                    <w:tr2bl w:val="nil"/>
                  </w:tcBorders>
                  <w:vAlign w:val="center"/>
                </w:tcPr>
                <w:p w14:paraId="1E43D054">
                  <w:pPr>
                    <w:widowControl/>
                    <w:jc w:val="center"/>
                    <w:rPr>
                      <w:color w:val="auto"/>
                      <w:szCs w:val="21"/>
                    </w:rPr>
                  </w:pPr>
                  <w:r>
                    <w:rPr>
                      <w:rFonts w:hint="eastAsia"/>
                      <w:color w:val="auto"/>
                      <w:szCs w:val="21"/>
                    </w:rPr>
                    <w:t>2.VOCs无组织排放控制要求。厂区内NMHC无组织排放1小时平均浓度不高于10毫克/立方米，任意一次浓度不高于30毫克/立方米。……，应符合《挥发性有机物无组织排放控制标准》（GB 37822—2019）。</w:t>
                  </w:r>
                </w:p>
              </w:tc>
              <w:tc>
                <w:tcPr>
                  <w:tcW w:w="1462" w:type="pct"/>
                  <w:tcBorders>
                    <w:tl2br w:val="nil"/>
                    <w:tr2bl w:val="nil"/>
                  </w:tcBorders>
                  <w:vAlign w:val="center"/>
                </w:tcPr>
                <w:p w14:paraId="692FE266">
                  <w:pPr>
                    <w:widowControl/>
                    <w:jc w:val="center"/>
                    <w:rPr>
                      <w:rFonts w:hint="eastAsia" w:eastAsia="宋体"/>
                      <w:color w:val="auto"/>
                      <w:szCs w:val="21"/>
                      <w:lang w:val="en-US" w:eastAsia="zh-CN"/>
                    </w:rPr>
                  </w:pPr>
                  <w:r>
                    <w:rPr>
                      <w:rFonts w:hint="eastAsia"/>
                      <w:bCs/>
                      <w:color w:val="auto"/>
                      <w:szCs w:val="21"/>
                    </w:rPr>
                    <w:t>本项目涉及的</w:t>
                  </w:r>
                  <w:r>
                    <w:rPr>
                      <w:bCs/>
                      <w:color w:val="auto"/>
                      <w:szCs w:val="21"/>
                    </w:rPr>
                    <w:t>VOCs</w:t>
                  </w:r>
                  <w:r>
                    <w:rPr>
                      <w:rFonts w:hint="eastAsia"/>
                      <w:bCs/>
                      <w:color w:val="auto"/>
                      <w:szCs w:val="21"/>
                    </w:rPr>
                    <w:t>物料</w:t>
                  </w:r>
                  <w:r>
                    <w:rPr>
                      <w:rFonts w:hint="eastAsia"/>
                      <w:bCs/>
                      <w:color w:val="auto"/>
                      <w:szCs w:val="21"/>
                      <w:lang w:val="en-US" w:eastAsia="zh-CN"/>
                    </w:rPr>
                    <w:t>为覆膜砂及水性脱模剂，常温下不挥发</w:t>
                  </w:r>
                  <w:r>
                    <w:rPr>
                      <w:rFonts w:hint="eastAsia"/>
                      <w:bCs/>
                      <w:color w:val="auto"/>
                      <w:szCs w:val="21"/>
                    </w:rPr>
                    <w:t>，制芯、浇注</w:t>
                  </w:r>
                  <w:r>
                    <w:rPr>
                      <w:rFonts w:hint="eastAsia"/>
                      <w:bCs/>
                      <w:color w:val="auto"/>
                      <w:szCs w:val="21"/>
                      <w:lang w:val="en-US" w:eastAsia="zh-CN"/>
                    </w:rPr>
                    <w:t>工序</w:t>
                  </w:r>
                  <w:r>
                    <w:rPr>
                      <w:rFonts w:hint="eastAsia"/>
                      <w:bCs/>
                      <w:color w:val="auto"/>
                      <w:szCs w:val="21"/>
                    </w:rPr>
                    <w:t>产生的</w:t>
                  </w:r>
                  <w:r>
                    <w:rPr>
                      <w:rFonts w:hint="eastAsia" w:hAnsi="宋体"/>
                      <w:color w:val="auto"/>
                      <w:kern w:val="0"/>
                      <w:szCs w:val="21"/>
                    </w:rPr>
                    <w:t>有机废气</w:t>
                  </w:r>
                  <w:r>
                    <w:rPr>
                      <w:rFonts w:hint="eastAsia" w:hAnsi="宋体"/>
                      <w:color w:val="auto"/>
                      <w:kern w:val="0"/>
                      <w:szCs w:val="21"/>
                      <w:lang w:val="en-US" w:eastAsia="zh-CN"/>
                    </w:rPr>
                    <w:t>经</w:t>
                  </w:r>
                  <w:r>
                    <w:rPr>
                      <w:rFonts w:hint="eastAsia" w:hAnsi="宋体"/>
                      <w:color w:val="auto"/>
                      <w:kern w:val="0"/>
                      <w:szCs w:val="21"/>
                    </w:rPr>
                    <w:t>活性炭吸附装置处理</w:t>
                  </w:r>
                  <w:r>
                    <w:rPr>
                      <w:rFonts w:hint="eastAsia"/>
                      <w:color w:val="auto"/>
                      <w:szCs w:val="21"/>
                    </w:rPr>
                    <w:t>，确保厂区内NMHC无组织排放1小时平均浓度不高于6毫克/立方米，任意一次浓度不高于20毫克/立方米</w:t>
                  </w:r>
                  <w:r>
                    <w:rPr>
                      <w:rFonts w:hint="eastAsia"/>
                      <w:color w:val="auto"/>
                      <w:szCs w:val="21"/>
                      <w:lang w:eastAsia="zh-CN"/>
                    </w:rPr>
                    <w:t>，</w:t>
                  </w:r>
                  <w:r>
                    <w:rPr>
                      <w:rFonts w:hint="eastAsia"/>
                      <w:color w:val="auto"/>
                      <w:szCs w:val="21"/>
                      <w:lang w:val="en-US" w:eastAsia="zh-CN"/>
                    </w:rPr>
                    <w:t>符合</w:t>
                  </w:r>
                  <w:r>
                    <w:rPr>
                      <w:rFonts w:hint="eastAsia"/>
                      <w:color w:val="auto"/>
                      <w:szCs w:val="21"/>
                    </w:rPr>
                    <w:t>《挥发性有机物无组织排放控制标准》（GB 37822—2019）</w:t>
                  </w:r>
                  <w:r>
                    <w:rPr>
                      <w:rFonts w:hint="eastAsia"/>
                      <w:color w:val="auto"/>
                      <w:szCs w:val="21"/>
                      <w:lang w:eastAsia="zh-CN"/>
                    </w:rPr>
                    <w:t>。</w:t>
                  </w:r>
                </w:p>
              </w:tc>
              <w:tc>
                <w:tcPr>
                  <w:tcW w:w="471" w:type="pct"/>
                  <w:tcBorders>
                    <w:tl2br w:val="nil"/>
                    <w:tr2bl w:val="nil"/>
                  </w:tcBorders>
                  <w:vAlign w:val="center"/>
                </w:tcPr>
                <w:p w14:paraId="215DF30C">
                  <w:pPr>
                    <w:pStyle w:val="10"/>
                    <w:spacing w:before="0" w:after="0" w:line="240" w:lineRule="auto"/>
                    <w:jc w:val="center"/>
                    <w:rPr>
                      <w:color w:val="auto"/>
                      <w:sz w:val="21"/>
                      <w:szCs w:val="21"/>
                    </w:rPr>
                  </w:pPr>
                  <w:r>
                    <w:rPr>
                      <w:color w:val="auto"/>
                      <w:sz w:val="21"/>
                      <w:szCs w:val="21"/>
                    </w:rPr>
                    <w:t>符合</w:t>
                  </w:r>
                </w:p>
              </w:tc>
            </w:tr>
            <w:tr w14:paraId="71628E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2174" w:hRule="atLeast"/>
                <w:jc w:val="center"/>
              </w:trPr>
              <w:tc>
                <w:tcPr>
                  <w:tcW w:w="321" w:type="pct"/>
                  <w:vMerge w:val="restart"/>
                  <w:tcBorders>
                    <w:tl2br w:val="nil"/>
                    <w:tr2bl w:val="nil"/>
                  </w:tcBorders>
                  <w:vAlign w:val="center"/>
                </w:tcPr>
                <w:p w14:paraId="57B70C52">
                  <w:pPr>
                    <w:widowControl/>
                    <w:jc w:val="center"/>
                    <w:rPr>
                      <w:color w:val="auto"/>
                      <w:szCs w:val="21"/>
                    </w:rPr>
                  </w:pPr>
                  <w:r>
                    <w:rPr>
                      <w:color w:val="auto"/>
                      <w:szCs w:val="21"/>
                    </w:rPr>
                    <w:t>三、重点任务</w:t>
                  </w:r>
                </w:p>
              </w:tc>
              <w:tc>
                <w:tcPr>
                  <w:tcW w:w="379" w:type="pct"/>
                  <w:tcBorders>
                    <w:tl2br w:val="nil"/>
                    <w:tr2bl w:val="nil"/>
                  </w:tcBorders>
                  <w:vAlign w:val="center"/>
                </w:tcPr>
                <w:p w14:paraId="308BA862">
                  <w:pPr>
                    <w:widowControl/>
                    <w:jc w:val="center"/>
                    <w:rPr>
                      <w:color w:val="auto"/>
                      <w:szCs w:val="21"/>
                    </w:rPr>
                  </w:pPr>
                  <w:r>
                    <w:rPr>
                      <w:color w:val="auto"/>
                      <w:szCs w:val="21"/>
                    </w:rPr>
                    <w:t>（一）制定专项治理方案。</w:t>
                  </w:r>
                </w:p>
              </w:tc>
              <w:tc>
                <w:tcPr>
                  <w:tcW w:w="2364" w:type="pct"/>
                  <w:tcBorders>
                    <w:tl2br w:val="nil"/>
                    <w:tr2bl w:val="nil"/>
                  </w:tcBorders>
                  <w:vAlign w:val="center"/>
                </w:tcPr>
                <w:p w14:paraId="1DC6A895">
                  <w:pPr>
                    <w:widowControl/>
                    <w:jc w:val="center"/>
                    <w:rPr>
                      <w:color w:val="auto"/>
                      <w:szCs w:val="21"/>
                    </w:rPr>
                  </w:pPr>
                  <w:r>
                    <w:rPr>
                      <w:color w:val="auto"/>
                      <w:szCs w:val="21"/>
                    </w:rPr>
                    <w:t>……</w:t>
                  </w:r>
                  <w:r>
                    <w:rPr>
                      <w:rFonts w:hint="eastAsia"/>
                      <w:color w:val="auto"/>
                      <w:szCs w:val="21"/>
                    </w:rPr>
                    <w:t>全面掌握核实铸造企业是否持证排污和按证排污、分布、产品类别、产能、规模、燃料类型、主要燃料年消耗量、治污设施、治污工艺、是否安装自动监控设施、大气污染物排放情况、噪声和异味投诉等情况，2023年底前建立详细管理台账，依法依规制定专项治理方案</w:t>
                  </w:r>
                  <w:r>
                    <w:rPr>
                      <w:color w:val="auto"/>
                      <w:szCs w:val="21"/>
                    </w:rPr>
                    <w:t>……</w:t>
                  </w:r>
                </w:p>
              </w:tc>
              <w:tc>
                <w:tcPr>
                  <w:tcW w:w="1462" w:type="pct"/>
                  <w:tcBorders>
                    <w:tl2br w:val="nil"/>
                    <w:tr2bl w:val="nil"/>
                  </w:tcBorders>
                  <w:vAlign w:val="center"/>
                </w:tcPr>
                <w:p w14:paraId="7985DE8D">
                  <w:pPr>
                    <w:widowControl/>
                    <w:jc w:val="center"/>
                    <w:rPr>
                      <w:color w:val="auto"/>
                      <w:szCs w:val="21"/>
                    </w:rPr>
                  </w:pPr>
                  <w:r>
                    <w:rPr>
                      <w:rFonts w:hint="eastAsia"/>
                      <w:color w:val="auto"/>
                      <w:szCs w:val="21"/>
                    </w:rPr>
                    <w:t>本项目依法依规办理相关手续，依法依规如实汇报各种基本信息，做好污染物的治理工作。</w:t>
                  </w:r>
                </w:p>
              </w:tc>
              <w:tc>
                <w:tcPr>
                  <w:tcW w:w="471" w:type="pct"/>
                  <w:tcBorders>
                    <w:tl2br w:val="nil"/>
                    <w:tr2bl w:val="nil"/>
                  </w:tcBorders>
                  <w:vAlign w:val="center"/>
                </w:tcPr>
                <w:p w14:paraId="0CA499C6">
                  <w:pPr>
                    <w:widowControl/>
                    <w:jc w:val="center"/>
                    <w:rPr>
                      <w:color w:val="auto"/>
                      <w:szCs w:val="21"/>
                    </w:rPr>
                  </w:pPr>
                  <w:r>
                    <w:rPr>
                      <w:color w:val="auto"/>
                      <w:szCs w:val="21"/>
                    </w:rPr>
                    <w:t>符合</w:t>
                  </w:r>
                </w:p>
              </w:tc>
            </w:tr>
            <w:tr w14:paraId="770283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530" w:hRule="atLeast"/>
                <w:jc w:val="center"/>
              </w:trPr>
              <w:tc>
                <w:tcPr>
                  <w:tcW w:w="321" w:type="pct"/>
                  <w:vMerge w:val="continue"/>
                  <w:tcBorders>
                    <w:tl2br w:val="nil"/>
                    <w:tr2bl w:val="nil"/>
                  </w:tcBorders>
                  <w:vAlign w:val="center"/>
                </w:tcPr>
                <w:p w14:paraId="08C5C711">
                  <w:pPr>
                    <w:widowControl/>
                    <w:jc w:val="center"/>
                    <w:rPr>
                      <w:color w:val="auto"/>
                      <w:szCs w:val="21"/>
                    </w:rPr>
                  </w:pPr>
                </w:p>
              </w:tc>
              <w:tc>
                <w:tcPr>
                  <w:tcW w:w="379" w:type="pct"/>
                  <w:tcBorders>
                    <w:tl2br w:val="nil"/>
                    <w:tr2bl w:val="nil"/>
                  </w:tcBorders>
                  <w:vAlign w:val="center"/>
                </w:tcPr>
                <w:p w14:paraId="05374775">
                  <w:pPr>
                    <w:widowControl/>
                    <w:jc w:val="center"/>
                    <w:rPr>
                      <w:color w:val="auto"/>
                      <w:szCs w:val="21"/>
                    </w:rPr>
                  </w:pPr>
                  <w:r>
                    <w:rPr>
                      <w:color w:val="auto"/>
                      <w:szCs w:val="21"/>
                    </w:rPr>
                    <w:t>（二）推进产业结构优化。</w:t>
                  </w:r>
                </w:p>
              </w:tc>
              <w:tc>
                <w:tcPr>
                  <w:tcW w:w="2364" w:type="pct"/>
                  <w:tcBorders>
                    <w:tl2br w:val="nil"/>
                    <w:tr2bl w:val="nil"/>
                  </w:tcBorders>
                  <w:vAlign w:val="center"/>
                </w:tcPr>
                <w:p w14:paraId="64C0246C">
                  <w:pPr>
                    <w:widowControl/>
                    <w:jc w:val="center"/>
                    <w:rPr>
                      <w:color w:val="auto"/>
                      <w:szCs w:val="21"/>
                    </w:rPr>
                  </w:pPr>
                  <w:r>
                    <w:rPr>
                      <w:color w:val="auto"/>
                      <w:szCs w:val="21"/>
                    </w:rPr>
                    <w:t>严格执行质量、环保、能耗、安全等相关法律法规标准和《产业结构调整指导目录》等政策，……依法依规淘汰工艺设备落后、污染排放不达标、生产安全无保障的落后产能。……新建、改扩建项目清洁生产水平达到先进水平，确保项目备案、环评、排污许可、安评、节能、审查等手续清晰、完备，项目建设符合相关法律法规标准要求。严格落实主要污染物排放总量控制、能源消耗总量和强度调度控制，坚决遏制不符合要求的项目盲目发展和低水平重复建设，防止产能盲目扩张，切实推进铸造行业产业结构优化升级。</w:t>
                  </w:r>
                </w:p>
              </w:tc>
              <w:tc>
                <w:tcPr>
                  <w:tcW w:w="1462" w:type="pct"/>
                  <w:tcBorders>
                    <w:tl2br w:val="nil"/>
                    <w:tr2bl w:val="nil"/>
                  </w:tcBorders>
                  <w:vAlign w:val="center"/>
                </w:tcPr>
                <w:p w14:paraId="117C0B1E">
                  <w:pPr>
                    <w:widowControl/>
                    <w:jc w:val="center"/>
                    <w:rPr>
                      <w:color w:val="auto"/>
                      <w:szCs w:val="21"/>
                    </w:rPr>
                  </w:pPr>
                  <w:r>
                    <w:rPr>
                      <w:rFonts w:hint="eastAsia"/>
                      <w:color w:val="auto"/>
                      <w:szCs w:val="21"/>
                    </w:rPr>
                    <w:t>本项目不属于落后产能。依法依规办理相关手续。</w:t>
                  </w:r>
                </w:p>
              </w:tc>
              <w:tc>
                <w:tcPr>
                  <w:tcW w:w="471" w:type="pct"/>
                  <w:tcBorders>
                    <w:tl2br w:val="nil"/>
                    <w:tr2bl w:val="nil"/>
                  </w:tcBorders>
                  <w:vAlign w:val="center"/>
                </w:tcPr>
                <w:p w14:paraId="78B2713D">
                  <w:pPr>
                    <w:widowControl/>
                    <w:jc w:val="center"/>
                    <w:rPr>
                      <w:color w:val="auto"/>
                      <w:szCs w:val="21"/>
                    </w:rPr>
                  </w:pPr>
                  <w:r>
                    <w:rPr>
                      <w:color w:val="auto"/>
                      <w:szCs w:val="21"/>
                    </w:rPr>
                    <w:t>符合</w:t>
                  </w:r>
                </w:p>
              </w:tc>
            </w:tr>
            <w:tr w14:paraId="0EAD96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1182" w:hRule="atLeast"/>
                <w:jc w:val="center"/>
              </w:trPr>
              <w:tc>
                <w:tcPr>
                  <w:tcW w:w="321" w:type="pct"/>
                  <w:vMerge w:val="continue"/>
                  <w:tcBorders>
                    <w:tl2br w:val="nil"/>
                    <w:tr2bl w:val="nil"/>
                  </w:tcBorders>
                  <w:vAlign w:val="center"/>
                </w:tcPr>
                <w:p w14:paraId="495C339F">
                  <w:pPr>
                    <w:widowControl/>
                    <w:jc w:val="center"/>
                    <w:rPr>
                      <w:color w:val="auto"/>
                      <w:szCs w:val="21"/>
                    </w:rPr>
                  </w:pPr>
                </w:p>
              </w:tc>
              <w:tc>
                <w:tcPr>
                  <w:tcW w:w="379" w:type="pct"/>
                  <w:tcBorders>
                    <w:tl2br w:val="nil"/>
                    <w:tr2bl w:val="nil"/>
                  </w:tcBorders>
                  <w:vAlign w:val="center"/>
                </w:tcPr>
                <w:p w14:paraId="456576AF">
                  <w:pPr>
                    <w:widowControl/>
                    <w:jc w:val="center"/>
                    <w:rPr>
                      <w:color w:val="auto"/>
                      <w:szCs w:val="21"/>
                    </w:rPr>
                  </w:pPr>
                  <w:r>
                    <w:rPr>
                      <w:color w:val="auto"/>
                      <w:szCs w:val="21"/>
                    </w:rPr>
                    <w:t>（三）确保全面达标排放。</w:t>
                  </w:r>
                </w:p>
              </w:tc>
              <w:tc>
                <w:tcPr>
                  <w:tcW w:w="2364" w:type="pct"/>
                  <w:tcBorders>
                    <w:tl2br w:val="nil"/>
                    <w:tr2bl w:val="nil"/>
                  </w:tcBorders>
                  <w:vAlign w:val="center"/>
                </w:tcPr>
                <w:p w14:paraId="644274D1">
                  <w:pPr>
                    <w:widowControl/>
                    <w:jc w:val="center"/>
                    <w:rPr>
                      <w:color w:val="auto"/>
                      <w:szCs w:val="21"/>
                    </w:rPr>
                  </w:pPr>
                  <w:r>
                    <w:rPr>
                      <w:color w:val="auto"/>
                      <w:szCs w:val="21"/>
                    </w:rPr>
                    <w:t>铸造企业依法申领排污许可证，严格持证排污、按证排污并按排污许可规定落实自行监测、台账记录、执行报告、信息公开等要求。……铸造企业严格执行《铸造工业大气污染物排放标准》（GB 39726—2020），加强无组织排放控制……开展有组织、无组织和清洁运输超低排放改造和评估监测</w:t>
                  </w:r>
                  <w:r>
                    <w:rPr>
                      <w:rFonts w:hint="eastAsia"/>
                      <w:color w:val="auto"/>
                      <w:szCs w:val="21"/>
                    </w:rPr>
                    <w:t>。</w:t>
                  </w:r>
                  <w:r>
                    <w:rPr>
                      <w:color w:val="auto"/>
                      <w:szCs w:val="21"/>
                    </w:rPr>
                    <w:t>……</w:t>
                  </w:r>
                  <w:r>
                    <w:rPr>
                      <w:rFonts w:hint="eastAsia"/>
                      <w:color w:val="auto"/>
                      <w:szCs w:val="21"/>
                    </w:rPr>
                    <w:t>安装自动监测、视频监控、用电监控等监测监控设施，强化全过程全流程精细化管理。</w:t>
                  </w:r>
                  <w:r>
                    <w:rPr>
                      <w:color w:val="auto"/>
                      <w:szCs w:val="21"/>
                    </w:rPr>
                    <w:t>……推进铸造企业建设全厂一体化环境管控平台，记录有组织排放、无组织排放相关监测监控和治理设施运行情况。……</w:t>
                  </w:r>
                </w:p>
              </w:tc>
              <w:tc>
                <w:tcPr>
                  <w:tcW w:w="1462" w:type="pct"/>
                  <w:tcBorders>
                    <w:tl2br w:val="nil"/>
                    <w:tr2bl w:val="nil"/>
                  </w:tcBorders>
                  <w:vAlign w:val="center"/>
                </w:tcPr>
                <w:p w14:paraId="4EDC1B27">
                  <w:pPr>
                    <w:widowControl/>
                    <w:jc w:val="center"/>
                    <w:rPr>
                      <w:color w:val="auto"/>
                      <w:szCs w:val="21"/>
                    </w:rPr>
                  </w:pPr>
                  <w:r>
                    <w:rPr>
                      <w:rFonts w:hint="eastAsia"/>
                      <w:color w:val="auto"/>
                      <w:szCs w:val="21"/>
                    </w:rPr>
                    <w:t>本项目依法依规办理相关手续，开展生产。加强污染物排放监测与记录，加强精细化管理。</w:t>
                  </w:r>
                </w:p>
              </w:tc>
              <w:tc>
                <w:tcPr>
                  <w:tcW w:w="471" w:type="pct"/>
                  <w:tcBorders>
                    <w:tl2br w:val="nil"/>
                    <w:tr2bl w:val="nil"/>
                  </w:tcBorders>
                  <w:vAlign w:val="center"/>
                </w:tcPr>
                <w:p w14:paraId="379B117D">
                  <w:pPr>
                    <w:widowControl/>
                    <w:jc w:val="center"/>
                    <w:rPr>
                      <w:color w:val="auto"/>
                      <w:szCs w:val="21"/>
                    </w:rPr>
                  </w:pPr>
                  <w:r>
                    <w:rPr>
                      <w:color w:val="auto"/>
                      <w:szCs w:val="21"/>
                    </w:rPr>
                    <w:t>符合</w:t>
                  </w:r>
                </w:p>
              </w:tc>
            </w:tr>
            <w:tr w14:paraId="65277F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1903" w:hRule="atLeast"/>
                <w:jc w:val="center"/>
              </w:trPr>
              <w:tc>
                <w:tcPr>
                  <w:tcW w:w="321" w:type="pct"/>
                  <w:vMerge w:val="continue"/>
                  <w:tcBorders>
                    <w:tl2br w:val="nil"/>
                    <w:tr2bl w:val="nil"/>
                  </w:tcBorders>
                  <w:vAlign w:val="center"/>
                </w:tcPr>
                <w:p w14:paraId="06CE1005">
                  <w:pPr>
                    <w:widowControl/>
                    <w:jc w:val="center"/>
                    <w:rPr>
                      <w:color w:val="auto"/>
                      <w:szCs w:val="21"/>
                    </w:rPr>
                  </w:pPr>
                </w:p>
              </w:tc>
              <w:tc>
                <w:tcPr>
                  <w:tcW w:w="379" w:type="pct"/>
                  <w:tcBorders>
                    <w:tl2br w:val="nil"/>
                    <w:tr2bl w:val="nil"/>
                  </w:tcBorders>
                  <w:vAlign w:val="center"/>
                </w:tcPr>
                <w:p w14:paraId="42E7B121">
                  <w:pPr>
                    <w:widowControl/>
                    <w:jc w:val="center"/>
                    <w:rPr>
                      <w:color w:val="auto"/>
                      <w:szCs w:val="21"/>
                    </w:rPr>
                  </w:pPr>
                  <w:r>
                    <w:rPr>
                      <w:color w:val="auto"/>
                      <w:szCs w:val="21"/>
                    </w:rPr>
                    <w:t>（四）推动实施深度治理。</w:t>
                  </w:r>
                </w:p>
              </w:tc>
              <w:tc>
                <w:tcPr>
                  <w:tcW w:w="2364" w:type="pct"/>
                  <w:tcBorders>
                    <w:tl2br w:val="nil"/>
                    <w:tr2bl w:val="nil"/>
                  </w:tcBorders>
                  <w:vAlign w:val="center"/>
                </w:tcPr>
                <w:p w14:paraId="72A3697C">
                  <w:pPr>
                    <w:widowControl/>
                    <w:jc w:val="center"/>
                    <w:rPr>
                      <w:color w:val="auto"/>
                      <w:szCs w:val="21"/>
                    </w:rPr>
                  </w:pPr>
                  <w:r>
                    <w:rPr>
                      <w:color w:val="auto"/>
                      <w:szCs w:val="21"/>
                    </w:rPr>
                    <w:t>各地组织铸造企业根据《铸造工业大气污染防治可行性技术指南》（HJ 1292—2023），选择适合自身的高效污染防治技术开展深度治理，实现源头减排、过程控制和末端治理的全流程深度治理。</w:t>
                  </w:r>
                </w:p>
              </w:tc>
              <w:tc>
                <w:tcPr>
                  <w:tcW w:w="1462" w:type="pct"/>
                  <w:tcBorders>
                    <w:tl2br w:val="nil"/>
                    <w:tr2bl w:val="nil"/>
                  </w:tcBorders>
                  <w:vAlign w:val="center"/>
                </w:tcPr>
                <w:p w14:paraId="5AF66FF0">
                  <w:pPr>
                    <w:widowControl/>
                    <w:jc w:val="center"/>
                    <w:rPr>
                      <w:color w:val="auto"/>
                      <w:szCs w:val="21"/>
                    </w:rPr>
                  </w:pPr>
                  <w:r>
                    <w:rPr>
                      <w:rFonts w:hint="eastAsia"/>
                      <w:bCs/>
                      <w:color w:val="auto"/>
                      <w:szCs w:val="21"/>
                    </w:rPr>
                    <w:t>本项目坚持绿色铸造理念，从源头减排；产生废气的节点均进行有效收集，</w:t>
                  </w:r>
                  <w:r>
                    <w:rPr>
                      <w:rFonts w:hint="eastAsia"/>
                      <w:color w:val="auto"/>
                      <w:szCs w:val="21"/>
                    </w:rPr>
                    <w:t>利用高效除尘器、活性炭</w:t>
                  </w:r>
                  <w:r>
                    <w:rPr>
                      <w:rFonts w:hint="eastAsia"/>
                      <w:color w:val="auto"/>
                      <w:szCs w:val="21"/>
                      <w:lang w:val="en-US" w:eastAsia="zh-CN"/>
                    </w:rPr>
                    <w:t>吸附装置</w:t>
                  </w:r>
                  <w:r>
                    <w:rPr>
                      <w:rFonts w:hint="eastAsia"/>
                      <w:color w:val="auto"/>
                      <w:szCs w:val="21"/>
                    </w:rPr>
                    <w:t>等，从末端治理颗粒物、挥发性有机物。</w:t>
                  </w:r>
                </w:p>
              </w:tc>
              <w:tc>
                <w:tcPr>
                  <w:tcW w:w="471" w:type="pct"/>
                  <w:tcBorders>
                    <w:tl2br w:val="nil"/>
                    <w:tr2bl w:val="nil"/>
                  </w:tcBorders>
                  <w:vAlign w:val="center"/>
                </w:tcPr>
                <w:p w14:paraId="0AC2902E">
                  <w:pPr>
                    <w:widowControl/>
                    <w:jc w:val="center"/>
                    <w:rPr>
                      <w:color w:val="auto"/>
                      <w:szCs w:val="21"/>
                    </w:rPr>
                  </w:pPr>
                  <w:r>
                    <w:rPr>
                      <w:color w:val="auto"/>
                      <w:szCs w:val="21"/>
                    </w:rPr>
                    <w:t>符合</w:t>
                  </w:r>
                </w:p>
              </w:tc>
            </w:tr>
            <w:tr w14:paraId="656659C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2174" w:hRule="atLeast"/>
                <w:jc w:val="center"/>
              </w:trPr>
              <w:tc>
                <w:tcPr>
                  <w:tcW w:w="321" w:type="pct"/>
                  <w:vMerge w:val="continue"/>
                  <w:tcBorders>
                    <w:tl2br w:val="nil"/>
                    <w:tr2bl w:val="nil"/>
                  </w:tcBorders>
                  <w:vAlign w:val="center"/>
                </w:tcPr>
                <w:p w14:paraId="01F14812">
                  <w:pPr>
                    <w:widowControl/>
                    <w:jc w:val="center"/>
                    <w:rPr>
                      <w:color w:val="auto"/>
                      <w:szCs w:val="21"/>
                    </w:rPr>
                  </w:pPr>
                </w:p>
              </w:tc>
              <w:tc>
                <w:tcPr>
                  <w:tcW w:w="379" w:type="pct"/>
                  <w:tcBorders>
                    <w:tl2br w:val="nil"/>
                    <w:tr2bl w:val="nil"/>
                  </w:tcBorders>
                  <w:vAlign w:val="center"/>
                </w:tcPr>
                <w:p w14:paraId="3E2ADA58">
                  <w:pPr>
                    <w:widowControl/>
                    <w:jc w:val="center"/>
                    <w:rPr>
                      <w:color w:val="auto"/>
                      <w:szCs w:val="21"/>
                    </w:rPr>
                  </w:pPr>
                  <w:r>
                    <w:rPr>
                      <w:color w:val="auto"/>
                      <w:szCs w:val="21"/>
                    </w:rPr>
                    <w:t>（五）加快行业绿色发展。</w:t>
                  </w:r>
                </w:p>
              </w:tc>
              <w:tc>
                <w:tcPr>
                  <w:tcW w:w="2364" w:type="pct"/>
                  <w:tcBorders>
                    <w:tl2br w:val="nil"/>
                    <w:tr2bl w:val="nil"/>
                  </w:tcBorders>
                  <w:vAlign w:val="center"/>
                </w:tcPr>
                <w:p w14:paraId="28AB148B">
                  <w:pPr>
                    <w:widowControl/>
                    <w:jc w:val="center"/>
                    <w:rPr>
                      <w:color w:val="auto"/>
                      <w:szCs w:val="21"/>
                    </w:rPr>
                  </w:pPr>
                  <w:r>
                    <w:rPr>
                      <w:color w:val="auto"/>
                      <w:szCs w:val="21"/>
                    </w:rPr>
                    <w:t>推进绿色方式贯穿铸造生产全流程，开发绿色原辅材料、推广绿色工艺、建设绿色工厂、发展绿色园区，深入推进园区循环化改造。推动企业依法披露环境信息，接受社会监督。……深入挖掘企业节能、降碳、减污潜力……协同推进铸造行业降碳、减污、扩绿、增长，推进生态优化、节约集约、绿色低碳发展。</w:t>
                  </w:r>
                </w:p>
              </w:tc>
              <w:tc>
                <w:tcPr>
                  <w:tcW w:w="1462" w:type="pct"/>
                  <w:tcBorders>
                    <w:tl2br w:val="nil"/>
                    <w:tr2bl w:val="nil"/>
                  </w:tcBorders>
                  <w:vAlign w:val="center"/>
                </w:tcPr>
                <w:p w14:paraId="53C726D4">
                  <w:pPr>
                    <w:widowControl/>
                    <w:jc w:val="left"/>
                    <w:rPr>
                      <w:color w:val="auto"/>
                      <w:szCs w:val="21"/>
                    </w:rPr>
                  </w:pPr>
                  <w:r>
                    <w:rPr>
                      <w:rFonts w:hint="eastAsia"/>
                      <w:color w:val="auto"/>
                      <w:szCs w:val="21"/>
                    </w:rPr>
                    <w:t>本项目坚持绿色生产。依法公开环境信息，接受社会监督。深入挖掘节能、降碳、减污潜力。</w:t>
                  </w:r>
                </w:p>
              </w:tc>
              <w:tc>
                <w:tcPr>
                  <w:tcW w:w="471" w:type="pct"/>
                  <w:tcBorders>
                    <w:tl2br w:val="nil"/>
                    <w:tr2bl w:val="nil"/>
                  </w:tcBorders>
                  <w:vAlign w:val="center"/>
                </w:tcPr>
                <w:p w14:paraId="4E45FD58">
                  <w:pPr>
                    <w:widowControl/>
                    <w:jc w:val="center"/>
                    <w:rPr>
                      <w:color w:val="auto"/>
                      <w:szCs w:val="21"/>
                    </w:rPr>
                  </w:pPr>
                  <w:r>
                    <w:rPr>
                      <w:color w:val="auto"/>
                      <w:szCs w:val="21"/>
                    </w:rPr>
                    <w:t>符合</w:t>
                  </w:r>
                </w:p>
              </w:tc>
            </w:tr>
            <w:tr w14:paraId="4A67C8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1933" w:hRule="atLeast"/>
                <w:jc w:val="center"/>
              </w:trPr>
              <w:tc>
                <w:tcPr>
                  <w:tcW w:w="321" w:type="pct"/>
                  <w:tcBorders>
                    <w:tl2br w:val="nil"/>
                    <w:tr2bl w:val="nil"/>
                  </w:tcBorders>
                  <w:vAlign w:val="center"/>
                </w:tcPr>
                <w:p w14:paraId="744DD017">
                  <w:pPr>
                    <w:widowControl/>
                    <w:jc w:val="center"/>
                    <w:rPr>
                      <w:color w:val="auto"/>
                      <w:szCs w:val="21"/>
                    </w:rPr>
                  </w:pPr>
                  <w:r>
                    <w:rPr>
                      <w:color w:val="auto"/>
                      <w:szCs w:val="21"/>
                    </w:rPr>
                    <w:t>五、保障措施</w:t>
                  </w:r>
                </w:p>
              </w:tc>
              <w:tc>
                <w:tcPr>
                  <w:tcW w:w="379" w:type="pct"/>
                  <w:tcBorders>
                    <w:tl2br w:val="nil"/>
                    <w:tr2bl w:val="nil"/>
                  </w:tcBorders>
                  <w:vAlign w:val="center"/>
                </w:tcPr>
                <w:p w14:paraId="430AEC8E">
                  <w:pPr>
                    <w:widowControl/>
                    <w:jc w:val="center"/>
                    <w:rPr>
                      <w:color w:val="auto"/>
                      <w:szCs w:val="21"/>
                    </w:rPr>
                  </w:pPr>
                  <w:r>
                    <w:rPr>
                      <w:color w:val="auto"/>
                      <w:szCs w:val="21"/>
                    </w:rPr>
                    <w:t>（二）强化企业主体责任。</w:t>
                  </w:r>
                </w:p>
              </w:tc>
              <w:tc>
                <w:tcPr>
                  <w:tcW w:w="2364" w:type="pct"/>
                  <w:tcBorders>
                    <w:tl2br w:val="nil"/>
                    <w:tr2bl w:val="nil"/>
                  </w:tcBorders>
                  <w:vAlign w:val="center"/>
                </w:tcPr>
                <w:p w14:paraId="488371B5">
                  <w:pPr>
                    <w:widowControl/>
                    <w:jc w:val="center"/>
                    <w:rPr>
                      <w:color w:val="auto"/>
                      <w:szCs w:val="21"/>
                    </w:rPr>
                  </w:pPr>
                  <w:r>
                    <w:rPr>
                      <w:color w:val="auto"/>
                      <w:szCs w:val="21"/>
                    </w:rPr>
                    <w:t>铸造企业要切实履行责任，确保实现达标排放。企业应加强人员技术培训，健全内部环保考核管理机制，确保治污设施长期稳定运行。及时公布自行监测和污染排放数据、污染治理措施、重污染天气应对、环保违法处罚及整改等信息。</w:t>
                  </w:r>
                </w:p>
              </w:tc>
              <w:tc>
                <w:tcPr>
                  <w:tcW w:w="1462" w:type="pct"/>
                  <w:tcBorders>
                    <w:tl2br w:val="nil"/>
                    <w:tr2bl w:val="nil"/>
                  </w:tcBorders>
                  <w:vAlign w:val="center"/>
                </w:tcPr>
                <w:p w14:paraId="2D3AAAB0">
                  <w:pPr>
                    <w:widowControl/>
                    <w:jc w:val="center"/>
                    <w:rPr>
                      <w:color w:val="auto"/>
                      <w:szCs w:val="21"/>
                    </w:rPr>
                  </w:pPr>
                  <w:r>
                    <w:rPr>
                      <w:rFonts w:hint="eastAsia"/>
                      <w:color w:val="auto"/>
                      <w:szCs w:val="21"/>
                    </w:rPr>
                    <w:t>本项目各污染物达标排放。加强人员技术培训，工作人员</w:t>
                  </w:r>
                  <w:r>
                    <w:rPr>
                      <w:rFonts w:hint="eastAsia"/>
                      <w:color w:val="auto"/>
                      <w:szCs w:val="21"/>
                      <w:lang w:eastAsia="zh-CN"/>
                    </w:rPr>
                    <w:t>持证</w:t>
                  </w:r>
                  <w:r>
                    <w:rPr>
                      <w:rFonts w:hint="eastAsia"/>
                      <w:color w:val="auto"/>
                      <w:szCs w:val="21"/>
                    </w:rPr>
                    <w:t>上岗。</w:t>
                  </w:r>
                  <w:r>
                    <w:rPr>
                      <w:color w:val="auto"/>
                      <w:szCs w:val="21"/>
                    </w:rPr>
                    <w:t>健全内部环保考核管理机制</w:t>
                  </w:r>
                  <w:r>
                    <w:rPr>
                      <w:rFonts w:hint="eastAsia"/>
                      <w:color w:val="auto"/>
                      <w:szCs w:val="21"/>
                    </w:rPr>
                    <w:t>，确保</w:t>
                  </w:r>
                  <w:r>
                    <w:rPr>
                      <w:color w:val="auto"/>
                      <w:szCs w:val="21"/>
                    </w:rPr>
                    <w:t>治污设施长期稳定运行</w:t>
                  </w:r>
                  <w:r>
                    <w:rPr>
                      <w:rFonts w:hint="eastAsia"/>
                      <w:color w:val="auto"/>
                      <w:szCs w:val="21"/>
                    </w:rPr>
                    <w:t>。依法公开环境信息，接受社会监督。</w:t>
                  </w:r>
                </w:p>
              </w:tc>
              <w:tc>
                <w:tcPr>
                  <w:tcW w:w="471" w:type="pct"/>
                  <w:tcBorders>
                    <w:tl2br w:val="nil"/>
                    <w:tr2bl w:val="nil"/>
                  </w:tcBorders>
                  <w:vAlign w:val="center"/>
                </w:tcPr>
                <w:p w14:paraId="2828CEE7">
                  <w:pPr>
                    <w:widowControl/>
                    <w:jc w:val="center"/>
                    <w:rPr>
                      <w:color w:val="auto"/>
                      <w:szCs w:val="21"/>
                    </w:rPr>
                  </w:pPr>
                  <w:r>
                    <w:rPr>
                      <w:color w:val="auto"/>
                      <w:szCs w:val="21"/>
                    </w:rPr>
                    <w:t>符合</w:t>
                  </w:r>
                </w:p>
              </w:tc>
            </w:tr>
          </w:tbl>
          <w:p w14:paraId="5D7B610C">
            <w:pPr>
              <w:snapToGrid w:val="0"/>
              <w:spacing w:beforeLines="50" w:line="360" w:lineRule="auto"/>
              <w:ind w:firstLine="422" w:firstLineChars="200"/>
              <w:rPr>
                <w:b/>
                <w:bCs/>
                <w:color w:val="auto"/>
              </w:rPr>
            </w:pPr>
            <w:r>
              <w:rPr>
                <w:rFonts w:hint="eastAsia"/>
                <w:b/>
                <w:bCs/>
                <w:color w:val="auto"/>
              </w:rPr>
              <w:t>（</w:t>
            </w:r>
            <w:r>
              <w:rPr>
                <w:rFonts w:hint="eastAsia"/>
                <w:b/>
                <w:bCs/>
                <w:color w:val="auto"/>
                <w:lang w:val="en-US" w:eastAsia="zh-CN"/>
              </w:rPr>
              <w:t>14</w:t>
            </w:r>
            <w:r>
              <w:rPr>
                <w:rFonts w:hint="eastAsia"/>
                <w:b/>
                <w:bCs/>
                <w:color w:val="auto"/>
              </w:rPr>
              <w:t>）与《南通市关于加强减污降碳协同推进重点行业绿色发展的指导意见》相符性分析</w:t>
            </w:r>
          </w:p>
          <w:p w14:paraId="42BC82E8">
            <w:pPr>
              <w:adjustRightInd w:val="0"/>
              <w:snapToGrid w:val="0"/>
              <w:spacing w:line="360" w:lineRule="auto"/>
              <w:ind w:firstLine="420" w:firstLineChars="200"/>
              <w:rPr>
                <w:color w:val="auto"/>
                <w:szCs w:val="21"/>
              </w:rPr>
            </w:pPr>
            <w:r>
              <w:rPr>
                <w:rFonts w:hint="eastAsia"/>
                <w:color w:val="auto"/>
                <w:szCs w:val="21"/>
              </w:rPr>
              <w:t xml:space="preserve"> 对照</w:t>
            </w:r>
            <w:r>
              <w:rPr>
                <w:color w:val="auto"/>
                <w:szCs w:val="21"/>
              </w:rPr>
              <w:t>《</w:t>
            </w:r>
            <w:r>
              <w:rPr>
                <w:rFonts w:hint="eastAsia"/>
                <w:color w:val="auto"/>
                <w:szCs w:val="21"/>
              </w:rPr>
              <w:t>南通市关于加强减污降碳协同推进重点行业绿色发展的指导意见</w:t>
            </w:r>
            <w:r>
              <w:rPr>
                <w:color w:val="auto"/>
                <w:szCs w:val="21"/>
              </w:rPr>
              <w:t>》</w:t>
            </w:r>
            <w:r>
              <w:rPr>
                <w:rFonts w:hint="eastAsia"/>
                <w:color w:val="auto"/>
                <w:szCs w:val="21"/>
              </w:rPr>
              <w:t>（</w:t>
            </w:r>
            <w:r>
              <w:rPr>
                <w:color w:val="auto"/>
                <w:szCs w:val="21"/>
              </w:rPr>
              <w:t>通办</w:t>
            </w:r>
            <w:r>
              <w:rPr>
                <w:rFonts w:hint="eastAsia"/>
                <w:color w:val="auto"/>
                <w:szCs w:val="21"/>
                <w:lang w:eastAsia="zh-CN"/>
              </w:rPr>
              <w:t>〔</w:t>
            </w:r>
            <w:r>
              <w:rPr>
                <w:color w:val="auto"/>
                <w:szCs w:val="21"/>
              </w:rPr>
              <w:t>202</w:t>
            </w:r>
            <w:r>
              <w:rPr>
                <w:rFonts w:hint="eastAsia"/>
                <w:color w:val="auto"/>
                <w:szCs w:val="21"/>
              </w:rPr>
              <w:t>4</w:t>
            </w:r>
            <w:r>
              <w:rPr>
                <w:rFonts w:hint="eastAsia"/>
                <w:color w:val="auto"/>
                <w:szCs w:val="21"/>
                <w:lang w:eastAsia="zh-CN"/>
              </w:rPr>
              <w:t>〕</w:t>
            </w:r>
            <w:r>
              <w:rPr>
                <w:rFonts w:hint="eastAsia"/>
                <w:color w:val="auto"/>
                <w:szCs w:val="21"/>
              </w:rPr>
              <w:t>6</w:t>
            </w:r>
            <w:r>
              <w:rPr>
                <w:color w:val="auto"/>
                <w:szCs w:val="21"/>
              </w:rPr>
              <w:t>号</w:t>
            </w:r>
            <w:r>
              <w:rPr>
                <w:rFonts w:hint="eastAsia"/>
                <w:color w:val="auto"/>
                <w:szCs w:val="21"/>
              </w:rPr>
              <w:t>）文件精神，进一步加大污染减排力度，推进重点行业绿色发展。</w:t>
            </w:r>
          </w:p>
          <w:p w14:paraId="3BC1D1DC">
            <w:pPr>
              <w:adjustRightInd w:val="0"/>
              <w:snapToGrid w:val="0"/>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本项目为C3392有色金属铸造，不属于指导意见中的8大行业</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本项目</w:t>
            </w:r>
            <w:r>
              <w:rPr>
                <w:rFonts w:hint="eastAsia"/>
                <w:color w:val="auto"/>
                <w:szCs w:val="21"/>
              </w:rPr>
              <w:t>制芯、浇注废气集气罩收集</w:t>
            </w:r>
            <w:r>
              <w:rPr>
                <w:rFonts w:hint="eastAsia"/>
                <w:color w:val="auto"/>
                <w:szCs w:val="21"/>
                <w:lang w:val="en-US" w:eastAsia="zh-CN"/>
              </w:rPr>
              <w:t>后</w:t>
            </w:r>
            <w:r>
              <w:rPr>
                <w:rFonts w:hint="eastAsia"/>
                <w:color w:val="auto"/>
                <w:szCs w:val="21"/>
              </w:rPr>
              <w:t>经布袋除尘+二级活性炭吸附装置处理后，尾气经15m高排气筒（DA001）排放；熔融</w:t>
            </w:r>
            <w:r>
              <w:rPr>
                <w:rFonts w:hint="eastAsia"/>
                <w:color w:val="auto"/>
                <w:szCs w:val="21"/>
                <w:lang w:eastAsia="zh-CN"/>
              </w:rPr>
              <w:t>、</w:t>
            </w:r>
            <w:r>
              <w:rPr>
                <w:rFonts w:hint="eastAsia"/>
                <w:color w:val="auto"/>
                <w:szCs w:val="21"/>
                <w:lang w:val="en-US" w:eastAsia="zh-CN"/>
              </w:rPr>
              <w:t>打磨抛光废气经</w:t>
            </w:r>
            <w:r>
              <w:rPr>
                <w:rFonts w:hint="eastAsia"/>
                <w:color w:val="auto"/>
                <w:szCs w:val="21"/>
              </w:rPr>
              <w:t>布袋除尘装置处理</w:t>
            </w:r>
            <w:r>
              <w:rPr>
                <w:rFonts w:hint="eastAsia"/>
                <w:color w:val="auto"/>
                <w:szCs w:val="21"/>
                <w:lang w:val="en-US" w:eastAsia="zh-CN"/>
              </w:rPr>
              <w:t>后，尾气经15m高排气筒（DA002）排放</w:t>
            </w:r>
            <w:r>
              <w:rPr>
                <w:rFonts w:hint="eastAsia"/>
                <w:color w:val="auto"/>
                <w:szCs w:val="21"/>
                <w:lang w:eastAsia="zh-CN"/>
              </w:rPr>
              <w:t>；</w:t>
            </w:r>
            <w:r>
              <w:rPr>
                <w:rFonts w:hint="eastAsia"/>
                <w:color w:val="auto"/>
                <w:szCs w:val="21"/>
              </w:rPr>
              <w:t>落砂废气集气罩收集后经布袋除尘装置处理后，</w:t>
            </w:r>
            <w:r>
              <w:rPr>
                <w:rFonts w:hint="eastAsia"/>
                <w:color w:val="auto"/>
                <w:szCs w:val="21"/>
                <w:lang w:val="en-US" w:eastAsia="zh-CN"/>
              </w:rPr>
              <w:t>尾气</w:t>
            </w:r>
            <w:r>
              <w:rPr>
                <w:rFonts w:hint="eastAsia"/>
                <w:color w:val="auto"/>
                <w:szCs w:val="21"/>
              </w:rPr>
              <w:t>经15m排气筒（DA00</w:t>
            </w:r>
            <w:r>
              <w:rPr>
                <w:rFonts w:hint="eastAsia"/>
                <w:color w:val="auto"/>
                <w:szCs w:val="21"/>
                <w:lang w:val="en-US" w:eastAsia="zh-CN"/>
              </w:rPr>
              <w:t>3</w:t>
            </w:r>
            <w:r>
              <w:rPr>
                <w:rFonts w:hint="eastAsia"/>
                <w:color w:val="auto"/>
                <w:szCs w:val="21"/>
              </w:rPr>
              <w:t>）排放；</w:t>
            </w:r>
            <w:r>
              <w:rPr>
                <w:rFonts w:hint="eastAsia"/>
                <w:color w:val="auto"/>
                <w:szCs w:val="21"/>
                <w:lang w:val="en-US" w:eastAsia="zh-CN"/>
              </w:rPr>
              <w:t>机加工废气</w:t>
            </w:r>
            <w:r>
              <w:rPr>
                <w:rFonts w:hint="eastAsia" w:ascii="Times New Roman" w:hAnsi="Times New Roman" w:eastAsia="宋体" w:cs="Times New Roman"/>
                <w:color w:val="auto"/>
                <w:szCs w:val="21"/>
                <w:lang w:val="en-US" w:eastAsia="zh-CN"/>
              </w:rPr>
              <w:t>无组织排放</w:t>
            </w:r>
            <w:r>
              <w:rPr>
                <w:rFonts w:hint="eastAsia" w:ascii="Times New Roman" w:hAnsi="Times New Roman" w:eastAsia="宋体" w:cs="Times New Roman"/>
                <w:color w:val="auto"/>
                <w:szCs w:val="21"/>
              </w:rPr>
              <w:t>。本项目生活污水经化粪池处理</w:t>
            </w:r>
            <w:r>
              <w:rPr>
                <w:rFonts w:hint="eastAsia" w:ascii="Times New Roman" w:hAnsi="Times New Roman"/>
                <w:color w:val="auto"/>
                <w:lang w:val="en-US" w:eastAsia="zh-CN"/>
              </w:rPr>
              <w:t>用作液态肥料</w:t>
            </w:r>
            <w:r>
              <w:rPr>
                <w:rFonts w:hint="eastAsia" w:cs="Times New Roman"/>
                <w:color w:val="auto"/>
                <w:szCs w:val="21"/>
                <w:lang w:eastAsia="zh-CN"/>
              </w:rPr>
              <w:t>，</w:t>
            </w:r>
            <w:r>
              <w:rPr>
                <w:rFonts w:hint="eastAsia" w:ascii="Times New Roman" w:hAnsi="Times New Roman" w:eastAsia="宋体" w:cs="Times New Roman"/>
                <w:color w:val="auto"/>
                <w:szCs w:val="21"/>
              </w:rPr>
              <w:t>循环冷却水</w:t>
            </w:r>
            <w:r>
              <w:rPr>
                <w:rFonts w:hint="eastAsia" w:cs="Times New Roman"/>
                <w:color w:val="auto"/>
                <w:szCs w:val="21"/>
                <w:lang w:eastAsia="zh-CN"/>
              </w:rPr>
              <w:t>、</w:t>
            </w:r>
            <w:r>
              <w:rPr>
                <w:rFonts w:hint="eastAsia" w:cs="Times New Roman"/>
                <w:color w:val="auto"/>
                <w:szCs w:val="21"/>
                <w:lang w:val="en-US" w:eastAsia="zh-CN"/>
              </w:rPr>
              <w:t>清洗用水</w:t>
            </w:r>
            <w:r>
              <w:rPr>
                <w:rFonts w:hint="eastAsia" w:ascii="Times New Roman" w:hAnsi="Times New Roman" w:eastAsia="宋体" w:cs="Times New Roman"/>
                <w:color w:val="auto"/>
                <w:szCs w:val="21"/>
              </w:rPr>
              <w:t>循环使用，</w:t>
            </w:r>
            <w:r>
              <w:rPr>
                <w:rFonts w:hint="eastAsia" w:cs="Times New Roman"/>
                <w:color w:val="auto"/>
                <w:szCs w:val="21"/>
                <w:lang w:val="en-US" w:eastAsia="zh-CN"/>
              </w:rPr>
              <w:t>定期作为危废处理</w:t>
            </w:r>
            <w:r>
              <w:rPr>
                <w:rFonts w:hint="eastAsia" w:ascii="Times New Roman" w:hAnsi="Times New Roman" w:eastAsia="宋体" w:cs="Times New Roman"/>
                <w:color w:val="auto"/>
                <w:szCs w:val="21"/>
              </w:rPr>
              <w:t>。固废零排放。因此本项目符合相关要求。</w:t>
            </w:r>
          </w:p>
          <w:p w14:paraId="2A10641B">
            <w:pPr>
              <w:spacing w:line="360" w:lineRule="auto"/>
              <w:ind w:firstLine="422" w:firstLineChars="200"/>
              <w:rPr>
                <w:rStyle w:val="31"/>
                <w:b/>
                <w:bCs/>
                <w:color w:val="auto"/>
                <w:kern w:val="0"/>
                <w:szCs w:val="20"/>
              </w:rPr>
            </w:pPr>
            <w:r>
              <w:rPr>
                <w:rStyle w:val="31"/>
                <w:rFonts w:hint="eastAsia"/>
                <w:b/>
                <w:bCs/>
                <w:color w:val="auto"/>
                <w:kern w:val="0"/>
                <w:szCs w:val="20"/>
              </w:rPr>
              <w:t>（</w:t>
            </w:r>
            <w:r>
              <w:rPr>
                <w:rStyle w:val="31"/>
                <w:rFonts w:hint="eastAsia"/>
                <w:b/>
                <w:bCs/>
                <w:color w:val="auto"/>
                <w:kern w:val="0"/>
                <w:szCs w:val="20"/>
                <w:lang w:val="en-US" w:eastAsia="zh-CN"/>
              </w:rPr>
              <w:t>15</w:t>
            </w:r>
            <w:r>
              <w:rPr>
                <w:rStyle w:val="31"/>
                <w:rFonts w:hint="eastAsia"/>
                <w:b/>
                <w:bCs/>
                <w:color w:val="auto"/>
                <w:kern w:val="0"/>
                <w:szCs w:val="20"/>
              </w:rPr>
              <w:t>）与</w:t>
            </w:r>
            <w:r>
              <w:rPr>
                <w:rFonts w:hint="eastAsia" w:ascii="Times New Roman" w:hAnsi="Times New Roman"/>
                <w:b/>
                <w:color w:val="auto"/>
                <w:szCs w:val="21"/>
                <w:lang w:val="en-US" w:eastAsia="zh-CN"/>
              </w:rPr>
              <w:t>《如皋市推进重点行业绿色发展实施方案》的通知（皋办【2022】46号）相符性分析</w:t>
            </w:r>
          </w:p>
          <w:p w14:paraId="1F762ACC">
            <w:pPr>
              <w:snapToGrid w:val="0"/>
              <w:spacing w:line="360" w:lineRule="auto"/>
              <w:ind w:firstLine="480"/>
              <w:rPr>
                <w:rFonts w:hint="eastAsia"/>
                <w:b w:val="0"/>
                <w:bCs w:val="0"/>
                <w:color w:val="auto"/>
                <w:szCs w:val="21"/>
              </w:rPr>
            </w:pPr>
            <w:r>
              <w:rPr>
                <w:rFonts w:hint="eastAsia"/>
                <w:b w:val="0"/>
                <w:bCs w:val="0"/>
                <w:color w:val="auto"/>
                <w:szCs w:val="21"/>
              </w:rPr>
              <w:t>对照</w:t>
            </w:r>
            <w:r>
              <w:rPr>
                <w:rFonts w:hint="eastAsia" w:ascii="Times New Roman" w:hAnsi="Times New Roman"/>
                <w:b w:val="0"/>
                <w:bCs w:val="0"/>
                <w:color w:val="auto"/>
                <w:szCs w:val="21"/>
                <w:lang w:val="en-US" w:eastAsia="zh-CN"/>
              </w:rPr>
              <w:t>《如皋市推进重点行业绿色发展实施方案》的通知（皋办【2022】46号）</w:t>
            </w:r>
            <w:r>
              <w:rPr>
                <w:rFonts w:hint="eastAsia"/>
                <w:b w:val="0"/>
                <w:bCs w:val="0"/>
                <w:color w:val="auto"/>
                <w:szCs w:val="21"/>
              </w:rPr>
              <w:t xml:space="preserve">中要求，“到2023年，产业结构得到优化，绿色发展水平稳步提升，产业链耦合共生、资源能源高效利用的绿色低碳循环体系初步建立，绿色产业发展的体制机制逐步完善，主要污染物排放总量明显减少，资源利用效率显著提升，碳排放强度初步优化，生态环境持续改善……” </w:t>
            </w:r>
          </w:p>
          <w:p w14:paraId="67376238">
            <w:pPr>
              <w:snapToGrid w:val="0"/>
              <w:spacing w:line="360" w:lineRule="auto"/>
              <w:ind w:firstLine="480"/>
              <w:rPr>
                <w:rFonts w:hint="eastAsia"/>
                <w:b w:val="0"/>
                <w:bCs w:val="0"/>
                <w:color w:val="auto"/>
                <w:szCs w:val="21"/>
              </w:rPr>
            </w:pPr>
            <w:r>
              <w:rPr>
                <w:rFonts w:hint="eastAsia"/>
                <w:b w:val="0"/>
                <w:bCs w:val="0"/>
                <w:color w:val="auto"/>
                <w:szCs w:val="21"/>
              </w:rPr>
              <w:t>本项目不属于所列出的12个重点行业内，废气、废水、噪声均采取相应的污染防治措施后达标排放，符合</w:t>
            </w:r>
            <w:r>
              <w:rPr>
                <w:rFonts w:hint="eastAsia" w:ascii="Times New Roman" w:hAnsi="Times New Roman"/>
                <w:b w:val="0"/>
                <w:bCs w:val="0"/>
                <w:color w:val="auto"/>
                <w:szCs w:val="21"/>
                <w:lang w:val="en-US" w:eastAsia="zh-CN"/>
              </w:rPr>
              <w:t>《如皋市推进重点行业绿色发展实施方案》的通知（皋办【2022】46号）</w:t>
            </w:r>
            <w:r>
              <w:rPr>
                <w:rFonts w:hint="eastAsia"/>
                <w:b w:val="0"/>
                <w:bCs w:val="0"/>
                <w:color w:val="auto"/>
                <w:szCs w:val="21"/>
              </w:rPr>
              <w:t>要求。</w:t>
            </w:r>
          </w:p>
          <w:p w14:paraId="675AD22D">
            <w:pPr>
              <w:snapToGrid w:val="0"/>
              <w:spacing w:line="360" w:lineRule="auto"/>
              <w:ind w:firstLine="480"/>
              <w:rPr>
                <w:color w:val="auto"/>
                <w:szCs w:val="21"/>
              </w:rPr>
            </w:pPr>
            <w:r>
              <w:rPr>
                <w:rFonts w:hint="eastAsia"/>
                <w:b/>
                <w:color w:val="auto"/>
                <w:szCs w:val="21"/>
              </w:rPr>
              <w:t>（</w:t>
            </w:r>
            <w:r>
              <w:rPr>
                <w:b/>
                <w:color w:val="auto"/>
                <w:szCs w:val="21"/>
              </w:rPr>
              <w:t>1</w:t>
            </w:r>
            <w:r>
              <w:rPr>
                <w:rFonts w:hint="eastAsia"/>
                <w:b/>
                <w:color w:val="auto"/>
                <w:szCs w:val="21"/>
                <w:lang w:val="en-US" w:eastAsia="zh-CN"/>
              </w:rPr>
              <w:t>6</w:t>
            </w:r>
            <w:r>
              <w:rPr>
                <w:rFonts w:hint="eastAsia"/>
                <w:b/>
                <w:color w:val="auto"/>
                <w:szCs w:val="21"/>
              </w:rPr>
              <w:t>）</w:t>
            </w:r>
            <w:r>
              <w:rPr>
                <w:rFonts w:hint="eastAsia"/>
                <w:b/>
                <w:bCs/>
                <w:color w:val="auto"/>
                <w:kern w:val="0"/>
                <w:szCs w:val="21"/>
              </w:rPr>
              <w:t>与《关于印发&lt;深入打好重污染天气消除、臭氧污染防治和柴油货车污染治理攻坚战行动方案&gt;的通知》</w:t>
            </w:r>
            <w:r>
              <w:rPr>
                <w:rFonts w:hint="eastAsia"/>
                <w:b/>
                <w:bCs/>
                <w:color w:val="auto"/>
                <w:kern w:val="0"/>
                <w:szCs w:val="21"/>
                <w:lang w:eastAsia="zh-CN"/>
              </w:rPr>
              <w:t>（</w:t>
            </w:r>
            <w:r>
              <w:rPr>
                <w:rFonts w:hint="eastAsia"/>
                <w:b/>
                <w:bCs/>
                <w:color w:val="auto"/>
                <w:kern w:val="0"/>
                <w:szCs w:val="21"/>
              </w:rPr>
              <w:t>环大气〔2022〕68号</w:t>
            </w:r>
            <w:r>
              <w:rPr>
                <w:rFonts w:hint="eastAsia"/>
                <w:b/>
                <w:bCs/>
                <w:color w:val="auto"/>
                <w:kern w:val="0"/>
                <w:szCs w:val="21"/>
                <w:lang w:eastAsia="zh-CN"/>
              </w:rPr>
              <w:t>）</w:t>
            </w:r>
            <w:r>
              <w:rPr>
                <w:rFonts w:hint="eastAsia"/>
                <w:b/>
                <w:bCs/>
                <w:color w:val="auto"/>
                <w:kern w:val="0"/>
                <w:szCs w:val="21"/>
              </w:rPr>
              <w:t>相符性分析</w:t>
            </w:r>
          </w:p>
          <w:p w14:paraId="77759B02">
            <w:pPr>
              <w:pStyle w:val="38"/>
              <w:snapToGrid w:val="0"/>
              <w:ind w:firstLine="420"/>
              <w:rPr>
                <w:color w:val="auto"/>
                <w:szCs w:val="21"/>
              </w:rPr>
            </w:pPr>
            <w:r>
              <w:rPr>
                <w:color w:val="auto"/>
                <w:szCs w:val="21"/>
              </w:rPr>
              <w:t>表1-1</w:t>
            </w:r>
            <w:r>
              <w:rPr>
                <w:rFonts w:hint="eastAsia"/>
                <w:color w:val="auto"/>
                <w:szCs w:val="21"/>
                <w:lang w:val="en-US" w:eastAsia="zh-CN"/>
              </w:rPr>
              <w:t>4</w:t>
            </w:r>
            <w:r>
              <w:rPr>
                <w:color w:val="auto"/>
                <w:szCs w:val="21"/>
              </w:rPr>
              <w:t xml:space="preserve"> 本项目与</w:t>
            </w:r>
            <w:r>
              <w:rPr>
                <w:bCs/>
                <w:color w:val="auto"/>
                <w:szCs w:val="21"/>
              </w:rPr>
              <w:t>环大气〔2022〕68号文</w:t>
            </w:r>
            <w:r>
              <w:rPr>
                <w:color w:val="auto"/>
                <w:szCs w:val="21"/>
              </w:rPr>
              <w:t>相符性分析</w:t>
            </w:r>
            <w:r>
              <w:rPr>
                <w:rFonts w:hint="eastAsia"/>
                <w:color w:val="auto"/>
                <w:szCs w:val="21"/>
              </w:rPr>
              <w:t>表</w:t>
            </w:r>
          </w:p>
          <w:tbl>
            <w:tblPr>
              <w:tblStyle w:val="25"/>
              <w:tblW w:w="7359"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734"/>
              <w:gridCol w:w="1625"/>
            </w:tblGrid>
            <w:tr w14:paraId="346F77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5" w:hRule="atLeast"/>
              </w:trPr>
              <w:tc>
                <w:tcPr>
                  <w:tcW w:w="3895" w:type="pct"/>
                  <w:shd w:val="clear" w:color="auto" w:fill="auto"/>
                  <w:vAlign w:val="center"/>
                </w:tcPr>
                <w:p w14:paraId="3065CED2">
                  <w:pPr>
                    <w:widowControl/>
                    <w:bidi/>
                    <w:jc w:val="right"/>
                    <w:rPr>
                      <w:b/>
                      <w:bCs/>
                      <w:color w:val="auto"/>
                      <w:kern w:val="0"/>
                      <w:szCs w:val="21"/>
                    </w:rPr>
                  </w:pPr>
                  <w:r>
                    <w:rPr>
                      <w:rFonts w:hAnsi="宋体"/>
                      <w:b/>
                      <w:bCs/>
                      <w:color w:val="auto"/>
                      <w:kern w:val="0"/>
                      <w:szCs w:val="21"/>
                    </w:rPr>
                    <w:t>文件中相关要求</w:t>
                  </w:r>
                </w:p>
              </w:tc>
              <w:tc>
                <w:tcPr>
                  <w:tcW w:w="1104" w:type="pct"/>
                  <w:shd w:val="clear" w:color="auto" w:fill="auto"/>
                  <w:vAlign w:val="center"/>
                </w:tcPr>
                <w:p w14:paraId="50CB9E5E">
                  <w:pPr>
                    <w:widowControl/>
                    <w:bidi/>
                    <w:jc w:val="center"/>
                    <w:rPr>
                      <w:b/>
                      <w:bCs/>
                      <w:color w:val="auto"/>
                      <w:kern w:val="0"/>
                      <w:szCs w:val="21"/>
                    </w:rPr>
                  </w:pPr>
                  <w:r>
                    <w:rPr>
                      <w:rFonts w:hAnsi="宋体"/>
                      <w:b/>
                      <w:bCs/>
                      <w:color w:val="auto"/>
                      <w:kern w:val="0"/>
                      <w:szCs w:val="21"/>
                    </w:rPr>
                    <w:t>本项目情况</w:t>
                  </w:r>
                </w:p>
              </w:tc>
            </w:tr>
            <w:tr w14:paraId="4FBC55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5" w:hRule="atLeast"/>
              </w:trPr>
              <w:tc>
                <w:tcPr>
                  <w:tcW w:w="3895" w:type="pct"/>
                  <w:shd w:val="clear" w:color="auto" w:fill="auto"/>
                  <w:vAlign w:val="center"/>
                </w:tcPr>
                <w:p w14:paraId="24798B48">
                  <w:pPr>
                    <w:widowControl/>
                    <w:bidi/>
                    <w:jc w:val="right"/>
                    <w:rPr>
                      <w:b/>
                      <w:bCs/>
                      <w:color w:val="auto"/>
                      <w:kern w:val="0"/>
                      <w:szCs w:val="21"/>
                    </w:rPr>
                  </w:pPr>
                  <w:r>
                    <w:rPr>
                      <w:rFonts w:hAnsi="宋体"/>
                      <w:b/>
                      <w:bCs/>
                      <w:color w:val="auto"/>
                      <w:kern w:val="0"/>
                      <w:szCs w:val="21"/>
                    </w:rPr>
                    <w:t>三、推进重点工程</w:t>
                  </w:r>
                </w:p>
              </w:tc>
              <w:tc>
                <w:tcPr>
                  <w:tcW w:w="1104" w:type="pct"/>
                  <w:vMerge w:val="restart"/>
                  <w:shd w:val="clear" w:color="auto" w:fill="auto"/>
                  <w:vAlign w:val="center"/>
                </w:tcPr>
                <w:p w14:paraId="653A20DB">
                  <w:pPr>
                    <w:widowControl/>
                    <w:bidi/>
                    <w:adjustRightInd w:val="0"/>
                    <w:snapToGrid w:val="0"/>
                    <w:jc w:val="center"/>
                    <w:rPr>
                      <w:color w:val="auto"/>
                      <w:kern w:val="0"/>
                      <w:szCs w:val="21"/>
                    </w:rPr>
                  </w:pPr>
                  <w:r>
                    <w:rPr>
                      <w:rFonts w:hAnsi="宋体"/>
                      <w:color w:val="auto"/>
                      <w:kern w:val="0"/>
                      <w:szCs w:val="21"/>
                    </w:rPr>
                    <w:t>本项目不属于高耗能、高排放、低水平项目。项目</w:t>
                  </w:r>
                  <w:r>
                    <w:rPr>
                      <w:rFonts w:hint="eastAsia"/>
                      <w:bCs/>
                      <w:color w:val="auto"/>
                      <w:kern w:val="0"/>
                      <w:szCs w:val="21"/>
                      <w:lang w:val="en-US" w:eastAsia="zh-CN"/>
                    </w:rPr>
                    <w:t>制芯、浇注</w:t>
                  </w:r>
                  <w:r>
                    <w:rPr>
                      <w:rFonts w:hint="eastAsia"/>
                      <w:bCs/>
                      <w:color w:val="auto"/>
                      <w:kern w:val="0"/>
                      <w:szCs w:val="21"/>
                    </w:rPr>
                    <w:t>工序产生的有机废气采用</w:t>
                  </w:r>
                  <w:r>
                    <w:rPr>
                      <w:rFonts w:hint="eastAsia"/>
                      <w:bCs/>
                      <w:color w:val="auto"/>
                      <w:kern w:val="0"/>
                      <w:szCs w:val="21"/>
                      <w:lang w:val="en-US" w:eastAsia="zh-CN"/>
                    </w:rPr>
                    <w:t>二级</w:t>
                  </w:r>
                  <w:r>
                    <w:rPr>
                      <w:rFonts w:hint="eastAsia"/>
                      <w:bCs/>
                      <w:color w:val="auto"/>
                      <w:kern w:val="0"/>
                      <w:szCs w:val="21"/>
                    </w:rPr>
                    <w:t>活性炭吸附装置处理</w:t>
                  </w:r>
                  <w:r>
                    <w:rPr>
                      <w:rFonts w:hint="eastAsia"/>
                      <w:bCs/>
                      <w:color w:val="auto"/>
                      <w:kern w:val="0"/>
                      <w:szCs w:val="21"/>
                      <w:lang w:val="en-US" w:eastAsia="zh-CN"/>
                    </w:rPr>
                    <w:t>，尾气</w:t>
                  </w:r>
                  <w:r>
                    <w:rPr>
                      <w:rFonts w:hint="eastAsia" w:hAnsi="宋体"/>
                      <w:color w:val="auto"/>
                      <w:kern w:val="0"/>
                      <w:szCs w:val="21"/>
                    </w:rPr>
                    <w:t>后</w:t>
                  </w:r>
                  <w:r>
                    <w:rPr>
                      <w:rFonts w:hAnsi="宋体"/>
                      <w:color w:val="auto"/>
                      <w:kern w:val="0"/>
                      <w:szCs w:val="21"/>
                    </w:rPr>
                    <w:t>通过排气筒达标排放。</w:t>
                  </w:r>
                </w:p>
              </w:tc>
            </w:tr>
            <w:tr w14:paraId="0C1026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895" w:type="pct"/>
                  <w:shd w:val="clear" w:color="auto" w:fill="auto"/>
                  <w:vAlign w:val="center"/>
                </w:tcPr>
                <w:p w14:paraId="3A0F0BC8">
                  <w:pPr>
                    <w:widowControl/>
                    <w:bidi/>
                    <w:jc w:val="right"/>
                    <w:rPr>
                      <w:color w:val="auto"/>
                      <w:kern w:val="0"/>
                      <w:szCs w:val="21"/>
                    </w:rPr>
                  </w:pPr>
                  <w:r>
                    <w:rPr>
                      <w:rFonts w:hAnsi="宋体"/>
                      <w:color w:val="auto"/>
                      <w:kern w:val="0"/>
                      <w:szCs w:val="21"/>
                    </w:rPr>
                    <w:t>统筹大气污染防治与</w:t>
                  </w:r>
                  <w:r>
                    <w:rPr>
                      <w:rFonts w:hint="eastAsia"/>
                      <w:color w:val="auto"/>
                      <w:kern w:val="0"/>
                      <w:szCs w:val="21"/>
                    </w:rPr>
                    <w:t>“</w:t>
                  </w:r>
                  <w:r>
                    <w:rPr>
                      <w:rFonts w:hAnsi="宋体"/>
                      <w:color w:val="auto"/>
                      <w:kern w:val="0"/>
                      <w:szCs w:val="21"/>
                    </w:rPr>
                    <w:t>双碳</w:t>
                  </w:r>
                  <w:r>
                    <w:rPr>
                      <w:rFonts w:hint="eastAsia"/>
                      <w:color w:val="auto"/>
                      <w:kern w:val="0"/>
                      <w:szCs w:val="21"/>
                    </w:rPr>
                    <w:t>”</w:t>
                  </w:r>
                  <w:r>
                    <w:rPr>
                      <w:rFonts w:hAnsi="宋体"/>
                      <w:color w:val="auto"/>
                      <w:kern w:val="0"/>
                      <w:szCs w:val="21"/>
                    </w:rPr>
                    <w:t>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w:t>
                  </w:r>
                  <w:r>
                    <w:rPr>
                      <w:rFonts w:hint="eastAsia" w:hAnsi="宋体"/>
                      <w:color w:val="auto"/>
                      <w:kern w:val="0"/>
                      <w:szCs w:val="21"/>
                    </w:rPr>
                    <w:t>“</w:t>
                  </w:r>
                  <w:r>
                    <w:rPr>
                      <w:rFonts w:hAnsi="宋体"/>
                      <w:color w:val="auto"/>
                      <w:kern w:val="0"/>
                      <w:szCs w:val="21"/>
                    </w:rPr>
                    <w:t>公转铁</w:t>
                  </w:r>
                  <w:r>
                    <w:rPr>
                      <w:rFonts w:hint="eastAsia"/>
                      <w:color w:val="auto"/>
                      <w:kern w:val="0"/>
                      <w:szCs w:val="21"/>
                    </w:rPr>
                    <w:t>”“</w:t>
                  </w:r>
                  <w:r>
                    <w:rPr>
                      <w:rFonts w:hAnsi="宋体"/>
                      <w:color w:val="auto"/>
                      <w:kern w:val="0"/>
                      <w:szCs w:val="21"/>
                    </w:rPr>
                    <w:t>公转水</w:t>
                  </w:r>
                  <w:r>
                    <w:rPr>
                      <w:rFonts w:hint="eastAsia"/>
                      <w:color w:val="auto"/>
                      <w:kern w:val="0"/>
                      <w:szCs w:val="21"/>
                    </w:rPr>
                    <w:t>”</w:t>
                  </w:r>
                  <w:r>
                    <w:rPr>
                      <w:rFonts w:hAnsi="宋体"/>
                      <w:color w:val="auto"/>
                      <w:kern w:val="0"/>
                      <w:szCs w:val="21"/>
                    </w:rPr>
                    <w:t>，提高机动车船和非道路移动机械绿色低碳水平。强化挥发性有机物（</w:t>
                  </w:r>
                  <w:r>
                    <w:rPr>
                      <w:color w:val="auto"/>
                      <w:kern w:val="0"/>
                      <w:szCs w:val="21"/>
                    </w:rPr>
                    <w:t>VOCs</w:t>
                  </w:r>
                  <w:r>
                    <w:rPr>
                      <w:rFonts w:hAnsi="宋体"/>
                      <w:color w:val="auto"/>
                      <w:kern w:val="0"/>
                      <w:szCs w:val="21"/>
                    </w:rPr>
                    <w:t>）、氮氧化物等多污染物协同减排，以石化、化工、涂装、制药、包装印刷和油品储运销等为重点，加强</w:t>
                  </w:r>
                  <w:r>
                    <w:rPr>
                      <w:color w:val="auto"/>
                      <w:kern w:val="0"/>
                      <w:szCs w:val="21"/>
                    </w:rPr>
                    <w:t>VOCs</w:t>
                  </w:r>
                  <w:r>
                    <w:rPr>
                      <w:rFonts w:hAnsi="宋体"/>
                      <w:color w:val="auto"/>
                      <w:kern w:val="0"/>
                      <w:szCs w:val="21"/>
                    </w:rPr>
                    <w:t>源头、过程、末端全流程治理；持续推进钢铁行业超低排放改造，出台焦化、水泥行业超低排放改造方案；开展低效治理设施全面提升改造工程。</w:t>
                  </w:r>
                </w:p>
              </w:tc>
              <w:tc>
                <w:tcPr>
                  <w:tcW w:w="1104" w:type="pct"/>
                  <w:vMerge w:val="continue"/>
                  <w:vAlign w:val="center"/>
                </w:tcPr>
                <w:p w14:paraId="48AA367C">
                  <w:pPr>
                    <w:widowControl/>
                    <w:jc w:val="left"/>
                    <w:rPr>
                      <w:color w:val="auto"/>
                      <w:kern w:val="0"/>
                      <w:szCs w:val="21"/>
                    </w:rPr>
                  </w:pPr>
                </w:p>
              </w:tc>
            </w:tr>
            <w:tr w14:paraId="2A8288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5" w:hRule="atLeast"/>
              </w:trPr>
              <w:tc>
                <w:tcPr>
                  <w:tcW w:w="3895" w:type="pct"/>
                  <w:shd w:val="clear" w:color="auto" w:fill="auto"/>
                  <w:vAlign w:val="center"/>
                </w:tcPr>
                <w:p w14:paraId="683E01AB">
                  <w:pPr>
                    <w:widowControl/>
                    <w:bidi/>
                    <w:jc w:val="right"/>
                    <w:rPr>
                      <w:b/>
                      <w:bCs/>
                      <w:color w:val="auto"/>
                      <w:kern w:val="0"/>
                      <w:szCs w:val="21"/>
                    </w:rPr>
                  </w:pPr>
                  <w:r>
                    <w:rPr>
                      <w:rFonts w:hAnsi="宋体"/>
                      <w:b/>
                      <w:bCs/>
                      <w:color w:val="auto"/>
                      <w:kern w:val="0"/>
                      <w:szCs w:val="21"/>
                    </w:rPr>
                    <w:t>附件</w:t>
                  </w:r>
                  <w:r>
                    <w:rPr>
                      <w:b/>
                      <w:bCs/>
                      <w:color w:val="auto"/>
                      <w:kern w:val="0"/>
                      <w:szCs w:val="21"/>
                    </w:rPr>
                    <w:t>1</w:t>
                  </w:r>
                  <w:r>
                    <w:rPr>
                      <w:rFonts w:hAnsi="宋体"/>
                      <w:b/>
                      <w:bCs/>
                      <w:color w:val="auto"/>
                      <w:kern w:val="0"/>
                      <w:szCs w:val="21"/>
                    </w:rPr>
                    <w:t>重污染天气消除攻坚行动方案</w:t>
                  </w:r>
                </w:p>
              </w:tc>
              <w:tc>
                <w:tcPr>
                  <w:tcW w:w="1104" w:type="pct"/>
                  <w:vMerge w:val="restart"/>
                  <w:shd w:val="clear" w:color="auto" w:fill="auto"/>
                  <w:vAlign w:val="center"/>
                </w:tcPr>
                <w:p w14:paraId="381B262A">
                  <w:pPr>
                    <w:widowControl/>
                    <w:bidi/>
                    <w:jc w:val="right"/>
                    <w:rPr>
                      <w:rFonts w:hint="eastAsia" w:eastAsia="宋体"/>
                      <w:color w:val="auto"/>
                      <w:kern w:val="0"/>
                      <w:szCs w:val="21"/>
                      <w:lang w:eastAsia="zh-CN"/>
                    </w:rPr>
                  </w:pPr>
                  <w:r>
                    <w:rPr>
                      <w:rFonts w:hAnsi="宋体"/>
                      <w:color w:val="auto"/>
                      <w:kern w:val="0"/>
                      <w:szCs w:val="21"/>
                    </w:rPr>
                    <w:t>本项目不属于高耗能、高排放、低水平项目，项目建设符合国家产业规划、产业政策、</w:t>
                  </w:r>
                  <w:r>
                    <w:rPr>
                      <w:rFonts w:hint="eastAsia"/>
                      <w:color w:val="auto"/>
                      <w:kern w:val="0"/>
                      <w:szCs w:val="21"/>
                    </w:rPr>
                    <w:t>“</w:t>
                  </w:r>
                  <w:r>
                    <w:rPr>
                      <w:rFonts w:hAnsi="宋体"/>
                      <w:color w:val="auto"/>
                      <w:kern w:val="0"/>
                      <w:szCs w:val="21"/>
                    </w:rPr>
                    <w:t>三线一单</w:t>
                  </w:r>
                  <w:r>
                    <w:rPr>
                      <w:rFonts w:hint="eastAsia"/>
                      <w:color w:val="auto"/>
                      <w:kern w:val="0"/>
                      <w:szCs w:val="21"/>
                    </w:rPr>
                    <w:t>”</w:t>
                  </w:r>
                  <w:r>
                    <w:rPr>
                      <w:rFonts w:hAnsi="宋体"/>
                      <w:color w:val="auto"/>
                      <w:kern w:val="0"/>
                      <w:szCs w:val="21"/>
                    </w:rPr>
                    <w:t>等要求</w:t>
                  </w:r>
                  <w:r>
                    <w:rPr>
                      <w:rFonts w:hint="eastAsia" w:hAnsi="宋体"/>
                      <w:color w:val="auto"/>
                      <w:kern w:val="0"/>
                      <w:szCs w:val="21"/>
                      <w:lang w:eastAsia="zh-CN"/>
                    </w:rPr>
                    <w:t>。</w:t>
                  </w:r>
                </w:p>
              </w:tc>
            </w:tr>
            <w:tr w14:paraId="79AE41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50" w:hRule="atLeast"/>
              </w:trPr>
              <w:tc>
                <w:tcPr>
                  <w:tcW w:w="3895" w:type="pct"/>
                  <w:shd w:val="clear" w:color="auto" w:fill="auto"/>
                  <w:vAlign w:val="center"/>
                </w:tcPr>
                <w:p w14:paraId="1C977085">
                  <w:pPr>
                    <w:widowControl/>
                    <w:bidi/>
                    <w:jc w:val="right"/>
                    <w:rPr>
                      <w:color w:val="auto"/>
                      <w:kern w:val="0"/>
                      <w:szCs w:val="21"/>
                    </w:rPr>
                  </w:pPr>
                  <w:r>
                    <w:rPr>
                      <w:rFonts w:hAnsi="宋体"/>
                      <w:color w:val="auto"/>
                      <w:kern w:val="0"/>
                      <w:szCs w:val="21"/>
                    </w:rPr>
                    <w:t>坚决遏制高耗能、高排放、低水平项目盲目发展，严格落实国家产业规划、产业政策、</w:t>
                  </w:r>
                  <w:r>
                    <w:rPr>
                      <w:rFonts w:hint="eastAsia"/>
                      <w:color w:val="auto"/>
                      <w:kern w:val="0"/>
                      <w:szCs w:val="21"/>
                    </w:rPr>
                    <w:t>“</w:t>
                  </w:r>
                  <w:r>
                    <w:rPr>
                      <w:rFonts w:hAnsi="宋体"/>
                      <w:color w:val="auto"/>
                      <w:kern w:val="0"/>
                      <w:szCs w:val="21"/>
                    </w:rPr>
                    <w:t>三线一单</w:t>
                  </w:r>
                  <w:r>
                    <w:rPr>
                      <w:rFonts w:hint="eastAsia"/>
                      <w:color w:val="auto"/>
                      <w:kern w:val="0"/>
                      <w:szCs w:val="21"/>
                    </w:rPr>
                    <w:t>”</w:t>
                  </w:r>
                  <w:r>
                    <w:rPr>
                      <w:rFonts w:hAnsi="宋体"/>
                      <w:color w:val="auto"/>
                      <w:kern w:val="0"/>
                      <w:szCs w:val="21"/>
                    </w:rPr>
                    <w:t>、规划环评，以及产能置换、煤炭消费减量替代、区域污染物削减等要求，坚决叫停不符合要求的高耗能、高排放、低水平项目。</w:t>
                  </w:r>
                </w:p>
              </w:tc>
              <w:tc>
                <w:tcPr>
                  <w:tcW w:w="1104" w:type="pct"/>
                  <w:vMerge w:val="continue"/>
                  <w:vAlign w:val="center"/>
                </w:tcPr>
                <w:p w14:paraId="681590B5">
                  <w:pPr>
                    <w:widowControl/>
                    <w:jc w:val="left"/>
                    <w:rPr>
                      <w:color w:val="auto"/>
                      <w:kern w:val="0"/>
                      <w:szCs w:val="21"/>
                    </w:rPr>
                  </w:pPr>
                </w:p>
              </w:tc>
            </w:tr>
            <w:tr w14:paraId="628346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5" w:hRule="atLeast"/>
              </w:trPr>
              <w:tc>
                <w:tcPr>
                  <w:tcW w:w="3895" w:type="pct"/>
                  <w:shd w:val="clear" w:color="auto" w:fill="auto"/>
                  <w:vAlign w:val="center"/>
                </w:tcPr>
                <w:p w14:paraId="746920E1">
                  <w:pPr>
                    <w:widowControl/>
                    <w:bidi/>
                    <w:jc w:val="right"/>
                    <w:rPr>
                      <w:b/>
                      <w:bCs/>
                      <w:color w:val="auto"/>
                      <w:kern w:val="0"/>
                      <w:szCs w:val="21"/>
                    </w:rPr>
                  </w:pPr>
                  <w:r>
                    <w:rPr>
                      <w:rFonts w:hAnsi="宋体"/>
                      <w:b/>
                      <w:bCs/>
                      <w:color w:val="auto"/>
                      <w:kern w:val="0"/>
                      <w:szCs w:val="21"/>
                    </w:rPr>
                    <w:t>附件</w:t>
                  </w:r>
                  <w:r>
                    <w:rPr>
                      <w:b/>
                      <w:bCs/>
                      <w:color w:val="auto"/>
                      <w:kern w:val="0"/>
                      <w:szCs w:val="21"/>
                    </w:rPr>
                    <w:t>2</w:t>
                  </w:r>
                  <w:r>
                    <w:rPr>
                      <w:rFonts w:hAnsi="宋体"/>
                      <w:b/>
                      <w:bCs/>
                      <w:color w:val="auto"/>
                      <w:kern w:val="0"/>
                      <w:szCs w:val="21"/>
                    </w:rPr>
                    <w:t>臭氧污染防治攻坚行动方案</w:t>
                  </w:r>
                </w:p>
              </w:tc>
              <w:tc>
                <w:tcPr>
                  <w:tcW w:w="1104" w:type="pct"/>
                  <w:vMerge w:val="restart"/>
                  <w:shd w:val="clear" w:color="auto" w:fill="auto"/>
                  <w:vAlign w:val="center"/>
                </w:tcPr>
                <w:p w14:paraId="60AAA516">
                  <w:pPr>
                    <w:widowControl/>
                    <w:bidi/>
                    <w:adjustRightInd w:val="0"/>
                    <w:snapToGrid w:val="0"/>
                    <w:jc w:val="right"/>
                    <w:rPr>
                      <w:color w:val="auto"/>
                      <w:kern w:val="0"/>
                      <w:szCs w:val="21"/>
                    </w:rPr>
                  </w:pPr>
                  <w:r>
                    <w:rPr>
                      <w:rFonts w:hint="eastAsia" w:hAnsi="宋体"/>
                      <w:color w:val="auto"/>
                      <w:kern w:val="0"/>
                      <w:szCs w:val="21"/>
                    </w:rPr>
                    <w:t>项目</w:t>
                  </w:r>
                  <w:r>
                    <w:rPr>
                      <w:rFonts w:hint="eastAsia" w:hAnsi="宋体"/>
                      <w:color w:val="auto"/>
                      <w:kern w:val="0"/>
                      <w:szCs w:val="21"/>
                      <w:lang w:val="en-US" w:eastAsia="zh-CN"/>
                    </w:rPr>
                    <w:t>使用含VOCs原辅料为覆膜砂及水性脱模剂，常温下不挥发</w:t>
                  </w:r>
                  <w:r>
                    <w:rPr>
                      <w:rFonts w:hint="eastAsia" w:hAnsi="宋体"/>
                      <w:color w:val="auto"/>
                      <w:kern w:val="0"/>
                      <w:szCs w:val="21"/>
                    </w:rPr>
                    <w:t>，</w:t>
                  </w:r>
                  <w:r>
                    <w:rPr>
                      <w:rFonts w:hint="eastAsia" w:hAnsi="宋体"/>
                      <w:color w:val="auto"/>
                      <w:kern w:val="0"/>
                      <w:szCs w:val="21"/>
                      <w:lang w:val="en-US" w:eastAsia="zh-CN"/>
                    </w:rPr>
                    <w:t>制芯、浇注</w:t>
                  </w:r>
                  <w:r>
                    <w:rPr>
                      <w:rFonts w:hint="eastAsia" w:hAnsi="宋体"/>
                      <w:color w:val="auto"/>
                      <w:kern w:val="0"/>
                      <w:szCs w:val="21"/>
                    </w:rPr>
                    <w:t>工序产生的有机废气</w:t>
                  </w:r>
                  <w:r>
                    <w:rPr>
                      <w:rFonts w:hint="eastAsia" w:hAnsi="宋体"/>
                      <w:color w:val="auto"/>
                      <w:kern w:val="0"/>
                      <w:szCs w:val="21"/>
                      <w:lang w:val="en-US" w:eastAsia="zh-CN"/>
                    </w:rPr>
                    <w:t>经二级</w:t>
                  </w:r>
                  <w:r>
                    <w:rPr>
                      <w:rFonts w:hint="eastAsia" w:hAnsi="宋体"/>
                      <w:color w:val="auto"/>
                      <w:kern w:val="0"/>
                      <w:szCs w:val="21"/>
                    </w:rPr>
                    <w:t>活性炭吸附装置处理</w:t>
                  </w:r>
                  <w:r>
                    <w:rPr>
                      <w:rFonts w:hint="eastAsia" w:hAnsi="宋体"/>
                      <w:color w:val="auto"/>
                      <w:kern w:val="0"/>
                      <w:szCs w:val="21"/>
                      <w:lang w:val="en-US" w:eastAsia="zh-CN"/>
                    </w:rPr>
                    <w:t>，尾气</w:t>
                  </w:r>
                  <w:r>
                    <w:rPr>
                      <w:rFonts w:hint="eastAsia" w:hAnsi="宋体"/>
                      <w:color w:val="auto"/>
                      <w:kern w:val="0"/>
                      <w:szCs w:val="21"/>
                    </w:rPr>
                    <w:t>通过排气筒排放。</w:t>
                  </w:r>
                </w:p>
              </w:tc>
            </w:tr>
            <w:tr w14:paraId="486DC5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77" w:hRule="atLeast"/>
              </w:trPr>
              <w:tc>
                <w:tcPr>
                  <w:tcW w:w="3895" w:type="pct"/>
                  <w:shd w:val="clear" w:color="auto" w:fill="auto"/>
                  <w:vAlign w:val="center"/>
                </w:tcPr>
                <w:p w14:paraId="4F390A5E">
                  <w:pPr>
                    <w:widowControl/>
                    <w:bidi/>
                    <w:jc w:val="right"/>
                    <w:rPr>
                      <w:color w:val="auto"/>
                      <w:kern w:val="0"/>
                      <w:szCs w:val="21"/>
                    </w:rPr>
                  </w:pPr>
                  <w:r>
                    <w:rPr>
                      <w:rFonts w:hAnsi="宋体"/>
                      <w:color w:val="auto"/>
                      <w:kern w:val="0"/>
                      <w:szCs w:val="21"/>
                    </w:rPr>
                    <w:t>坚持协同减排、源头防控，聚焦臭氧前体物</w:t>
                  </w:r>
                  <w:r>
                    <w:rPr>
                      <w:color w:val="auto"/>
                      <w:kern w:val="0"/>
                      <w:szCs w:val="21"/>
                    </w:rPr>
                    <w:t>VOCs</w:t>
                  </w:r>
                  <w:r>
                    <w:rPr>
                      <w:rFonts w:hAnsi="宋体"/>
                      <w:color w:val="auto"/>
                      <w:kern w:val="0"/>
                      <w:szCs w:val="21"/>
                    </w:rPr>
                    <w:t>和氮氧化物，加快推进含</w:t>
                  </w:r>
                  <w:r>
                    <w:rPr>
                      <w:color w:val="auto"/>
                      <w:kern w:val="0"/>
                      <w:szCs w:val="21"/>
                    </w:rPr>
                    <w:t>VOCs</w:t>
                  </w:r>
                  <w:r>
                    <w:rPr>
                      <w:rFonts w:hAnsi="宋体"/>
                      <w:color w:val="auto"/>
                      <w:kern w:val="0"/>
                      <w:szCs w:val="21"/>
                    </w:rPr>
                    <w:t>原辅材料源头替代，实施清洁能源替代，强化石化、化工、工业涂装、包装印刷等重点行业及油品储运销</w:t>
                  </w:r>
                  <w:r>
                    <w:rPr>
                      <w:color w:val="auto"/>
                      <w:kern w:val="0"/>
                      <w:szCs w:val="21"/>
                    </w:rPr>
                    <w:t>VOCs</w:t>
                  </w:r>
                  <w:r>
                    <w:rPr>
                      <w:rFonts w:hAnsi="宋体"/>
                      <w:color w:val="auto"/>
                      <w:kern w:val="0"/>
                      <w:szCs w:val="21"/>
                    </w:rPr>
                    <w:t>深度治理，加大锅炉、炉窑、移动源氮氧化物减排力度。</w:t>
                  </w:r>
                </w:p>
              </w:tc>
              <w:tc>
                <w:tcPr>
                  <w:tcW w:w="1104" w:type="pct"/>
                  <w:vMerge w:val="continue"/>
                  <w:vAlign w:val="center"/>
                </w:tcPr>
                <w:p w14:paraId="158FFC1C">
                  <w:pPr>
                    <w:widowControl/>
                    <w:jc w:val="left"/>
                    <w:rPr>
                      <w:color w:val="auto"/>
                      <w:kern w:val="0"/>
                      <w:szCs w:val="21"/>
                    </w:rPr>
                  </w:pPr>
                </w:p>
              </w:tc>
            </w:tr>
            <w:tr w14:paraId="100CCF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17" w:hRule="atLeast"/>
              </w:trPr>
              <w:tc>
                <w:tcPr>
                  <w:tcW w:w="3895" w:type="pct"/>
                  <w:shd w:val="clear" w:color="auto" w:fill="auto"/>
                  <w:vAlign w:val="center"/>
                </w:tcPr>
                <w:p w14:paraId="02879C2D">
                  <w:pPr>
                    <w:widowControl/>
                    <w:bidi/>
                    <w:jc w:val="right"/>
                    <w:rPr>
                      <w:color w:val="auto"/>
                      <w:kern w:val="0"/>
                      <w:szCs w:val="21"/>
                    </w:rPr>
                  </w:pPr>
                  <w:r>
                    <w:rPr>
                      <w:rFonts w:hAnsi="宋体"/>
                      <w:color w:val="auto"/>
                      <w:kern w:val="0"/>
                      <w:szCs w:val="21"/>
                    </w:rPr>
                    <w:t>加快实施低</w:t>
                  </w:r>
                  <w:r>
                    <w:rPr>
                      <w:color w:val="auto"/>
                      <w:kern w:val="0"/>
                      <w:szCs w:val="21"/>
                    </w:rPr>
                    <w:t>VOCs</w:t>
                  </w:r>
                  <w:r>
                    <w:rPr>
                      <w:rFonts w:hAnsi="宋体"/>
                      <w:color w:val="auto"/>
                      <w:kern w:val="0"/>
                      <w:szCs w:val="21"/>
                    </w:rPr>
                    <w:t>含量原辅材料替代。各地对溶剂型涂料、油墨、胶粘剂、清洗剂使用企业制定低</w:t>
                  </w:r>
                  <w:r>
                    <w:rPr>
                      <w:color w:val="auto"/>
                      <w:kern w:val="0"/>
                      <w:szCs w:val="21"/>
                    </w:rPr>
                    <w:t>VOCs</w:t>
                  </w:r>
                  <w:r>
                    <w:rPr>
                      <w:rFonts w:hAnsi="宋体"/>
                      <w:color w:val="auto"/>
                      <w:kern w:val="0"/>
                      <w:szCs w:val="21"/>
                    </w:rPr>
                    <w:t>含量原辅材料替代计划。全面推进汽车整车制造底漆、中涂、色漆使用低</w:t>
                  </w:r>
                  <w:r>
                    <w:rPr>
                      <w:color w:val="auto"/>
                      <w:kern w:val="0"/>
                      <w:szCs w:val="21"/>
                    </w:rPr>
                    <w:t>VOCs</w:t>
                  </w:r>
                  <w:r>
                    <w:rPr>
                      <w:rFonts w:hAnsi="宋体"/>
                      <w:color w:val="auto"/>
                      <w:kern w:val="0"/>
                      <w:szCs w:val="21"/>
                    </w:rPr>
                    <w:t>含量涂料；在木质家具、汽车零部件、工程机械、钢结构、船舶制造技术成熟的工艺环节，大力推广使用低</w:t>
                  </w:r>
                  <w:r>
                    <w:rPr>
                      <w:color w:val="auto"/>
                      <w:kern w:val="0"/>
                      <w:szCs w:val="21"/>
                    </w:rPr>
                    <w:t>VOCs</w:t>
                  </w:r>
                  <w:r>
                    <w:rPr>
                      <w:rFonts w:hAnsi="宋体"/>
                      <w:color w:val="auto"/>
                      <w:kern w:val="0"/>
                      <w:szCs w:val="21"/>
                    </w:rPr>
                    <w:t>含量涂料，重点区域、中央企业加大使用比例。在房屋建筑和市政工程中，全面推广使用低</w:t>
                  </w:r>
                  <w:r>
                    <w:rPr>
                      <w:color w:val="auto"/>
                      <w:kern w:val="0"/>
                      <w:szCs w:val="21"/>
                    </w:rPr>
                    <w:t>VOCs</w:t>
                  </w:r>
                  <w:r>
                    <w:rPr>
                      <w:rFonts w:hAnsi="宋体"/>
                      <w:color w:val="auto"/>
                      <w:kern w:val="0"/>
                      <w:szCs w:val="21"/>
                    </w:rPr>
                    <w:t>含量涂料和胶粘剂；重点区域、珠三角地区除特殊功能要求外的室内地坪施工、室外构筑物防护和城市道路交通标志基本使用低</w:t>
                  </w:r>
                  <w:r>
                    <w:rPr>
                      <w:color w:val="auto"/>
                      <w:kern w:val="0"/>
                      <w:szCs w:val="21"/>
                    </w:rPr>
                    <w:t>VOCs</w:t>
                  </w:r>
                  <w:r>
                    <w:rPr>
                      <w:rFonts w:hAnsi="宋体"/>
                      <w:color w:val="auto"/>
                      <w:kern w:val="0"/>
                      <w:szCs w:val="21"/>
                    </w:rPr>
                    <w:t>含量涂料。完善</w:t>
                  </w:r>
                  <w:r>
                    <w:rPr>
                      <w:color w:val="auto"/>
                      <w:kern w:val="0"/>
                      <w:szCs w:val="21"/>
                    </w:rPr>
                    <w:t>VOCs</w:t>
                  </w:r>
                  <w:r>
                    <w:rPr>
                      <w:rFonts w:hAnsi="宋体"/>
                      <w:color w:val="auto"/>
                      <w:kern w:val="0"/>
                      <w:szCs w:val="21"/>
                    </w:rPr>
                    <w:t>产品标准体系，建立低</w:t>
                  </w:r>
                  <w:r>
                    <w:rPr>
                      <w:color w:val="auto"/>
                      <w:kern w:val="0"/>
                      <w:szCs w:val="21"/>
                    </w:rPr>
                    <w:t>VOCs</w:t>
                  </w:r>
                  <w:r>
                    <w:rPr>
                      <w:rFonts w:hAnsi="宋体"/>
                      <w:color w:val="auto"/>
                      <w:kern w:val="0"/>
                      <w:szCs w:val="21"/>
                    </w:rPr>
                    <w:t>含量产品标识制度。</w:t>
                  </w:r>
                </w:p>
              </w:tc>
              <w:tc>
                <w:tcPr>
                  <w:tcW w:w="1104" w:type="pct"/>
                  <w:vMerge w:val="continue"/>
                  <w:vAlign w:val="center"/>
                </w:tcPr>
                <w:p w14:paraId="1E3E1F79">
                  <w:pPr>
                    <w:widowControl/>
                    <w:jc w:val="left"/>
                    <w:rPr>
                      <w:color w:val="auto"/>
                      <w:kern w:val="0"/>
                      <w:szCs w:val="21"/>
                    </w:rPr>
                  </w:pPr>
                </w:p>
              </w:tc>
            </w:tr>
            <w:tr w14:paraId="5E7076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3895" w:type="pct"/>
                  <w:shd w:val="clear" w:color="auto" w:fill="auto"/>
                  <w:vAlign w:val="center"/>
                </w:tcPr>
                <w:p w14:paraId="45FB941F">
                  <w:pPr>
                    <w:snapToGrid w:val="0"/>
                    <w:rPr>
                      <w:color w:val="auto"/>
                      <w:kern w:val="0"/>
                      <w:szCs w:val="21"/>
                    </w:rPr>
                  </w:pPr>
                  <w:r>
                    <w:rPr>
                      <w:rFonts w:hint="eastAsia"/>
                      <w:color w:val="auto"/>
                      <w:szCs w:val="21"/>
                    </w:rPr>
                    <w:t>强化</w:t>
                  </w:r>
                  <w:r>
                    <w:rPr>
                      <w:color w:val="auto"/>
                      <w:szCs w:val="21"/>
                    </w:rPr>
                    <w:t>VOCs无组织排放整治。全面排查含VOCs物料储存、转移和输送、设备与管线组件、敞开液面以及工艺过程等环节无组织排放情况，对达不到相关标准要求的开展整治。推动解决石化、化工、仓储、制药、农药等行业重点治理储罐配件失效、装载和污水处理密闭收集效果差、装置区废水预处理池及废水储罐废气未收集、LDAR不符合标准规范等问题；推动解决焦化行业重点治理酚氰废水处理未密闭、煤气管线及焦炉等装置泄漏问题；推动解决工业涂装、包装印刷等行业重点治理集气罩收集效果差、含VOCs原辅材料和废料储存环节未密闭等问题。无法实现低VOCs原辅材料替代的工序，宜在密闭设备、密闭空间作业或安装二次密闭设施。组织开展汽修行业专项检查，依法依规整治</w:t>
                  </w:r>
                  <w:r>
                    <w:rPr>
                      <w:rFonts w:hint="eastAsia"/>
                      <w:color w:val="auto"/>
                      <w:szCs w:val="21"/>
                    </w:rPr>
                    <w:t>“</w:t>
                  </w:r>
                  <w:r>
                    <w:rPr>
                      <w:color w:val="auto"/>
                      <w:szCs w:val="21"/>
                    </w:rPr>
                    <w:t>散乱污</w:t>
                  </w:r>
                  <w:r>
                    <w:rPr>
                      <w:rFonts w:hint="eastAsia"/>
                      <w:color w:val="auto"/>
                      <w:szCs w:val="21"/>
                    </w:rPr>
                    <w:t>”</w:t>
                  </w:r>
                  <w:r>
                    <w:rPr>
                      <w:color w:val="auto"/>
                      <w:szCs w:val="21"/>
                    </w:rPr>
                    <w:t>现象，对未在密闭空间或设备中进行喷涂作业、喷涂废气处理设施简陋低效的，在确保安全的前提下，推进限期整改</w:t>
                  </w:r>
                  <w:r>
                    <w:rPr>
                      <w:rFonts w:hint="eastAsia"/>
                      <w:color w:val="auto"/>
                      <w:szCs w:val="21"/>
                    </w:rPr>
                    <w:t>。</w:t>
                  </w:r>
                </w:p>
              </w:tc>
              <w:tc>
                <w:tcPr>
                  <w:tcW w:w="1104" w:type="pct"/>
                  <w:vMerge w:val="continue"/>
                  <w:vAlign w:val="center"/>
                </w:tcPr>
                <w:p w14:paraId="58C5B97F">
                  <w:pPr>
                    <w:widowControl/>
                    <w:jc w:val="left"/>
                    <w:rPr>
                      <w:color w:val="auto"/>
                      <w:kern w:val="0"/>
                      <w:szCs w:val="21"/>
                    </w:rPr>
                  </w:pPr>
                </w:p>
              </w:tc>
            </w:tr>
          </w:tbl>
          <w:p w14:paraId="66E2083E">
            <w:pPr>
              <w:pStyle w:val="79"/>
              <w:ind w:firstLine="630" w:firstLineChars="300"/>
              <w:rPr>
                <w:rFonts w:hint="eastAsia"/>
                <w:b/>
                <w:bCs/>
                <w:color w:val="auto"/>
                <w:szCs w:val="21"/>
              </w:rPr>
            </w:pPr>
            <w:r>
              <w:rPr>
                <w:rFonts w:hint="eastAsia"/>
                <w:color w:val="auto"/>
                <w:sz w:val="21"/>
                <w:szCs w:val="21"/>
              </w:rPr>
              <w:t>由上表可知，本项目符合《关于印发&lt;深入打好重污染天气消除、臭氧污染防治和柴油货车污染治理攻坚战行动方案&gt;的通知》</w:t>
            </w:r>
            <w:r>
              <w:rPr>
                <w:rFonts w:hint="eastAsia"/>
                <w:color w:val="auto"/>
                <w:sz w:val="21"/>
                <w:szCs w:val="21"/>
                <w:lang w:eastAsia="zh-CN"/>
              </w:rPr>
              <w:t>（</w:t>
            </w:r>
            <w:r>
              <w:rPr>
                <w:rFonts w:hint="eastAsia"/>
                <w:color w:val="auto"/>
                <w:sz w:val="21"/>
                <w:szCs w:val="21"/>
              </w:rPr>
              <w:t>环大气〔2022〕68号</w:t>
            </w:r>
            <w:r>
              <w:rPr>
                <w:rFonts w:hint="eastAsia"/>
                <w:color w:val="auto"/>
                <w:sz w:val="21"/>
                <w:szCs w:val="21"/>
                <w:lang w:eastAsia="zh-CN"/>
              </w:rPr>
              <w:t>）</w:t>
            </w:r>
            <w:r>
              <w:rPr>
                <w:rFonts w:hint="eastAsia"/>
                <w:color w:val="auto"/>
                <w:sz w:val="21"/>
                <w:szCs w:val="21"/>
              </w:rPr>
              <w:t>中相关要求。</w:t>
            </w:r>
          </w:p>
          <w:p w14:paraId="4D43472C">
            <w:pPr>
              <w:adjustRightInd w:val="0"/>
              <w:snapToGrid w:val="0"/>
              <w:spacing w:line="360" w:lineRule="auto"/>
              <w:ind w:firstLine="422" w:firstLineChars="200"/>
              <w:rPr>
                <w:b/>
                <w:bCs/>
                <w:color w:val="auto"/>
                <w:szCs w:val="21"/>
              </w:rPr>
            </w:pPr>
            <w:r>
              <w:rPr>
                <w:rFonts w:hint="eastAsia"/>
                <w:b/>
                <w:bCs/>
                <w:color w:val="auto"/>
                <w:szCs w:val="21"/>
              </w:rPr>
              <w:t>（1</w:t>
            </w:r>
            <w:r>
              <w:rPr>
                <w:rFonts w:hint="eastAsia"/>
                <w:b/>
                <w:bCs/>
                <w:color w:val="auto"/>
                <w:szCs w:val="21"/>
                <w:lang w:val="en-US" w:eastAsia="zh-CN"/>
              </w:rPr>
              <w:t>7</w:t>
            </w:r>
            <w:r>
              <w:rPr>
                <w:rFonts w:hint="eastAsia"/>
                <w:b/>
                <w:bCs/>
                <w:color w:val="auto"/>
                <w:szCs w:val="21"/>
              </w:rPr>
              <w:t>）</w:t>
            </w:r>
            <w:r>
              <w:rPr>
                <w:b/>
                <w:bCs/>
                <w:color w:val="auto"/>
                <w:szCs w:val="21"/>
              </w:rPr>
              <w:t>与</w:t>
            </w:r>
            <w:r>
              <w:rPr>
                <w:rFonts w:hint="eastAsia"/>
                <w:b/>
                <w:bCs/>
                <w:color w:val="auto"/>
                <w:szCs w:val="21"/>
              </w:rPr>
              <w:t>《关于印发南通市2023年深入打好污染防治攻坚战相关工作计划的通知》通污防攻坚指办</w:t>
            </w:r>
            <w:r>
              <w:rPr>
                <w:rFonts w:hint="eastAsia"/>
                <w:b/>
                <w:bCs/>
                <w:color w:val="auto"/>
                <w:szCs w:val="21"/>
                <w:lang w:eastAsia="zh-CN"/>
              </w:rPr>
              <w:t>〔</w:t>
            </w:r>
            <w:r>
              <w:rPr>
                <w:rFonts w:hint="eastAsia"/>
                <w:b/>
                <w:bCs/>
                <w:color w:val="auto"/>
                <w:szCs w:val="21"/>
              </w:rPr>
              <w:t>2023</w:t>
            </w:r>
            <w:r>
              <w:rPr>
                <w:rFonts w:hint="eastAsia"/>
                <w:b/>
                <w:bCs/>
                <w:color w:val="auto"/>
                <w:szCs w:val="21"/>
                <w:lang w:eastAsia="zh-CN"/>
              </w:rPr>
              <w:t>〕</w:t>
            </w:r>
            <w:r>
              <w:rPr>
                <w:rFonts w:hint="eastAsia"/>
                <w:b/>
                <w:bCs/>
                <w:color w:val="auto"/>
                <w:szCs w:val="21"/>
              </w:rPr>
              <w:t>14号</w:t>
            </w:r>
            <w:r>
              <w:rPr>
                <w:b/>
                <w:bCs/>
                <w:color w:val="auto"/>
                <w:szCs w:val="21"/>
              </w:rPr>
              <w:t>相符性分析</w:t>
            </w:r>
          </w:p>
          <w:p w14:paraId="3F752E0E">
            <w:pPr>
              <w:spacing w:line="360" w:lineRule="auto"/>
              <w:ind w:firstLine="420" w:firstLineChars="200"/>
              <w:rPr>
                <w:color w:val="auto"/>
                <w:szCs w:val="21"/>
              </w:rPr>
            </w:pPr>
            <w:r>
              <w:rPr>
                <w:rFonts w:hint="eastAsia"/>
                <w:color w:val="auto"/>
                <w:szCs w:val="21"/>
              </w:rPr>
              <w:t>根据《关于印发南通市2023年深入打好污染防治攻坚战相关工作计划的通知》通污防攻坚指办</w:t>
            </w:r>
            <w:r>
              <w:rPr>
                <w:rFonts w:hint="eastAsia"/>
                <w:color w:val="auto"/>
                <w:szCs w:val="21"/>
                <w:lang w:eastAsia="zh-CN"/>
              </w:rPr>
              <w:t>〔</w:t>
            </w:r>
            <w:r>
              <w:rPr>
                <w:rFonts w:hint="eastAsia"/>
                <w:color w:val="auto"/>
                <w:szCs w:val="21"/>
              </w:rPr>
              <w:t>2023</w:t>
            </w:r>
            <w:r>
              <w:rPr>
                <w:rFonts w:hint="eastAsia"/>
                <w:color w:val="auto"/>
                <w:szCs w:val="21"/>
                <w:lang w:eastAsia="zh-CN"/>
              </w:rPr>
              <w:t>〕</w:t>
            </w:r>
            <w:r>
              <w:rPr>
                <w:rFonts w:hint="eastAsia"/>
                <w:color w:val="auto"/>
                <w:szCs w:val="21"/>
              </w:rPr>
              <w:t>14号文件要求：</w:t>
            </w:r>
          </w:p>
          <w:p w14:paraId="26A9654C">
            <w:pPr>
              <w:spacing w:line="360" w:lineRule="auto"/>
              <w:ind w:firstLine="420" w:firstLineChars="200"/>
              <w:rPr>
                <w:color w:val="auto"/>
                <w:szCs w:val="21"/>
              </w:rPr>
            </w:pPr>
            <w:r>
              <w:rPr>
                <w:rFonts w:hint="eastAsia"/>
                <w:color w:val="auto"/>
                <w:szCs w:val="21"/>
              </w:rPr>
              <w:t>“</w:t>
            </w:r>
            <w:r>
              <w:rPr>
                <w:rFonts w:hint="eastAsia"/>
                <w:color w:val="auto"/>
                <w:szCs w:val="21"/>
                <w:lang w:eastAsia="zh-CN"/>
              </w:rPr>
              <w:t>（</w:t>
            </w:r>
            <w:r>
              <w:rPr>
                <w:rFonts w:hint="eastAsia"/>
                <w:color w:val="auto"/>
                <w:szCs w:val="21"/>
              </w:rPr>
              <w:t>一</w:t>
            </w:r>
            <w:r>
              <w:rPr>
                <w:rFonts w:hint="eastAsia"/>
                <w:color w:val="auto"/>
                <w:szCs w:val="21"/>
                <w:lang w:eastAsia="zh-CN"/>
              </w:rPr>
              <w:t>）</w:t>
            </w:r>
            <w:r>
              <w:rPr>
                <w:rFonts w:hint="eastAsia"/>
                <w:color w:val="auto"/>
                <w:szCs w:val="21"/>
              </w:rPr>
              <w:t>优化结构布局，加快推进产业绿色低碳转型”</w:t>
            </w:r>
          </w:p>
          <w:p w14:paraId="43CAB687">
            <w:pPr>
              <w:spacing w:line="360" w:lineRule="auto"/>
              <w:ind w:firstLine="420" w:firstLineChars="200"/>
              <w:rPr>
                <w:color w:val="auto"/>
                <w:szCs w:val="21"/>
              </w:rPr>
            </w:pPr>
            <w:r>
              <w:rPr>
                <w:rFonts w:hint="eastAsia"/>
                <w:color w:val="auto"/>
                <w:szCs w:val="21"/>
              </w:rPr>
              <w:t>1.优化产业结构。坚决遏制高耗能、高排放、低水平项目盲目发展，严格落实国家和省产业规划、产业政策、“三线一单”、规划环评，以及产能置换、煤炭消费减量替代、污染物排放总量控制、区域污染物削减、碳排放达峰目标等要求，坚决叫停不符合要求的高耗能、高排放、低水平项目。对高耗能高排放项目实行清单管理、分类处置、动态监控，持续推动水泥等行业错峰生产。</w:t>
            </w:r>
          </w:p>
          <w:p w14:paraId="207BDDD9">
            <w:pPr>
              <w:spacing w:line="360" w:lineRule="auto"/>
              <w:ind w:firstLine="420" w:firstLineChars="200"/>
              <w:rPr>
                <w:color w:val="auto"/>
                <w:szCs w:val="21"/>
              </w:rPr>
            </w:pPr>
            <w:r>
              <w:rPr>
                <w:rFonts w:hint="eastAsia"/>
                <w:color w:val="auto"/>
                <w:szCs w:val="21"/>
              </w:rPr>
              <w:t>严格依法依规淘汰落后产能。强化法规标准等约束，利用能耗、环保、安全、质量、技术等综合标准，依法依规淘汰落后产能、落后工艺、落后产品，持续推进化工行业安全环保整治提升，大幅提升行业整体绿色发展水平。针对耐火材料、石灰、矿物棉、独立轧钢、有色、化工、包装印刷、家具、彩涂板、人造板等行业，开展综合整治，完善动态管理机制，严防“散乱污”企业反弹。</w:t>
            </w:r>
          </w:p>
          <w:p w14:paraId="60409BD9">
            <w:pPr>
              <w:spacing w:line="360" w:lineRule="auto"/>
              <w:ind w:firstLine="420" w:firstLineChars="200"/>
              <w:rPr>
                <w:color w:val="auto"/>
                <w:szCs w:val="21"/>
              </w:rPr>
            </w:pPr>
            <w:r>
              <w:rPr>
                <w:rFonts w:hint="eastAsia"/>
                <w:color w:val="auto"/>
                <w:szCs w:val="21"/>
              </w:rPr>
              <w:t>持续推进产业绿色转型升级。开展涉气产业集群排查及分类治理，进一步分析产业发展定位，“一群一策”制定整治提升方案，树立行业标杆，从装备水平、生产工艺、产品质量、产能规模、能耗水平、燃料类型、原辅材料替代、污染治理技术、排放限值、无组织排放、监测监控、环境管理、清洁运输和区域环境综合整治等方面明确升级改造标准。深入落实工业园区污染物排放限值限量管理要求。2023年底前，完成一轮涉气产业集群升级改造。推进化工、印染、造纸等行业114家企业清洁生产审核工作。选取如皋港化工新材料产业园、大气国控站点周边企业集群探索开展整体清洁生产审核，指导如东沿海经济开发区开展园区整体清洁生产审核国家级试点。.......”</w:t>
            </w:r>
          </w:p>
          <w:p w14:paraId="75A11965">
            <w:pPr>
              <w:spacing w:line="360" w:lineRule="auto"/>
              <w:ind w:firstLine="420" w:firstLineChars="200"/>
              <w:rPr>
                <w:color w:val="auto"/>
                <w:szCs w:val="21"/>
              </w:rPr>
            </w:pPr>
            <w:r>
              <w:rPr>
                <w:rFonts w:hint="eastAsia"/>
                <w:color w:val="auto"/>
                <w:szCs w:val="21"/>
              </w:rPr>
              <w:t>本项目属</w:t>
            </w:r>
            <w:r>
              <w:rPr>
                <w:rFonts w:hint="eastAsia"/>
                <w:color w:val="auto"/>
              </w:rPr>
              <w:t>于[C339</w:t>
            </w:r>
            <w:r>
              <w:rPr>
                <w:color w:val="auto"/>
              </w:rPr>
              <w:t>2</w:t>
            </w:r>
            <w:r>
              <w:rPr>
                <w:rFonts w:hint="eastAsia"/>
                <w:color w:val="auto"/>
              </w:rPr>
              <w:t>]有色金属铸造</w:t>
            </w:r>
            <w:r>
              <w:rPr>
                <w:rFonts w:hint="eastAsia"/>
                <w:color w:val="auto"/>
                <w:szCs w:val="21"/>
              </w:rPr>
              <w:t>，不属于法律法规和相关政策明令禁止的落后产能项目；不属于国家和地方产业政策淘汰类或禁止类的建设项目和工艺；项目不属于“高污染、高环境风险”项目。本项目不涉及电镀，不使用高VOCs含量的涂料、油墨、胶粘剂等，项目不含重金属。</w:t>
            </w:r>
          </w:p>
          <w:p w14:paraId="3E1321B7">
            <w:pPr>
              <w:spacing w:line="360" w:lineRule="auto"/>
              <w:ind w:firstLine="420" w:firstLineChars="200"/>
              <w:rPr>
                <w:rFonts w:hint="eastAsia" w:ascii="Times New Roman" w:hAnsi="Times New Roman" w:eastAsia="宋体" w:cs="Times New Roman"/>
                <w:b/>
                <w:bCs/>
                <w:color w:val="auto"/>
                <w:kern w:val="0"/>
                <w:sz w:val="21"/>
                <w:szCs w:val="21"/>
                <w:lang w:val="en-US" w:eastAsia="zh-CN" w:bidi="ar-SA"/>
              </w:rPr>
            </w:pPr>
            <w:r>
              <w:rPr>
                <w:color w:val="auto"/>
                <w:szCs w:val="21"/>
              </w:rPr>
              <w:t>本项目属于</w:t>
            </w:r>
            <w:r>
              <w:rPr>
                <w:rFonts w:hint="eastAsia"/>
                <w:color w:val="auto"/>
              </w:rPr>
              <w:t>[C339</w:t>
            </w:r>
            <w:r>
              <w:rPr>
                <w:color w:val="auto"/>
              </w:rPr>
              <w:t>2</w:t>
            </w:r>
            <w:r>
              <w:rPr>
                <w:rFonts w:hint="eastAsia"/>
                <w:color w:val="auto"/>
              </w:rPr>
              <w:t>]有色金属铸造</w:t>
            </w:r>
            <w:r>
              <w:rPr>
                <w:color w:val="auto"/>
                <w:szCs w:val="21"/>
              </w:rPr>
              <w:t>，</w:t>
            </w:r>
            <w:r>
              <w:rPr>
                <w:rFonts w:hint="eastAsia"/>
                <w:color w:val="auto"/>
                <w:szCs w:val="21"/>
              </w:rPr>
              <w:t>对照</w:t>
            </w:r>
            <w:r>
              <w:rPr>
                <w:color w:val="auto"/>
                <w:szCs w:val="21"/>
              </w:rPr>
              <w:t>《固定污染源分类管理名录》（2019版）</w:t>
            </w:r>
            <w:r>
              <w:rPr>
                <w:rFonts w:hint="eastAsia"/>
                <w:color w:val="auto"/>
                <w:szCs w:val="21"/>
              </w:rPr>
              <w:t>，本项目属于简化管理，本项目按照规定办理排污许可证。</w:t>
            </w:r>
          </w:p>
          <w:p w14:paraId="01757E04">
            <w:pPr>
              <w:pStyle w:val="33"/>
              <w:spacing w:after="0" w:line="360" w:lineRule="auto"/>
              <w:ind w:firstLine="422" w:firstLineChars="200"/>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 xml:space="preserve">（18）与《关于做好生态环境和应急管理部门联动工作的意见》（苏环办〔2021〕101号）相符性分析 </w:t>
            </w:r>
          </w:p>
          <w:p w14:paraId="48241E2D">
            <w:pPr>
              <w:pStyle w:val="33"/>
              <w:spacing w:after="0" w:line="360" w:lineRule="auto"/>
              <w:ind w:firstLine="420" w:firstLineChars="200"/>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本项目与《关于做好生态环境和应急管理部门联动工作的意见》（苏环办〔2021〕101号）相符性分析见表1-</w:t>
            </w:r>
            <w:r>
              <w:rPr>
                <w:rFonts w:hint="eastAsia" w:ascii="Times New Roman" w:eastAsia="宋体" w:cs="Times New Roman"/>
                <w:b w:val="0"/>
                <w:color w:val="auto"/>
                <w:kern w:val="0"/>
                <w:sz w:val="21"/>
                <w:szCs w:val="21"/>
                <w:lang w:val="en-US" w:eastAsia="zh-CN" w:bidi="ar-SA"/>
              </w:rPr>
              <w:t>15</w:t>
            </w:r>
            <w:r>
              <w:rPr>
                <w:rFonts w:hint="eastAsia" w:ascii="Times New Roman" w:hAnsi="Times New Roman" w:eastAsia="宋体" w:cs="Times New Roman"/>
                <w:b w:val="0"/>
                <w:color w:val="auto"/>
                <w:kern w:val="0"/>
                <w:sz w:val="21"/>
                <w:szCs w:val="21"/>
                <w:lang w:val="en-US" w:eastAsia="zh-CN" w:bidi="ar-SA"/>
              </w:rPr>
              <w:t>。</w:t>
            </w:r>
          </w:p>
          <w:p w14:paraId="33813C60">
            <w:pPr>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15</w:t>
            </w:r>
            <w:r>
              <w:rPr>
                <w:rFonts w:hint="eastAsia" w:ascii="Times New Roman" w:hAnsi="Times New Roman" w:eastAsia="宋体" w:cs="Times New Roman"/>
                <w:b/>
                <w:bCs/>
                <w:color w:val="auto"/>
                <w:kern w:val="0"/>
                <w:sz w:val="21"/>
                <w:szCs w:val="21"/>
                <w:lang w:val="en-US" w:eastAsia="zh-CN" w:bidi="ar-SA"/>
              </w:rPr>
              <w:t>与《关于做好生态环境和应急管理部门联动工作的意见》相符性</w:t>
            </w:r>
          </w:p>
          <w:tbl>
            <w:tblPr>
              <w:tblStyle w:val="25"/>
              <w:tblW w:w="7403" w:type="dxa"/>
              <w:tblInd w:w="-71"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
            <w:tblGrid>
              <w:gridCol w:w="540"/>
              <w:gridCol w:w="4005"/>
              <w:gridCol w:w="2070"/>
              <w:gridCol w:w="788"/>
            </w:tblGrid>
            <w:tr w14:paraId="18C5A1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97" w:hRule="atLeast"/>
              </w:trPr>
              <w:tc>
                <w:tcPr>
                  <w:tcW w:w="364" w:type="pct"/>
                  <w:tcBorders>
                    <w:top w:val="single" w:color="auto" w:sz="12" w:space="0"/>
                    <w:left w:val="nil"/>
                    <w:bottom w:val="single" w:color="auto" w:sz="2" w:space="0"/>
                    <w:right w:val="single" w:color="auto" w:sz="2" w:space="0"/>
                  </w:tcBorders>
                  <w:vAlign w:val="center"/>
                </w:tcPr>
                <w:p w14:paraId="694CFAB6">
                  <w:pPr>
                    <w:widowControl/>
                    <w:jc w:val="center"/>
                    <w:textAlignment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序号</w:t>
                  </w:r>
                </w:p>
              </w:tc>
              <w:tc>
                <w:tcPr>
                  <w:tcW w:w="2704" w:type="pct"/>
                  <w:tcBorders>
                    <w:top w:val="single" w:color="auto" w:sz="12" w:space="0"/>
                    <w:left w:val="single" w:color="auto" w:sz="2" w:space="0"/>
                    <w:bottom w:val="single" w:color="auto" w:sz="2" w:space="0"/>
                    <w:right w:val="single" w:color="auto" w:sz="2" w:space="0"/>
                  </w:tcBorders>
                  <w:vAlign w:val="center"/>
                </w:tcPr>
                <w:p w14:paraId="769151C6">
                  <w:pPr>
                    <w:widowControl/>
                    <w:jc w:val="center"/>
                    <w:textAlignment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要求</w:t>
                  </w:r>
                </w:p>
              </w:tc>
              <w:tc>
                <w:tcPr>
                  <w:tcW w:w="1398" w:type="pct"/>
                  <w:tcBorders>
                    <w:top w:val="single" w:color="auto" w:sz="12" w:space="0"/>
                    <w:left w:val="single" w:color="auto" w:sz="2" w:space="0"/>
                    <w:bottom w:val="single" w:color="auto" w:sz="2" w:space="0"/>
                    <w:right w:val="single" w:color="auto" w:sz="2" w:space="0"/>
                  </w:tcBorders>
                  <w:vAlign w:val="center"/>
                </w:tcPr>
                <w:p w14:paraId="34808935">
                  <w:pPr>
                    <w:widowControl/>
                    <w:jc w:val="center"/>
                    <w:textAlignment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本项目情况</w:t>
                  </w:r>
                </w:p>
              </w:tc>
              <w:tc>
                <w:tcPr>
                  <w:tcW w:w="532" w:type="pct"/>
                  <w:tcBorders>
                    <w:top w:val="single" w:color="auto" w:sz="12" w:space="0"/>
                    <w:left w:val="single" w:color="auto" w:sz="2" w:space="0"/>
                    <w:bottom w:val="single" w:color="auto" w:sz="2" w:space="0"/>
                    <w:right w:val="nil"/>
                  </w:tcBorders>
                  <w:vAlign w:val="center"/>
                </w:tcPr>
                <w:p w14:paraId="7D9C7FA4">
                  <w:pPr>
                    <w:widowControl/>
                    <w:jc w:val="center"/>
                    <w:textAlignment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相符性</w:t>
                  </w:r>
                </w:p>
              </w:tc>
            </w:tr>
            <w:tr w14:paraId="39EA4E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97" w:hRule="atLeast"/>
              </w:trPr>
              <w:tc>
                <w:tcPr>
                  <w:tcW w:w="364" w:type="pct"/>
                  <w:tcBorders>
                    <w:top w:val="single" w:color="auto" w:sz="2" w:space="0"/>
                    <w:left w:val="nil"/>
                    <w:bottom w:val="single" w:color="auto" w:sz="2" w:space="0"/>
                    <w:right w:val="single" w:color="auto" w:sz="2" w:space="0"/>
                  </w:tcBorders>
                  <w:vAlign w:val="center"/>
                </w:tcPr>
                <w:p w14:paraId="2DA00418">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1</w:t>
                  </w:r>
                </w:p>
              </w:tc>
              <w:tc>
                <w:tcPr>
                  <w:tcW w:w="2704" w:type="pct"/>
                  <w:tcBorders>
                    <w:top w:val="single" w:color="auto" w:sz="2" w:space="0"/>
                    <w:left w:val="single" w:color="auto" w:sz="2" w:space="0"/>
                    <w:bottom w:val="single" w:color="auto" w:sz="2" w:space="0"/>
                    <w:right w:val="single" w:color="auto" w:sz="2" w:space="0"/>
                  </w:tcBorders>
                  <w:vAlign w:val="center"/>
                </w:tcPr>
                <w:p w14:paraId="1F28CFFB">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申请危险废物管理计划备案时，对于废弃危险化学品、物理危险性尚不确定、根据相关文件无法认定达到稳定化要求的，要提供有资质单位出具的化学品物理危险性报告及其他证明材料，认定达到稳定化要求。</w:t>
                  </w:r>
                </w:p>
              </w:tc>
              <w:tc>
                <w:tcPr>
                  <w:tcW w:w="1398" w:type="pct"/>
                  <w:tcBorders>
                    <w:top w:val="single" w:color="auto" w:sz="2" w:space="0"/>
                    <w:left w:val="single" w:color="auto" w:sz="2" w:space="0"/>
                    <w:bottom w:val="single" w:color="auto" w:sz="2" w:space="0"/>
                    <w:right w:val="single" w:color="auto" w:sz="2" w:space="0"/>
                  </w:tcBorders>
                  <w:vAlign w:val="center"/>
                </w:tcPr>
                <w:p w14:paraId="729F3C98">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本项目产生废活性炭</w:t>
                  </w:r>
                  <w:r>
                    <w:rPr>
                      <w:rFonts w:hint="eastAsia" w:cs="Times New Roman"/>
                      <w:b w:val="0"/>
                      <w:color w:val="auto"/>
                      <w:kern w:val="0"/>
                      <w:sz w:val="21"/>
                      <w:szCs w:val="21"/>
                      <w:lang w:val="en-US" w:eastAsia="zh-CN" w:bidi="ar-SA"/>
                    </w:rPr>
                    <w:t>、废切削液</w:t>
                  </w:r>
                  <w:r>
                    <w:rPr>
                      <w:rFonts w:hint="eastAsia" w:ascii="Times New Roman" w:hAnsi="Times New Roman" w:eastAsia="宋体" w:cs="Times New Roman"/>
                      <w:b w:val="0"/>
                      <w:color w:val="auto"/>
                      <w:kern w:val="0"/>
                      <w:sz w:val="21"/>
                      <w:szCs w:val="21"/>
                      <w:lang w:val="en-US" w:eastAsia="zh-CN" w:bidi="ar-SA"/>
                    </w:rPr>
                    <w:t>等属于危险废物，暂存危废仓库后委托有资质单位处置。</w:t>
                  </w:r>
                </w:p>
              </w:tc>
              <w:tc>
                <w:tcPr>
                  <w:tcW w:w="532" w:type="pct"/>
                  <w:tcBorders>
                    <w:top w:val="single" w:color="auto" w:sz="2" w:space="0"/>
                    <w:left w:val="single" w:color="auto" w:sz="2" w:space="0"/>
                    <w:bottom w:val="single" w:color="auto" w:sz="2" w:space="0"/>
                    <w:right w:val="nil"/>
                  </w:tcBorders>
                  <w:vAlign w:val="center"/>
                </w:tcPr>
                <w:p w14:paraId="57EEF6BB">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符合</w:t>
                  </w:r>
                </w:p>
              </w:tc>
            </w:tr>
            <w:tr w14:paraId="525CD7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97" w:hRule="atLeast"/>
              </w:trPr>
              <w:tc>
                <w:tcPr>
                  <w:tcW w:w="364" w:type="pct"/>
                  <w:tcBorders>
                    <w:top w:val="single" w:color="auto" w:sz="2" w:space="0"/>
                    <w:left w:val="nil"/>
                    <w:bottom w:val="single" w:color="auto" w:sz="12" w:space="0"/>
                    <w:right w:val="single" w:color="auto" w:sz="2" w:space="0"/>
                  </w:tcBorders>
                  <w:vAlign w:val="center"/>
                </w:tcPr>
                <w:p w14:paraId="5FF86C9E">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2</w:t>
                  </w:r>
                </w:p>
              </w:tc>
              <w:tc>
                <w:tcPr>
                  <w:tcW w:w="2704" w:type="pct"/>
                  <w:tcBorders>
                    <w:top w:val="single" w:color="auto" w:sz="2" w:space="0"/>
                    <w:left w:val="single" w:color="auto" w:sz="2" w:space="0"/>
                    <w:bottom w:val="single" w:color="auto" w:sz="12" w:space="0"/>
                    <w:right w:val="single" w:color="auto" w:sz="2" w:space="0"/>
                  </w:tcBorders>
                  <w:vAlign w:val="center"/>
                </w:tcPr>
                <w:p w14:paraId="6CA95B20">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398" w:type="pct"/>
                  <w:tcBorders>
                    <w:top w:val="single" w:color="auto" w:sz="2" w:space="0"/>
                    <w:left w:val="single" w:color="auto" w:sz="2" w:space="0"/>
                    <w:bottom w:val="single" w:color="auto" w:sz="12" w:space="0"/>
                    <w:right w:val="single" w:color="auto" w:sz="2" w:space="0"/>
                  </w:tcBorders>
                  <w:vAlign w:val="center"/>
                </w:tcPr>
                <w:p w14:paraId="57335FCA">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本项目涉及的环境治理设施主要为袋式除尘器、活性炭吸附装置等，完善治理设施稳定运行和管理制度，确保设施安全有效地运行。</w:t>
                  </w:r>
                </w:p>
              </w:tc>
              <w:tc>
                <w:tcPr>
                  <w:tcW w:w="532" w:type="pct"/>
                  <w:tcBorders>
                    <w:top w:val="single" w:color="auto" w:sz="2" w:space="0"/>
                    <w:left w:val="single" w:color="auto" w:sz="2" w:space="0"/>
                    <w:bottom w:val="single" w:color="auto" w:sz="12" w:space="0"/>
                    <w:right w:val="nil"/>
                  </w:tcBorders>
                  <w:vAlign w:val="center"/>
                </w:tcPr>
                <w:p w14:paraId="2DFCB426">
                  <w:pPr>
                    <w:widowControl/>
                    <w:jc w:val="center"/>
                    <w:textAlignment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符合</w:t>
                  </w:r>
                </w:p>
              </w:tc>
            </w:tr>
          </w:tbl>
          <w:p w14:paraId="07F2806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color w:val="auto"/>
                <w:szCs w:val="21"/>
              </w:rPr>
            </w:pPr>
            <w:r>
              <w:rPr>
                <w:rFonts w:hint="eastAsia"/>
                <w:b/>
                <w:color w:val="auto"/>
                <w:szCs w:val="21"/>
                <w:lang w:eastAsia="zh-CN"/>
              </w:rPr>
              <w:t>（</w:t>
            </w:r>
            <w:r>
              <w:rPr>
                <w:rFonts w:hint="eastAsia"/>
                <w:b/>
                <w:color w:val="auto"/>
                <w:szCs w:val="21"/>
                <w:lang w:val="en-US" w:eastAsia="zh-CN"/>
              </w:rPr>
              <w:t>19</w:t>
            </w:r>
            <w:r>
              <w:rPr>
                <w:rFonts w:hint="eastAsia"/>
                <w:b/>
                <w:color w:val="auto"/>
                <w:szCs w:val="21"/>
                <w:lang w:eastAsia="zh-CN"/>
              </w:rPr>
              <w:t>）</w:t>
            </w:r>
            <w:r>
              <w:rPr>
                <w:rFonts w:hint="eastAsia"/>
                <w:b/>
                <w:color w:val="auto"/>
                <w:szCs w:val="21"/>
              </w:rPr>
              <w:t>与《铸造工业大气污染防治可行技术指南》（HJ 1292—2023）</w:t>
            </w:r>
            <w:r>
              <w:rPr>
                <w:b/>
                <w:color w:val="auto"/>
                <w:szCs w:val="21"/>
              </w:rPr>
              <w:t>相符性分析</w:t>
            </w:r>
          </w:p>
          <w:p w14:paraId="6143DA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b/>
                <w:bCs/>
                <w:color w:val="auto"/>
                <w:szCs w:val="21"/>
              </w:rPr>
              <w:t>表1-1</w:t>
            </w:r>
            <w:r>
              <w:rPr>
                <w:rFonts w:hint="eastAsia"/>
                <w:b/>
                <w:bCs/>
                <w:color w:val="auto"/>
                <w:szCs w:val="21"/>
                <w:lang w:val="en-US" w:eastAsia="zh-CN"/>
              </w:rPr>
              <w:t>6</w:t>
            </w:r>
            <w:r>
              <w:rPr>
                <w:b/>
                <w:bCs/>
                <w:color w:val="auto"/>
                <w:szCs w:val="21"/>
              </w:rPr>
              <w:t xml:space="preserve"> </w:t>
            </w:r>
            <w:r>
              <w:rPr>
                <w:rFonts w:hint="eastAsia"/>
                <w:b/>
                <w:color w:val="auto"/>
                <w:szCs w:val="21"/>
              </w:rPr>
              <w:t>污染防治可行技术</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0"/>
              <w:gridCol w:w="644"/>
              <w:gridCol w:w="1375"/>
              <w:gridCol w:w="854"/>
              <w:gridCol w:w="622"/>
              <w:gridCol w:w="839"/>
              <w:gridCol w:w="680"/>
              <w:gridCol w:w="1670"/>
            </w:tblGrid>
            <w:tr w14:paraId="2449F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37" w:type="pct"/>
                  <w:vMerge w:val="restart"/>
                  <w:vAlign w:val="center"/>
                </w:tcPr>
                <w:p w14:paraId="775341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工序</w:t>
                  </w:r>
                </w:p>
              </w:tc>
              <w:tc>
                <w:tcPr>
                  <w:tcW w:w="439" w:type="pct"/>
                  <w:vMerge w:val="restart"/>
                  <w:vAlign w:val="center"/>
                </w:tcPr>
                <w:p w14:paraId="7629E5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预防</w:t>
                  </w:r>
                </w:p>
                <w:p w14:paraId="388799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技术</w:t>
                  </w:r>
                </w:p>
              </w:tc>
              <w:tc>
                <w:tcPr>
                  <w:tcW w:w="938" w:type="pct"/>
                  <w:vMerge w:val="restart"/>
                  <w:vAlign w:val="center"/>
                </w:tcPr>
                <w:p w14:paraId="36F229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治理技术</w:t>
                  </w:r>
                </w:p>
              </w:tc>
              <w:tc>
                <w:tcPr>
                  <w:tcW w:w="2045" w:type="pct"/>
                  <w:gridSpan w:val="4"/>
                  <w:vAlign w:val="center"/>
                </w:tcPr>
                <w:p w14:paraId="4D43F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污染物排放浓度水平（mg/m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c>
                <w:tcPr>
                  <w:tcW w:w="1139" w:type="pct"/>
                  <w:vMerge w:val="restart"/>
                  <w:vAlign w:val="center"/>
                </w:tcPr>
                <w:p w14:paraId="12A3C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技术适用条件</w:t>
                  </w:r>
                </w:p>
              </w:tc>
            </w:tr>
            <w:tr w14:paraId="29786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37" w:type="pct"/>
                  <w:vMerge w:val="continue"/>
                  <w:vAlign w:val="center"/>
                </w:tcPr>
                <w:p w14:paraId="45CDC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p>
              </w:tc>
              <w:tc>
                <w:tcPr>
                  <w:tcW w:w="439" w:type="pct"/>
                  <w:vMerge w:val="continue"/>
                  <w:vAlign w:val="center"/>
                </w:tcPr>
                <w:p w14:paraId="1C6661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p>
              </w:tc>
              <w:tc>
                <w:tcPr>
                  <w:tcW w:w="938" w:type="pct"/>
                  <w:vMerge w:val="continue"/>
                  <w:vAlign w:val="center"/>
                </w:tcPr>
                <w:p w14:paraId="40240C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p>
              </w:tc>
              <w:tc>
                <w:tcPr>
                  <w:tcW w:w="583" w:type="pct"/>
                  <w:vAlign w:val="center"/>
                </w:tcPr>
                <w:p w14:paraId="269DEE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颗粒物</w:t>
                  </w:r>
                </w:p>
              </w:tc>
              <w:tc>
                <w:tcPr>
                  <w:tcW w:w="424" w:type="pct"/>
                  <w:vAlign w:val="center"/>
                </w:tcPr>
                <w:p w14:paraId="78A9FB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SO</w:t>
                  </w:r>
                  <w:r>
                    <w:rPr>
                      <w:rFonts w:hint="default" w:ascii="Times New Roman" w:hAnsi="Times New Roman" w:eastAsia="宋体" w:cs="Times New Roman"/>
                      <w:b/>
                      <w:color w:val="auto"/>
                      <w:szCs w:val="21"/>
                      <w:vertAlign w:val="subscript"/>
                    </w:rPr>
                    <w:t>2</w:t>
                  </w:r>
                </w:p>
              </w:tc>
              <w:tc>
                <w:tcPr>
                  <w:tcW w:w="572" w:type="pct"/>
                  <w:vAlign w:val="center"/>
                </w:tcPr>
                <w:p w14:paraId="1628A5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NOx</w:t>
                  </w:r>
                </w:p>
              </w:tc>
              <w:tc>
                <w:tcPr>
                  <w:tcW w:w="464" w:type="pct"/>
                  <w:vAlign w:val="center"/>
                </w:tcPr>
                <w:p w14:paraId="37DE2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NMHC</w:t>
                  </w:r>
                </w:p>
              </w:tc>
              <w:tc>
                <w:tcPr>
                  <w:tcW w:w="1139" w:type="pct"/>
                  <w:vMerge w:val="continue"/>
                  <w:vAlign w:val="center"/>
                </w:tcPr>
                <w:p w14:paraId="33A5E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p>
              </w:tc>
            </w:tr>
            <w:tr w14:paraId="41483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437" w:type="pct"/>
                  <w:vAlign w:val="center"/>
                </w:tcPr>
                <w:p w14:paraId="68767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金属熔炼（化）</w:t>
                  </w:r>
                </w:p>
              </w:tc>
              <w:tc>
                <w:tcPr>
                  <w:tcW w:w="439" w:type="pct"/>
                  <w:vAlign w:val="center"/>
                </w:tcPr>
                <w:p w14:paraId="097EA3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38" w:type="pct"/>
                  <w:vAlign w:val="center"/>
                </w:tcPr>
                <w:p w14:paraId="6FF0D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①旋风除尘技术（可选）+②袋式除尘技术/滤筒除尘技术</w:t>
                  </w:r>
                </w:p>
              </w:tc>
              <w:tc>
                <w:tcPr>
                  <w:tcW w:w="583" w:type="pct"/>
                  <w:vAlign w:val="center"/>
                </w:tcPr>
                <w:p w14:paraId="6141A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r>
                    <w:rPr>
                      <w:rFonts w:hint="eastAsia" w:cs="Times New Roman"/>
                      <w:color w:val="auto"/>
                      <w:szCs w:val="21"/>
                      <w:lang w:val="en-US" w:eastAsia="zh-CN"/>
                    </w:rPr>
                    <w:t>3</w:t>
                  </w:r>
                  <w:r>
                    <w:rPr>
                      <w:rFonts w:hint="default" w:ascii="Times New Roman" w:hAnsi="Times New Roman" w:eastAsia="宋体" w:cs="Times New Roman"/>
                      <w:color w:val="auto"/>
                      <w:szCs w:val="21"/>
                    </w:rPr>
                    <w:t>0</w:t>
                  </w:r>
                </w:p>
              </w:tc>
              <w:tc>
                <w:tcPr>
                  <w:tcW w:w="424" w:type="pct"/>
                  <w:vAlign w:val="center"/>
                </w:tcPr>
                <w:p w14:paraId="611DA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5F7BB2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64" w:type="pct"/>
                  <w:vAlign w:val="center"/>
                </w:tcPr>
                <w:p w14:paraId="79AD3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39" w:type="pct"/>
                  <w:vAlign w:val="center"/>
                </w:tcPr>
                <w:p w14:paraId="022B1C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适用于金属熔炼（化）工序的 电弧炉、精炼炉、电阻炉、保 温炉、坩埚炉及采用外部集尘 罩的中频感应电炉等。</w:t>
                  </w:r>
                </w:p>
              </w:tc>
            </w:tr>
            <w:tr w14:paraId="5ADE9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4" w:hRule="atLeast"/>
              </w:trPr>
              <w:tc>
                <w:tcPr>
                  <w:tcW w:w="437" w:type="pct"/>
                  <w:vAlign w:val="center"/>
                </w:tcPr>
                <w:p w14:paraId="30FEE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制芯</w:t>
                  </w:r>
                </w:p>
              </w:tc>
              <w:tc>
                <w:tcPr>
                  <w:tcW w:w="439" w:type="pct"/>
                  <w:vAlign w:val="center"/>
                </w:tcPr>
                <w:p w14:paraId="29243B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w:t>
                  </w:r>
                </w:p>
              </w:tc>
              <w:tc>
                <w:tcPr>
                  <w:tcW w:w="938" w:type="pct"/>
                  <w:vAlign w:val="center"/>
                </w:tcPr>
                <w:p w14:paraId="03282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①旋风除尘</w:t>
                  </w:r>
                  <w:r>
                    <w:rPr>
                      <w:rFonts w:hint="eastAsia" w:cs="Times New Roman"/>
                      <w:color w:val="auto"/>
                      <w:szCs w:val="21"/>
                      <w:lang w:val="en-US" w:eastAsia="zh-CN"/>
                    </w:rPr>
                    <w:t>技</w:t>
                  </w:r>
                </w:p>
                <w:p w14:paraId="652B9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术（可选）+②袋式除尘技术/滤筒除尘技术+ ③固 定床吸附技术</w:t>
                  </w:r>
                </w:p>
              </w:tc>
              <w:tc>
                <w:tcPr>
                  <w:tcW w:w="583" w:type="pct"/>
                  <w:vAlign w:val="center"/>
                </w:tcPr>
                <w:p w14:paraId="29FC74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5～10</w:t>
                  </w:r>
                </w:p>
              </w:tc>
              <w:tc>
                <w:tcPr>
                  <w:tcW w:w="424" w:type="pct"/>
                  <w:vAlign w:val="center"/>
                </w:tcPr>
                <w:p w14:paraId="57E9A4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3C05B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64" w:type="pct"/>
                  <w:vAlign w:val="center"/>
                </w:tcPr>
                <w:p w14:paraId="30E0CE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30～60</w:t>
                  </w:r>
                </w:p>
              </w:tc>
              <w:tc>
                <w:tcPr>
                  <w:tcW w:w="1139" w:type="pct"/>
                  <w:vAlign w:val="center"/>
                </w:tcPr>
                <w:p w14:paraId="098803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适用于树脂砂、热芯盒等使用有机粘结剂的铸造工艺造型产生的废气治理</w:t>
                  </w:r>
                </w:p>
              </w:tc>
            </w:tr>
            <w:tr w14:paraId="736DC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437" w:type="pct"/>
                  <w:vAlign w:val="center"/>
                </w:tcPr>
                <w:p w14:paraId="31BC3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浇注</w:t>
                  </w:r>
                </w:p>
              </w:tc>
              <w:tc>
                <w:tcPr>
                  <w:tcW w:w="439" w:type="pct"/>
                  <w:vAlign w:val="center"/>
                </w:tcPr>
                <w:p w14:paraId="199647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938" w:type="pct"/>
                  <w:vAlign w:val="center"/>
                </w:tcPr>
                <w:p w14:paraId="66A874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①旋风除尘技术（可选）+②袋式除尘</w:t>
                  </w:r>
                  <w:r>
                    <w:rPr>
                      <w:rFonts w:hint="eastAsia" w:cs="Times New Roman"/>
                      <w:color w:val="auto"/>
                      <w:szCs w:val="21"/>
                      <w:lang w:val="en-US" w:eastAsia="zh-CN"/>
                    </w:rPr>
                    <w:t>技术</w:t>
                  </w:r>
                  <w:r>
                    <w:rPr>
                      <w:rFonts w:hint="default" w:ascii="Times New Roman" w:hAnsi="Times New Roman" w:eastAsia="宋体" w:cs="Times New Roman"/>
                      <w:color w:val="auto"/>
                      <w:szCs w:val="21"/>
                      <w:lang w:val="en-US" w:eastAsia="zh-CN"/>
                    </w:rPr>
                    <w:t xml:space="preserve"> </w:t>
                  </w:r>
                </w:p>
                <w:p w14:paraId="35ABCF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/滤筒除尘技术+③物理吸收法技术</w:t>
                  </w:r>
                </w:p>
              </w:tc>
              <w:tc>
                <w:tcPr>
                  <w:tcW w:w="583" w:type="pct"/>
                  <w:vAlign w:val="center"/>
                </w:tcPr>
                <w:p w14:paraId="5C1791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5～20</w:t>
                  </w:r>
                </w:p>
              </w:tc>
              <w:tc>
                <w:tcPr>
                  <w:tcW w:w="424" w:type="pct"/>
                  <w:vAlign w:val="center"/>
                </w:tcPr>
                <w:p w14:paraId="718ADB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15C579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64" w:type="pct"/>
                  <w:vAlign w:val="center"/>
                </w:tcPr>
                <w:p w14:paraId="57500E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30～60</w:t>
                  </w:r>
                </w:p>
              </w:tc>
              <w:tc>
                <w:tcPr>
                  <w:tcW w:w="1139" w:type="pct"/>
                  <w:vAlign w:val="center"/>
                </w:tcPr>
                <w:p w14:paraId="69BDA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适用于含有机质的粘土砂、树脂砂、消失模、有机粘结剂壳型等含有有机原辅材料铸造工艺的浇注工序。</w:t>
                  </w:r>
                </w:p>
              </w:tc>
            </w:tr>
            <w:tr w14:paraId="3304F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37" w:type="pct"/>
                  <w:vAlign w:val="center"/>
                </w:tcPr>
                <w:p w14:paraId="5CCE22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落砂</w:t>
                  </w:r>
                  <w:r>
                    <w:rPr>
                      <w:rFonts w:hint="eastAsia" w:cs="Times New Roman"/>
                      <w:color w:val="auto"/>
                      <w:szCs w:val="21"/>
                      <w:lang w:val="en-US" w:eastAsia="zh-CN"/>
                    </w:rPr>
                    <w:t>、清理</w:t>
                  </w:r>
                </w:p>
              </w:tc>
              <w:tc>
                <w:tcPr>
                  <w:tcW w:w="439" w:type="pct"/>
                  <w:vAlign w:val="center"/>
                </w:tcPr>
                <w:p w14:paraId="14181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938" w:type="pct"/>
                  <w:vAlign w:val="center"/>
                </w:tcPr>
                <w:p w14:paraId="3CF14E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①旋风除尘技术（可选）+②袋式除尘</w:t>
                  </w:r>
                  <w:r>
                    <w:rPr>
                      <w:rFonts w:hint="eastAsia" w:cs="Times New Roman"/>
                      <w:color w:val="auto"/>
                      <w:szCs w:val="21"/>
                      <w:lang w:val="en-US" w:eastAsia="zh-CN"/>
                    </w:rPr>
                    <w:t>技术</w:t>
                  </w:r>
                  <w:r>
                    <w:rPr>
                      <w:rFonts w:hint="default" w:ascii="Times New Roman" w:hAnsi="Times New Roman" w:eastAsia="宋体" w:cs="Times New Roman"/>
                      <w:color w:val="auto"/>
                      <w:szCs w:val="21"/>
                      <w:lang w:val="en-US" w:eastAsia="zh-CN"/>
                    </w:rPr>
                    <w:t xml:space="preserve"> </w:t>
                  </w:r>
                </w:p>
                <w:p w14:paraId="38D14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/滤筒除尘技术</w:t>
                  </w:r>
                </w:p>
              </w:tc>
              <w:tc>
                <w:tcPr>
                  <w:tcW w:w="583" w:type="pct"/>
                  <w:vAlign w:val="center"/>
                </w:tcPr>
                <w:p w14:paraId="387B82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5～30</w:t>
                  </w:r>
                </w:p>
              </w:tc>
              <w:tc>
                <w:tcPr>
                  <w:tcW w:w="424" w:type="pct"/>
                  <w:vAlign w:val="center"/>
                </w:tcPr>
                <w:p w14:paraId="249DA7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430E6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64" w:type="pct"/>
                  <w:vAlign w:val="center"/>
                </w:tcPr>
                <w:p w14:paraId="799538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39" w:type="pct"/>
                  <w:vAlign w:val="center"/>
                </w:tcPr>
                <w:p w14:paraId="2B6A8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适用于各种砂型铸造工艺（含特种砂型铸造工艺）的落砂、清理、砂处理和废砂再生等工序。</w:t>
                  </w:r>
                </w:p>
              </w:tc>
            </w:tr>
          </w:tbl>
          <w:p w14:paraId="23978B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Cs w:val="21"/>
              </w:rPr>
            </w:pPr>
            <w:r>
              <w:rPr>
                <w:color w:val="auto"/>
                <w:szCs w:val="21"/>
              </w:rPr>
              <w:t>本项目</w:t>
            </w:r>
            <w:r>
              <w:rPr>
                <w:rFonts w:hint="eastAsia"/>
                <w:color w:val="auto"/>
                <w:szCs w:val="21"/>
              </w:rPr>
              <w:t>制芯、浇注废气集气罩收集后经布袋除尘+二级活性炭吸附装置处理后，尾气经15m高排气筒（DA001）排放；熔融</w:t>
            </w:r>
            <w:r>
              <w:rPr>
                <w:rFonts w:hint="eastAsia"/>
                <w:color w:val="auto"/>
                <w:szCs w:val="21"/>
                <w:lang w:eastAsia="zh-CN"/>
              </w:rPr>
              <w:t>、</w:t>
            </w:r>
            <w:r>
              <w:rPr>
                <w:rFonts w:hint="eastAsia"/>
                <w:color w:val="auto"/>
                <w:szCs w:val="21"/>
                <w:lang w:val="en-US" w:eastAsia="zh-CN"/>
              </w:rPr>
              <w:t>打磨抛光废气经</w:t>
            </w:r>
            <w:r>
              <w:rPr>
                <w:rFonts w:hint="eastAsia"/>
                <w:color w:val="auto"/>
                <w:szCs w:val="21"/>
              </w:rPr>
              <w:t>布袋除尘装置处理</w:t>
            </w:r>
            <w:r>
              <w:rPr>
                <w:rFonts w:hint="eastAsia"/>
                <w:color w:val="auto"/>
                <w:szCs w:val="21"/>
                <w:lang w:val="en-US" w:eastAsia="zh-CN"/>
              </w:rPr>
              <w:t>后，尾气经15m高排气筒（DA002）排放</w:t>
            </w:r>
            <w:r>
              <w:rPr>
                <w:rFonts w:hint="eastAsia"/>
                <w:color w:val="auto"/>
                <w:szCs w:val="21"/>
                <w:lang w:eastAsia="zh-CN"/>
              </w:rPr>
              <w:t>；</w:t>
            </w:r>
            <w:r>
              <w:rPr>
                <w:rFonts w:hint="eastAsia"/>
                <w:color w:val="auto"/>
                <w:szCs w:val="21"/>
              </w:rPr>
              <w:t>落砂废气集气罩收集后经布袋除尘装置处理后，</w:t>
            </w:r>
            <w:r>
              <w:rPr>
                <w:rFonts w:hint="eastAsia"/>
                <w:color w:val="auto"/>
                <w:szCs w:val="21"/>
                <w:lang w:val="en-US" w:eastAsia="zh-CN"/>
              </w:rPr>
              <w:t>尾气</w:t>
            </w:r>
            <w:r>
              <w:rPr>
                <w:rFonts w:hint="eastAsia"/>
                <w:color w:val="auto"/>
                <w:szCs w:val="21"/>
              </w:rPr>
              <w:t>经15m排气筒（DA00</w:t>
            </w:r>
            <w:r>
              <w:rPr>
                <w:rFonts w:hint="eastAsia"/>
                <w:color w:val="auto"/>
                <w:szCs w:val="21"/>
                <w:lang w:val="en-US" w:eastAsia="zh-CN"/>
              </w:rPr>
              <w:t>3</w:t>
            </w:r>
            <w:r>
              <w:rPr>
                <w:rFonts w:hint="eastAsia"/>
                <w:color w:val="auto"/>
                <w:szCs w:val="21"/>
              </w:rPr>
              <w:t>）排放；</w:t>
            </w:r>
            <w:r>
              <w:rPr>
                <w:rFonts w:hint="eastAsia"/>
                <w:color w:val="auto"/>
                <w:szCs w:val="21"/>
                <w:lang w:val="en-US" w:eastAsia="zh-CN"/>
              </w:rPr>
              <w:t>机加工废气</w:t>
            </w:r>
            <w:r>
              <w:rPr>
                <w:rFonts w:hint="eastAsia"/>
                <w:color w:val="auto"/>
                <w:szCs w:val="21"/>
              </w:rPr>
              <w:t>无组织排放</w:t>
            </w:r>
            <w:r>
              <w:rPr>
                <w:rFonts w:hint="eastAsia"/>
                <w:color w:val="auto"/>
                <w:szCs w:val="21"/>
                <w:lang w:eastAsia="zh-CN"/>
              </w:rPr>
              <w:t>，</w:t>
            </w:r>
            <w:r>
              <w:rPr>
                <w:rFonts w:hint="eastAsia"/>
                <w:color w:val="auto"/>
                <w:szCs w:val="21"/>
              </w:rPr>
              <w:t>符合《铸造工业大气污染防治可行技术指南》（HJ 1292—2023）中污染防治的相关要求。</w:t>
            </w:r>
          </w:p>
          <w:p w14:paraId="30958CE7">
            <w:pPr>
              <w:pStyle w:val="79"/>
              <w:ind w:firstLine="422"/>
              <w:rPr>
                <w:rFonts w:hint="eastAsia"/>
                <w:b/>
                <w:bCs/>
                <w:color w:val="auto"/>
                <w:szCs w:val="21"/>
              </w:rPr>
            </w:pPr>
            <w:r>
              <w:rPr>
                <w:rFonts w:hAnsi="宋体"/>
                <w:b/>
                <w:bCs/>
                <w:color w:val="auto"/>
                <w:sz w:val="21"/>
                <w:szCs w:val="21"/>
              </w:rPr>
              <w:t>（</w:t>
            </w:r>
            <w:r>
              <w:rPr>
                <w:rFonts w:hint="eastAsia" w:hAnsi="宋体"/>
                <w:b/>
                <w:bCs/>
                <w:color w:val="auto"/>
                <w:sz w:val="21"/>
                <w:szCs w:val="21"/>
                <w:lang w:val="en-US" w:eastAsia="zh-CN"/>
              </w:rPr>
              <w:t>20</w:t>
            </w:r>
            <w:r>
              <w:rPr>
                <w:rFonts w:hAnsi="宋体"/>
                <w:b/>
                <w:bCs/>
                <w:color w:val="auto"/>
                <w:sz w:val="21"/>
                <w:szCs w:val="21"/>
              </w:rPr>
              <w:t>）</w:t>
            </w:r>
            <w:r>
              <w:rPr>
                <w:rFonts w:hint="eastAsia" w:hAnsi="宋体"/>
                <w:b/>
                <w:bCs/>
                <w:color w:val="auto"/>
                <w:sz w:val="21"/>
                <w:szCs w:val="21"/>
              </w:rPr>
              <w:t>与《</w:t>
            </w:r>
            <w:r>
              <w:rPr>
                <w:rFonts w:hint="eastAsia" w:hAnsi="宋体"/>
                <w:b/>
                <w:bCs/>
                <w:color w:val="auto"/>
                <w:sz w:val="21"/>
                <w:szCs w:val="21"/>
                <w:lang w:val="en-US" w:eastAsia="zh-CN"/>
              </w:rPr>
              <w:t>南通市</w:t>
            </w:r>
            <w:r>
              <w:rPr>
                <w:rFonts w:hint="eastAsia" w:hAnsi="宋体"/>
                <w:b/>
                <w:bCs/>
                <w:color w:val="auto"/>
                <w:sz w:val="21"/>
                <w:szCs w:val="21"/>
              </w:rPr>
              <w:t>铸造行业大气污染综合治理方案》</w:t>
            </w:r>
            <w:r>
              <w:rPr>
                <w:rFonts w:hint="eastAsia" w:hAnsi="宋体"/>
                <w:b/>
                <w:bCs/>
                <w:color w:val="auto"/>
                <w:sz w:val="21"/>
                <w:szCs w:val="21"/>
                <w:lang w:eastAsia="zh-CN"/>
              </w:rPr>
              <w:t>（</w:t>
            </w:r>
            <w:r>
              <w:rPr>
                <w:rFonts w:hint="eastAsia" w:hAnsi="宋体"/>
                <w:b/>
                <w:bCs/>
                <w:color w:val="auto"/>
                <w:sz w:val="21"/>
                <w:szCs w:val="21"/>
                <w:lang w:val="en-US" w:eastAsia="zh-CN"/>
              </w:rPr>
              <w:t>通环办〔2023〕48号</w:t>
            </w:r>
            <w:r>
              <w:rPr>
                <w:rFonts w:hint="eastAsia" w:hAnsi="宋体"/>
                <w:b/>
                <w:bCs/>
                <w:color w:val="auto"/>
                <w:sz w:val="21"/>
                <w:szCs w:val="21"/>
                <w:lang w:eastAsia="zh-CN"/>
              </w:rPr>
              <w:t>）</w:t>
            </w:r>
            <w:r>
              <w:rPr>
                <w:rFonts w:hint="eastAsia" w:hAnsi="宋体"/>
                <w:b/>
                <w:bCs/>
                <w:color w:val="auto"/>
                <w:sz w:val="21"/>
                <w:szCs w:val="21"/>
              </w:rPr>
              <w:t>相关要求相符性分析</w:t>
            </w:r>
          </w:p>
          <w:p w14:paraId="62DADA9F">
            <w:pPr>
              <w:jc w:val="center"/>
              <w:rPr>
                <w:b/>
                <w:bCs/>
                <w:color w:val="auto"/>
                <w:szCs w:val="21"/>
              </w:rPr>
            </w:pPr>
            <w:r>
              <w:rPr>
                <w:rFonts w:hint="eastAsia"/>
                <w:b/>
                <w:bCs/>
                <w:color w:val="auto"/>
                <w:szCs w:val="21"/>
              </w:rPr>
              <w:t>表1-</w:t>
            </w:r>
            <w:r>
              <w:rPr>
                <w:rFonts w:hint="eastAsia"/>
                <w:b/>
                <w:bCs/>
                <w:color w:val="auto"/>
                <w:szCs w:val="21"/>
                <w:lang w:val="en-US" w:eastAsia="zh-CN"/>
              </w:rPr>
              <w:t>17</w:t>
            </w:r>
            <w:r>
              <w:rPr>
                <w:rFonts w:hint="eastAsia"/>
                <w:b/>
                <w:bCs/>
                <w:color w:val="auto"/>
                <w:szCs w:val="21"/>
              </w:rPr>
              <w:t>与《</w:t>
            </w:r>
            <w:r>
              <w:rPr>
                <w:rFonts w:hint="eastAsia" w:hAnsi="宋体"/>
                <w:b/>
                <w:bCs/>
                <w:color w:val="auto"/>
                <w:sz w:val="21"/>
                <w:szCs w:val="21"/>
                <w:lang w:val="en-US" w:eastAsia="zh-CN"/>
              </w:rPr>
              <w:t>南通市</w:t>
            </w:r>
            <w:r>
              <w:rPr>
                <w:rFonts w:hint="eastAsia" w:hAnsi="宋体"/>
                <w:b/>
                <w:bCs/>
                <w:color w:val="auto"/>
                <w:sz w:val="21"/>
                <w:szCs w:val="21"/>
              </w:rPr>
              <w:t>铸造行业大气污染综合治理方案</w:t>
            </w:r>
            <w:r>
              <w:rPr>
                <w:rFonts w:hint="eastAsia"/>
                <w:b/>
                <w:bCs/>
                <w:color w:val="auto"/>
                <w:szCs w:val="21"/>
              </w:rPr>
              <w:t>》相符性分析</w:t>
            </w:r>
          </w:p>
          <w:tbl>
            <w:tblPr>
              <w:tblStyle w:val="25"/>
              <w:tblW w:w="759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57" w:type="dxa"/>
                <w:bottom w:w="0" w:type="dxa"/>
                <w:right w:w="57" w:type="dxa"/>
              </w:tblCellMar>
            </w:tblPr>
            <w:tblGrid>
              <w:gridCol w:w="4475"/>
              <w:gridCol w:w="2395"/>
              <w:gridCol w:w="729"/>
            </w:tblGrid>
            <w:tr w14:paraId="69A06F2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565" w:hRule="atLeast"/>
                <w:jc w:val="center"/>
              </w:trPr>
              <w:tc>
                <w:tcPr>
                  <w:tcW w:w="2944" w:type="pct"/>
                  <w:tcBorders>
                    <w:tl2br w:val="nil"/>
                    <w:tr2bl w:val="nil"/>
                  </w:tcBorders>
                  <w:vAlign w:val="center"/>
                </w:tcPr>
                <w:p w14:paraId="68F4B143">
                  <w:pPr>
                    <w:pStyle w:val="10"/>
                    <w:spacing w:before="0" w:after="0" w:line="240" w:lineRule="auto"/>
                    <w:jc w:val="center"/>
                    <w:rPr>
                      <w:b/>
                      <w:bCs/>
                      <w:color w:val="auto"/>
                      <w:sz w:val="21"/>
                      <w:szCs w:val="21"/>
                    </w:rPr>
                  </w:pPr>
                  <w:r>
                    <w:rPr>
                      <w:rFonts w:hint="eastAsia"/>
                      <w:b/>
                      <w:bCs/>
                      <w:color w:val="auto"/>
                      <w:sz w:val="21"/>
                      <w:szCs w:val="21"/>
                      <w:lang w:val="en-US" w:eastAsia="zh-CN"/>
                    </w:rPr>
                    <w:t>相关</w:t>
                  </w:r>
                  <w:r>
                    <w:rPr>
                      <w:b/>
                      <w:bCs/>
                      <w:color w:val="auto"/>
                      <w:sz w:val="21"/>
                      <w:szCs w:val="21"/>
                    </w:rPr>
                    <w:t>要求</w:t>
                  </w:r>
                </w:p>
              </w:tc>
              <w:tc>
                <w:tcPr>
                  <w:tcW w:w="1575" w:type="pct"/>
                  <w:tcBorders>
                    <w:tl2br w:val="nil"/>
                    <w:tr2bl w:val="nil"/>
                  </w:tcBorders>
                  <w:vAlign w:val="center"/>
                </w:tcPr>
                <w:p w14:paraId="7B2B9494">
                  <w:pPr>
                    <w:pStyle w:val="10"/>
                    <w:spacing w:before="0" w:after="0" w:line="240" w:lineRule="auto"/>
                    <w:jc w:val="center"/>
                    <w:rPr>
                      <w:b/>
                      <w:bCs/>
                      <w:color w:val="auto"/>
                      <w:sz w:val="21"/>
                      <w:szCs w:val="21"/>
                    </w:rPr>
                  </w:pPr>
                  <w:r>
                    <w:rPr>
                      <w:b/>
                      <w:bCs/>
                      <w:color w:val="auto"/>
                      <w:sz w:val="21"/>
                      <w:szCs w:val="21"/>
                    </w:rPr>
                    <w:t>项目情况</w:t>
                  </w:r>
                </w:p>
              </w:tc>
              <w:tc>
                <w:tcPr>
                  <w:tcW w:w="479" w:type="pct"/>
                  <w:tcBorders>
                    <w:tl2br w:val="nil"/>
                    <w:tr2bl w:val="nil"/>
                  </w:tcBorders>
                  <w:vAlign w:val="center"/>
                </w:tcPr>
                <w:p w14:paraId="43A77FD6">
                  <w:pPr>
                    <w:pStyle w:val="10"/>
                    <w:spacing w:before="0" w:after="0" w:line="240" w:lineRule="auto"/>
                    <w:jc w:val="center"/>
                    <w:rPr>
                      <w:b/>
                      <w:bCs/>
                      <w:color w:val="auto"/>
                      <w:sz w:val="21"/>
                      <w:szCs w:val="21"/>
                    </w:rPr>
                  </w:pPr>
                  <w:r>
                    <w:rPr>
                      <w:b/>
                      <w:bCs/>
                      <w:color w:val="auto"/>
                      <w:sz w:val="21"/>
                      <w:szCs w:val="21"/>
                    </w:rPr>
                    <w:t>相符性</w:t>
                  </w:r>
                </w:p>
              </w:tc>
            </w:tr>
            <w:tr w14:paraId="3EC9F6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1729" w:hRule="atLeast"/>
                <w:jc w:val="center"/>
              </w:trPr>
              <w:tc>
                <w:tcPr>
                  <w:tcW w:w="2944" w:type="pct"/>
                  <w:tcBorders>
                    <w:tl2br w:val="nil"/>
                    <w:tr2bl w:val="nil"/>
                  </w:tcBorders>
                  <w:vAlign w:val="center"/>
                </w:tcPr>
                <w:p w14:paraId="4C5EB129">
                  <w:pPr>
                    <w:widowControl/>
                    <w:numPr>
                      <w:ilvl w:val="0"/>
                      <w:numId w:val="0"/>
                    </w:numPr>
                    <w:jc w:val="left"/>
                    <w:rPr>
                      <w:rFonts w:hint="eastAsia"/>
                      <w:color w:val="auto"/>
                      <w:szCs w:val="21"/>
                      <w:lang w:val="en-US" w:eastAsia="zh-CN"/>
                    </w:rPr>
                  </w:pPr>
                  <w:r>
                    <w:rPr>
                      <w:rFonts w:hint="eastAsia"/>
                      <w:color w:val="auto"/>
                      <w:szCs w:val="21"/>
                      <w:lang w:val="en-US" w:eastAsia="zh-CN"/>
                    </w:rPr>
                    <w:t>冲天炉烟气颗粒物、二氧化硫、氮氧化物浓度小时均值分别不高于40、200、300 毫克/立方米；燃气炉烟气颗粒物、二氧化硫、氮氧化物浓度小时均值分别不高于30、100、400毫克/立方米；电弧炉、感应电炉、精炼炉等其他熔炼（化）炉、保温炉烟气颗粒物浓度小时均值不高于30毫克/立方米。自硬砂及干砂等造型设备、落砂机和抛（喷）丸机等清理设备、加砂和制芯设备、浇注区的颗粒物浓度小时均值不高于30毫 克/立方米。砂处理及废砂再生设备烟气颗粒物、二氧化硫、氮氧化物浓度小时均值分别不高于30、150、300 毫克/立方米；铸件热处理设备烟气颗粒物、二氧化硫、氮氧化物浓度小时均值分别不高于30、100、300 毫克/立方米。表面涂装设备（线）烟气的颗粒物、苯、苯系物、NMHC（非甲烷总烃）、TVOC（总挥发性有机物）浓度小时均值分别不高于30、1、60、100、120毫克/立方米。其他生产工序或设备、设施烟气颗粒物浓度不高于30毫克/立方米。车间或生产设施排气中NMHC 初始排放速率≥2kg/h的，VOCs（挥发性有机物）处理设施的处理效率不低于80%。</w:t>
                  </w:r>
                </w:p>
              </w:tc>
              <w:tc>
                <w:tcPr>
                  <w:tcW w:w="1575" w:type="pct"/>
                  <w:tcBorders>
                    <w:tl2br w:val="nil"/>
                    <w:tr2bl w:val="nil"/>
                  </w:tcBorders>
                  <w:vAlign w:val="center"/>
                </w:tcPr>
                <w:p w14:paraId="50B0955A">
                  <w:pPr>
                    <w:widowControl/>
                    <w:numPr>
                      <w:ilvl w:val="0"/>
                      <w:numId w:val="0"/>
                    </w:numPr>
                    <w:jc w:val="left"/>
                    <w:rPr>
                      <w:rFonts w:hint="eastAsia"/>
                      <w:color w:val="auto"/>
                      <w:szCs w:val="21"/>
                      <w:lang w:val="en-US" w:eastAsia="zh-CN"/>
                    </w:rPr>
                  </w:pPr>
                  <w:r>
                    <w:rPr>
                      <w:rFonts w:hint="eastAsia"/>
                      <w:color w:val="auto"/>
                      <w:szCs w:val="21"/>
                      <w:lang w:val="en-US" w:eastAsia="zh-CN"/>
                    </w:rPr>
                    <w:t>项目使用电阻式坩埚熔化炉，熔融工序颗粒物浓度小时均值不高于30mg/m</w:t>
                  </w:r>
                  <w:r>
                    <w:rPr>
                      <w:rFonts w:hint="eastAsia"/>
                      <w:color w:val="auto"/>
                      <w:szCs w:val="21"/>
                      <w:vertAlign w:val="superscript"/>
                      <w:lang w:val="en-US" w:eastAsia="zh-CN"/>
                    </w:rPr>
                    <w:t>3</w:t>
                  </w:r>
                  <w:r>
                    <w:rPr>
                      <w:rFonts w:hint="eastAsia"/>
                      <w:color w:val="auto"/>
                      <w:szCs w:val="21"/>
                      <w:lang w:val="en-US" w:eastAsia="zh-CN"/>
                    </w:rPr>
                    <w:t>；</w:t>
                  </w:r>
                </w:p>
                <w:p w14:paraId="5D84BE5D">
                  <w:pPr>
                    <w:widowControl/>
                    <w:numPr>
                      <w:ilvl w:val="0"/>
                      <w:numId w:val="0"/>
                    </w:numPr>
                    <w:jc w:val="left"/>
                    <w:rPr>
                      <w:rFonts w:hint="eastAsia"/>
                      <w:color w:val="auto"/>
                      <w:szCs w:val="21"/>
                      <w:lang w:val="en-US" w:eastAsia="zh-CN"/>
                    </w:rPr>
                  </w:pPr>
                  <w:r>
                    <w:rPr>
                      <w:rFonts w:hint="eastAsia"/>
                      <w:color w:val="auto"/>
                      <w:szCs w:val="21"/>
                      <w:lang w:val="en-US" w:eastAsia="zh-CN"/>
                    </w:rPr>
                    <w:t>项目制芯、浇注、落砂、打磨抛光工序颗粒物浓度小时均值不高于30mg/m</w:t>
                  </w:r>
                  <w:r>
                    <w:rPr>
                      <w:rFonts w:hint="eastAsia"/>
                      <w:color w:val="auto"/>
                      <w:szCs w:val="21"/>
                      <w:vertAlign w:val="superscript"/>
                      <w:lang w:val="en-US" w:eastAsia="zh-CN"/>
                    </w:rPr>
                    <w:t>3</w:t>
                  </w:r>
                  <w:r>
                    <w:rPr>
                      <w:rFonts w:hint="eastAsia"/>
                      <w:color w:val="auto"/>
                      <w:szCs w:val="21"/>
                      <w:lang w:val="en-US" w:eastAsia="zh-CN"/>
                    </w:rPr>
                    <w:t>；</w:t>
                  </w:r>
                </w:p>
                <w:p w14:paraId="0DC6D272">
                  <w:pPr>
                    <w:widowControl/>
                    <w:numPr>
                      <w:ilvl w:val="0"/>
                      <w:numId w:val="0"/>
                    </w:numPr>
                    <w:jc w:val="left"/>
                    <w:rPr>
                      <w:rFonts w:hint="eastAsia"/>
                      <w:color w:val="auto"/>
                      <w:szCs w:val="21"/>
                      <w:lang w:val="en-US" w:eastAsia="zh-CN"/>
                    </w:rPr>
                  </w:pPr>
                  <w:r>
                    <w:rPr>
                      <w:rFonts w:hint="eastAsia"/>
                      <w:color w:val="auto"/>
                      <w:szCs w:val="21"/>
                      <w:lang w:val="en-US" w:eastAsia="zh-CN"/>
                    </w:rPr>
                    <w:t>铸造涉及的VOCs处理设施的处理效率高于80%。</w:t>
                  </w:r>
                </w:p>
              </w:tc>
              <w:tc>
                <w:tcPr>
                  <w:tcW w:w="479" w:type="pct"/>
                  <w:tcBorders>
                    <w:tl2br w:val="nil"/>
                    <w:tr2bl w:val="nil"/>
                  </w:tcBorders>
                  <w:vAlign w:val="center"/>
                </w:tcPr>
                <w:p w14:paraId="5C0B16FC">
                  <w:pPr>
                    <w:pStyle w:val="10"/>
                    <w:spacing w:before="0" w:after="0" w:line="240" w:lineRule="auto"/>
                    <w:jc w:val="center"/>
                    <w:rPr>
                      <w:color w:val="auto"/>
                      <w:sz w:val="21"/>
                      <w:szCs w:val="21"/>
                    </w:rPr>
                  </w:pPr>
                  <w:r>
                    <w:rPr>
                      <w:color w:val="auto"/>
                      <w:sz w:val="21"/>
                      <w:szCs w:val="21"/>
                    </w:rPr>
                    <w:t>符合</w:t>
                  </w:r>
                </w:p>
              </w:tc>
            </w:tr>
            <w:tr w14:paraId="0E523E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1095" w:hRule="atLeast"/>
                <w:jc w:val="center"/>
              </w:trPr>
              <w:tc>
                <w:tcPr>
                  <w:tcW w:w="2944" w:type="pct"/>
                  <w:tcBorders>
                    <w:tl2br w:val="nil"/>
                    <w:tr2bl w:val="nil"/>
                  </w:tcBorders>
                  <w:vAlign w:val="center"/>
                </w:tcPr>
                <w:p w14:paraId="4BCC9420">
                  <w:pPr>
                    <w:widowControl/>
                    <w:jc w:val="center"/>
                    <w:rPr>
                      <w:color w:val="auto"/>
                      <w:szCs w:val="21"/>
                    </w:rPr>
                  </w:pPr>
                  <w:r>
                    <w:rPr>
                      <w:rFonts w:hint="eastAsia"/>
                      <w:color w:val="auto"/>
                      <w:szCs w:val="21"/>
                    </w:rPr>
                    <w:t>颗粒物无组织排放控制要求。企业厂区内颗粒物无组织排放1小时平均浓度值不高于5 毫克/立方米。物料储存：煤粉、膨润土等粉状物料和硅砂应袋装或罐装，并储存于封闭储库或半封闭料场（堆棚）中。生铁、废钢、焦炭和铁合金等粒状、块状散装物料应储存于封闭储库、料仓中，或储存于半封闭料场（堆棚）中。物料转移和输送：粉状、粒状等易散发粉尘的物料厂内转移、输送过程，应封闭；转移、输送、装卸过程中产尘点应采取集气除尘措施，或喷淋（雾）等抑尘措施；除尘器卸灰口应采取遮挡等抑尘措施，除尘灰不得直接卸落到地面；除尘灰采取袋装、罐装等密闭措施收集、存放和运输；厂区道路应硬化，并采取定期清扫、 洒水等措施，保持清洁。铸造：冲天炉加料口应为负压状态，防止粉尘外泄。废钢、回炉料等原料加工工序和孕育、变质、炉外精炼等金属液处理工序产尘点应安装集气罩，并配备除尘设施。造型、制芯、浇注工序产尘点应安装集气罩并配备除尘设施，或采取喷淋（雾）等 抑尘措施。落砂、抛丸清理、砂处理工序应在封闭空间内操作，废气收集至除尘设施；未在封闭空间内操作的，应采用固定式、移动式集气设备，并配备除尘设施。清理（去除浇冒口、铲飞边毛刺等）和浇包、渣包的维修工序应在封闭空间内操作，废气收集至除尘设施；未在封闭空间内操作的，应采用固定式、移动式集气设备并配备除尘设施。车间外不得有可见烟 粉尘外逸。</w:t>
                  </w:r>
                </w:p>
              </w:tc>
              <w:tc>
                <w:tcPr>
                  <w:tcW w:w="1575" w:type="pct"/>
                  <w:tcBorders>
                    <w:tl2br w:val="nil"/>
                    <w:tr2bl w:val="nil"/>
                  </w:tcBorders>
                  <w:vAlign w:val="center"/>
                </w:tcPr>
                <w:p w14:paraId="37223B6A">
                  <w:pPr>
                    <w:widowControl/>
                    <w:jc w:val="center"/>
                    <w:rPr>
                      <w:rFonts w:hint="eastAsia" w:eastAsia="宋体"/>
                      <w:color w:val="auto"/>
                      <w:szCs w:val="21"/>
                      <w:lang w:eastAsia="zh-CN"/>
                    </w:rPr>
                  </w:pPr>
                  <w:r>
                    <w:rPr>
                      <w:rFonts w:hint="eastAsia"/>
                      <w:color w:val="auto"/>
                      <w:szCs w:val="21"/>
                    </w:rPr>
                    <w:t>1</w:t>
                  </w:r>
                  <w:r>
                    <w:rPr>
                      <w:rFonts w:hint="eastAsia"/>
                      <w:color w:val="auto"/>
                      <w:szCs w:val="21"/>
                      <w:lang w:eastAsia="zh-CN"/>
                    </w:rPr>
                    <w:t>）</w:t>
                  </w:r>
                  <w:r>
                    <w:rPr>
                      <w:rFonts w:hint="eastAsia"/>
                      <w:color w:val="auto"/>
                      <w:szCs w:val="21"/>
                    </w:rPr>
                    <w:t>企业厂区内颗粒物无组织排放1小时平均浓度值不高于5mg/m</w:t>
                  </w:r>
                  <w:r>
                    <w:rPr>
                      <w:rFonts w:hint="eastAsia"/>
                      <w:color w:val="auto"/>
                      <w:szCs w:val="21"/>
                      <w:vertAlign w:val="superscript"/>
                    </w:rPr>
                    <w:t>3</w:t>
                  </w:r>
                  <w:r>
                    <w:rPr>
                      <w:rFonts w:hint="eastAsia"/>
                      <w:color w:val="auto"/>
                      <w:szCs w:val="21"/>
                      <w:lang w:eastAsia="zh-CN"/>
                    </w:rPr>
                    <w:t>；</w:t>
                  </w:r>
                </w:p>
                <w:p w14:paraId="12EBF556">
                  <w:pPr>
                    <w:widowControl/>
                    <w:jc w:val="left"/>
                    <w:rPr>
                      <w:rFonts w:hint="eastAsia" w:eastAsia="宋体"/>
                      <w:color w:val="auto"/>
                      <w:szCs w:val="21"/>
                      <w:lang w:eastAsia="zh-CN"/>
                    </w:rPr>
                  </w:pPr>
                  <w:r>
                    <w:rPr>
                      <w:rFonts w:hint="eastAsia"/>
                      <w:color w:val="auto"/>
                      <w:szCs w:val="21"/>
                    </w:rPr>
                    <w:t>2</w:t>
                  </w:r>
                  <w:r>
                    <w:rPr>
                      <w:rFonts w:hint="eastAsia"/>
                      <w:color w:val="auto"/>
                      <w:szCs w:val="21"/>
                      <w:lang w:eastAsia="zh-CN"/>
                    </w:rPr>
                    <w:t>）</w:t>
                  </w:r>
                  <w:r>
                    <w:rPr>
                      <w:rFonts w:hint="eastAsia"/>
                      <w:color w:val="auto"/>
                      <w:szCs w:val="21"/>
                    </w:rPr>
                    <w:t>企业</w:t>
                  </w:r>
                  <w:r>
                    <w:rPr>
                      <w:rFonts w:hint="eastAsia"/>
                      <w:color w:val="auto"/>
                      <w:szCs w:val="21"/>
                      <w:lang w:val="en-US" w:eastAsia="zh-CN"/>
                    </w:rPr>
                    <w:t>铝合金等</w:t>
                  </w:r>
                  <w:r>
                    <w:rPr>
                      <w:rFonts w:hint="eastAsia"/>
                      <w:color w:val="auto"/>
                      <w:szCs w:val="21"/>
                    </w:rPr>
                    <w:t>散装物料储存于半封闭料场中</w:t>
                  </w:r>
                  <w:r>
                    <w:rPr>
                      <w:rFonts w:hint="eastAsia"/>
                      <w:color w:val="auto"/>
                      <w:szCs w:val="21"/>
                      <w:lang w:eastAsia="zh-CN"/>
                    </w:rPr>
                    <w:t>；</w:t>
                  </w:r>
                </w:p>
                <w:p w14:paraId="0061790F">
                  <w:pPr>
                    <w:widowControl/>
                    <w:jc w:val="left"/>
                    <w:rPr>
                      <w:rFonts w:hint="eastAsia" w:eastAsia="宋体"/>
                      <w:color w:val="auto"/>
                      <w:szCs w:val="21"/>
                      <w:lang w:eastAsia="zh-CN"/>
                    </w:rPr>
                  </w:pPr>
                  <w:r>
                    <w:rPr>
                      <w:rFonts w:hint="eastAsia"/>
                      <w:color w:val="auto"/>
                      <w:szCs w:val="21"/>
                      <w:lang w:val="en-US" w:eastAsia="zh-CN"/>
                    </w:rPr>
                    <w:t>3）</w:t>
                  </w:r>
                  <w:r>
                    <w:rPr>
                      <w:rFonts w:hint="eastAsia"/>
                      <w:color w:val="auto"/>
                      <w:szCs w:val="21"/>
                    </w:rPr>
                    <w:t>企业粉状、粒状等易散发粉尘的物料厂内转移、输送过程为封闭形式</w:t>
                  </w:r>
                  <w:r>
                    <w:rPr>
                      <w:rFonts w:hint="eastAsia"/>
                      <w:color w:val="auto"/>
                      <w:szCs w:val="21"/>
                      <w:lang w:eastAsia="zh-CN"/>
                    </w:rPr>
                    <w:t>；</w:t>
                  </w:r>
                  <w:r>
                    <w:rPr>
                      <w:rFonts w:hint="eastAsia"/>
                      <w:color w:val="auto"/>
                      <w:szCs w:val="21"/>
                    </w:rPr>
                    <w:t>转移、输送、装卸过程中产尘点采取集气除尘措施</w:t>
                  </w:r>
                  <w:r>
                    <w:rPr>
                      <w:rFonts w:hint="eastAsia"/>
                      <w:color w:val="auto"/>
                      <w:szCs w:val="21"/>
                      <w:lang w:eastAsia="zh-CN"/>
                    </w:rPr>
                    <w:t>；</w:t>
                  </w:r>
                  <w:r>
                    <w:rPr>
                      <w:rFonts w:hint="eastAsia"/>
                      <w:color w:val="auto"/>
                      <w:szCs w:val="21"/>
                    </w:rPr>
                    <w:t>除尘器卸灰口采取遮挡等抑尘措施</w:t>
                  </w:r>
                  <w:r>
                    <w:rPr>
                      <w:rFonts w:hint="eastAsia"/>
                      <w:color w:val="auto"/>
                      <w:szCs w:val="21"/>
                      <w:lang w:eastAsia="zh-CN"/>
                    </w:rPr>
                    <w:t>，</w:t>
                  </w:r>
                  <w:r>
                    <w:rPr>
                      <w:rFonts w:hint="eastAsia"/>
                      <w:color w:val="auto"/>
                      <w:szCs w:val="21"/>
                    </w:rPr>
                    <w:t>除尘灰由推车收集不直接卸落到地面</w:t>
                  </w:r>
                  <w:r>
                    <w:rPr>
                      <w:rFonts w:hint="eastAsia"/>
                      <w:color w:val="auto"/>
                      <w:szCs w:val="21"/>
                      <w:lang w:eastAsia="zh-CN"/>
                    </w:rPr>
                    <w:t>；</w:t>
                  </w:r>
                  <w:r>
                    <w:rPr>
                      <w:rFonts w:hint="eastAsia"/>
                      <w:color w:val="auto"/>
                      <w:szCs w:val="21"/>
                    </w:rPr>
                    <w:t>除尘灰采取袋装密闭收集、存放和运输</w:t>
                  </w:r>
                  <w:r>
                    <w:rPr>
                      <w:rFonts w:hint="eastAsia"/>
                      <w:color w:val="auto"/>
                      <w:szCs w:val="21"/>
                      <w:lang w:eastAsia="zh-CN"/>
                    </w:rPr>
                    <w:t>；</w:t>
                  </w:r>
                </w:p>
                <w:p w14:paraId="75B50164">
                  <w:pPr>
                    <w:widowControl/>
                    <w:jc w:val="left"/>
                    <w:rPr>
                      <w:rFonts w:hint="eastAsia" w:eastAsia="宋体"/>
                      <w:color w:val="auto"/>
                      <w:szCs w:val="21"/>
                      <w:lang w:eastAsia="zh-CN"/>
                    </w:rPr>
                  </w:pPr>
                  <w:r>
                    <w:rPr>
                      <w:rFonts w:hint="eastAsia"/>
                      <w:color w:val="auto"/>
                      <w:szCs w:val="21"/>
                      <w:lang w:val="en-US" w:eastAsia="zh-CN"/>
                    </w:rPr>
                    <w:t>4）</w:t>
                  </w:r>
                  <w:r>
                    <w:rPr>
                      <w:rFonts w:hint="eastAsia"/>
                      <w:color w:val="auto"/>
                      <w:szCs w:val="21"/>
                    </w:rPr>
                    <w:t>厂区道路已硬化，并采取定期清扫、洒水等措施，保持清洁</w:t>
                  </w:r>
                  <w:r>
                    <w:rPr>
                      <w:rFonts w:hint="eastAsia"/>
                      <w:color w:val="auto"/>
                      <w:szCs w:val="21"/>
                      <w:lang w:eastAsia="zh-CN"/>
                    </w:rPr>
                    <w:t>；</w:t>
                  </w:r>
                </w:p>
                <w:p w14:paraId="5AB7A05F">
                  <w:pPr>
                    <w:widowControl/>
                    <w:jc w:val="left"/>
                    <w:rPr>
                      <w:rFonts w:hint="eastAsia"/>
                      <w:color w:val="auto"/>
                      <w:szCs w:val="21"/>
                    </w:rPr>
                  </w:pPr>
                  <w:r>
                    <w:rPr>
                      <w:rFonts w:hint="eastAsia"/>
                      <w:color w:val="auto"/>
                      <w:szCs w:val="21"/>
                      <w:lang w:val="en-US" w:eastAsia="zh-CN"/>
                    </w:rPr>
                    <w:t>5）</w:t>
                  </w:r>
                  <w:r>
                    <w:rPr>
                      <w:rFonts w:hint="eastAsia"/>
                      <w:color w:val="auto"/>
                      <w:szCs w:val="21"/>
                    </w:rPr>
                    <w:t>制芯</w:t>
                  </w:r>
                  <w:r>
                    <w:rPr>
                      <w:rFonts w:hint="eastAsia"/>
                      <w:color w:val="auto"/>
                      <w:szCs w:val="21"/>
                      <w:lang w:eastAsia="zh-CN"/>
                    </w:rPr>
                    <w:t>、</w:t>
                  </w:r>
                  <w:r>
                    <w:rPr>
                      <w:rFonts w:hint="eastAsia"/>
                      <w:color w:val="auto"/>
                      <w:szCs w:val="21"/>
                    </w:rPr>
                    <w:t>浇注</w:t>
                  </w:r>
                  <w:r>
                    <w:rPr>
                      <w:rFonts w:hint="eastAsia"/>
                      <w:color w:val="auto"/>
                      <w:szCs w:val="21"/>
                      <w:lang w:val="en-US" w:eastAsia="zh-CN"/>
                    </w:rPr>
                    <w:t>、落砂、熔融、打磨抛光</w:t>
                  </w:r>
                  <w:r>
                    <w:rPr>
                      <w:rFonts w:hint="eastAsia"/>
                      <w:color w:val="auto"/>
                      <w:szCs w:val="21"/>
                    </w:rPr>
                    <w:t>工序产尘点安装集气罩并配备除尘设施。</w:t>
                  </w:r>
                </w:p>
                <w:p w14:paraId="7E117605">
                  <w:pPr>
                    <w:widowControl/>
                    <w:jc w:val="left"/>
                    <w:rPr>
                      <w:color w:val="auto"/>
                      <w:szCs w:val="21"/>
                    </w:rPr>
                  </w:pPr>
                  <w:r>
                    <w:rPr>
                      <w:rFonts w:hint="eastAsia"/>
                      <w:color w:val="auto"/>
                      <w:szCs w:val="21"/>
                      <w:lang w:val="en-US" w:eastAsia="zh-CN"/>
                    </w:rPr>
                    <w:t>6</w:t>
                  </w:r>
                  <w:r>
                    <w:rPr>
                      <w:rFonts w:hint="eastAsia"/>
                      <w:color w:val="auto"/>
                      <w:szCs w:val="21"/>
                      <w:lang w:eastAsia="zh-CN"/>
                    </w:rPr>
                    <w:t>）</w:t>
                  </w:r>
                  <w:r>
                    <w:rPr>
                      <w:rFonts w:hint="eastAsia"/>
                      <w:color w:val="auto"/>
                      <w:szCs w:val="21"/>
                    </w:rPr>
                    <w:t>企业做到上述措施后，基本可以保证车间外无可见烟粉尘外逸。</w:t>
                  </w:r>
                </w:p>
              </w:tc>
              <w:tc>
                <w:tcPr>
                  <w:tcW w:w="479" w:type="pct"/>
                  <w:tcBorders>
                    <w:tl2br w:val="nil"/>
                    <w:tr2bl w:val="nil"/>
                  </w:tcBorders>
                  <w:vAlign w:val="center"/>
                </w:tcPr>
                <w:p w14:paraId="42410B94">
                  <w:pPr>
                    <w:pStyle w:val="10"/>
                    <w:spacing w:before="0" w:after="0" w:line="240" w:lineRule="auto"/>
                    <w:jc w:val="center"/>
                    <w:rPr>
                      <w:color w:val="auto"/>
                      <w:sz w:val="21"/>
                      <w:szCs w:val="21"/>
                    </w:rPr>
                  </w:pPr>
                  <w:r>
                    <w:rPr>
                      <w:color w:val="auto"/>
                      <w:sz w:val="21"/>
                      <w:szCs w:val="21"/>
                    </w:rPr>
                    <w:t>符合</w:t>
                  </w:r>
                </w:p>
              </w:tc>
            </w:tr>
            <w:tr w14:paraId="2410F4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156" w:hRule="atLeast"/>
                <w:jc w:val="center"/>
              </w:trPr>
              <w:tc>
                <w:tcPr>
                  <w:tcW w:w="2944" w:type="pct"/>
                  <w:tcBorders>
                    <w:tl2br w:val="nil"/>
                    <w:tr2bl w:val="nil"/>
                  </w:tcBorders>
                  <w:vAlign w:val="center"/>
                </w:tcPr>
                <w:p w14:paraId="601FDB44">
                  <w:pPr>
                    <w:widowControl/>
                    <w:jc w:val="center"/>
                    <w:rPr>
                      <w:color w:val="auto"/>
                      <w:szCs w:val="21"/>
                    </w:rPr>
                  </w:pPr>
                  <w:r>
                    <w:rPr>
                      <w:rFonts w:hint="eastAsia"/>
                      <w:color w:val="auto"/>
                      <w:szCs w:val="21"/>
                    </w:rPr>
                    <w:t>VOCs无组织排放控制要求。厂区内NMHC无组织排放1小时平均浓度不高于10毫克/立方米，任意一次浓度不高于30毫克/立方米。……，应符合《挥发性有机物无组织排放控制标准》（GB 37822—2019）。</w:t>
                  </w:r>
                </w:p>
              </w:tc>
              <w:tc>
                <w:tcPr>
                  <w:tcW w:w="1575" w:type="pct"/>
                  <w:tcBorders>
                    <w:tl2br w:val="nil"/>
                    <w:tr2bl w:val="nil"/>
                  </w:tcBorders>
                  <w:vAlign w:val="center"/>
                </w:tcPr>
                <w:p w14:paraId="0D6DA63E">
                  <w:pPr>
                    <w:widowControl/>
                    <w:jc w:val="center"/>
                    <w:rPr>
                      <w:rFonts w:hint="eastAsia" w:eastAsia="宋体"/>
                      <w:color w:val="auto"/>
                      <w:szCs w:val="21"/>
                      <w:lang w:eastAsia="zh-CN"/>
                    </w:rPr>
                  </w:pPr>
                  <w:r>
                    <w:rPr>
                      <w:rFonts w:hint="eastAsia"/>
                      <w:bCs/>
                      <w:color w:val="auto"/>
                      <w:szCs w:val="21"/>
                    </w:rPr>
                    <w:t>本项目涉及的</w:t>
                  </w:r>
                  <w:r>
                    <w:rPr>
                      <w:bCs/>
                      <w:color w:val="auto"/>
                      <w:szCs w:val="21"/>
                    </w:rPr>
                    <w:t>VOCs</w:t>
                  </w:r>
                  <w:r>
                    <w:rPr>
                      <w:rFonts w:hint="eastAsia"/>
                      <w:bCs/>
                      <w:color w:val="auto"/>
                      <w:szCs w:val="21"/>
                    </w:rPr>
                    <w:t>物料</w:t>
                  </w:r>
                  <w:r>
                    <w:rPr>
                      <w:rFonts w:hint="eastAsia"/>
                      <w:bCs/>
                      <w:color w:val="auto"/>
                      <w:szCs w:val="21"/>
                      <w:lang w:val="en-US" w:eastAsia="zh-CN"/>
                    </w:rPr>
                    <w:t>为覆膜砂</w:t>
                  </w:r>
                  <w:r>
                    <w:rPr>
                      <w:rFonts w:hint="eastAsia" w:hAnsi="宋体"/>
                      <w:color w:val="auto"/>
                      <w:kern w:val="0"/>
                      <w:szCs w:val="21"/>
                      <w:lang w:val="en-US" w:eastAsia="zh-CN"/>
                    </w:rPr>
                    <w:t>及水性脱模剂</w:t>
                  </w:r>
                  <w:r>
                    <w:rPr>
                      <w:rFonts w:hint="eastAsia"/>
                      <w:bCs/>
                      <w:color w:val="auto"/>
                      <w:szCs w:val="21"/>
                      <w:lang w:val="en-US" w:eastAsia="zh-CN"/>
                    </w:rPr>
                    <w:t>，常温下不挥发</w:t>
                  </w:r>
                  <w:r>
                    <w:rPr>
                      <w:rFonts w:hint="eastAsia"/>
                      <w:bCs/>
                      <w:color w:val="auto"/>
                      <w:szCs w:val="21"/>
                    </w:rPr>
                    <w:t>，制芯、浇注</w:t>
                  </w:r>
                  <w:r>
                    <w:rPr>
                      <w:rFonts w:hint="eastAsia"/>
                      <w:bCs/>
                      <w:color w:val="auto"/>
                      <w:szCs w:val="21"/>
                      <w:lang w:val="en-US" w:eastAsia="zh-CN"/>
                    </w:rPr>
                    <w:t>工序</w:t>
                  </w:r>
                  <w:r>
                    <w:rPr>
                      <w:rFonts w:hint="eastAsia"/>
                      <w:bCs/>
                      <w:color w:val="auto"/>
                      <w:szCs w:val="21"/>
                    </w:rPr>
                    <w:t>产生的</w:t>
                  </w:r>
                  <w:r>
                    <w:rPr>
                      <w:rFonts w:hint="eastAsia" w:hAnsi="宋体"/>
                      <w:color w:val="auto"/>
                      <w:kern w:val="0"/>
                      <w:szCs w:val="21"/>
                    </w:rPr>
                    <w:t>有机废气</w:t>
                  </w:r>
                  <w:r>
                    <w:rPr>
                      <w:rFonts w:hint="eastAsia" w:hAnsi="宋体"/>
                      <w:color w:val="auto"/>
                      <w:kern w:val="0"/>
                      <w:szCs w:val="21"/>
                      <w:lang w:val="en-US" w:eastAsia="zh-CN"/>
                    </w:rPr>
                    <w:t>经</w:t>
                  </w:r>
                  <w:r>
                    <w:rPr>
                      <w:rFonts w:hint="eastAsia" w:hAnsi="宋体"/>
                      <w:color w:val="auto"/>
                      <w:kern w:val="0"/>
                      <w:szCs w:val="21"/>
                    </w:rPr>
                    <w:t>活性炭吸附装置处理</w:t>
                  </w:r>
                  <w:r>
                    <w:rPr>
                      <w:rFonts w:hint="eastAsia"/>
                      <w:color w:val="auto"/>
                      <w:szCs w:val="21"/>
                    </w:rPr>
                    <w:t>，确保厂区内NMHC无组织排放1小时平均浓度不高于</w:t>
                  </w:r>
                  <w:r>
                    <w:rPr>
                      <w:rFonts w:hint="eastAsia"/>
                      <w:color w:val="auto"/>
                      <w:szCs w:val="21"/>
                      <w:lang w:val="en-US" w:eastAsia="zh-CN"/>
                    </w:rPr>
                    <w:t>6</w:t>
                  </w:r>
                  <w:r>
                    <w:rPr>
                      <w:rFonts w:hint="eastAsia"/>
                      <w:color w:val="auto"/>
                      <w:szCs w:val="21"/>
                    </w:rPr>
                    <w:t>毫克/立方米，任意一次浓度不高于20毫克/立方米</w:t>
                  </w:r>
                  <w:r>
                    <w:rPr>
                      <w:rFonts w:hint="eastAsia"/>
                      <w:color w:val="auto"/>
                      <w:szCs w:val="21"/>
                      <w:lang w:eastAsia="zh-CN"/>
                    </w:rPr>
                    <w:t>，</w:t>
                  </w:r>
                  <w:r>
                    <w:rPr>
                      <w:rFonts w:hint="eastAsia"/>
                      <w:color w:val="auto"/>
                      <w:szCs w:val="21"/>
                      <w:lang w:val="en-US" w:eastAsia="zh-CN"/>
                    </w:rPr>
                    <w:t>符合</w:t>
                  </w:r>
                  <w:r>
                    <w:rPr>
                      <w:rFonts w:hint="eastAsia"/>
                      <w:color w:val="auto"/>
                      <w:szCs w:val="21"/>
                    </w:rPr>
                    <w:t>《挥发性有机物无组织排放控制标准》（GB 37822—2019）</w:t>
                  </w:r>
                  <w:r>
                    <w:rPr>
                      <w:rFonts w:hint="eastAsia"/>
                      <w:color w:val="auto"/>
                      <w:szCs w:val="21"/>
                      <w:lang w:eastAsia="zh-CN"/>
                    </w:rPr>
                    <w:t>。</w:t>
                  </w:r>
                </w:p>
              </w:tc>
              <w:tc>
                <w:tcPr>
                  <w:tcW w:w="479" w:type="pct"/>
                  <w:tcBorders>
                    <w:tl2br w:val="nil"/>
                    <w:tr2bl w:val="nil"/>
                  </w:tcBorders>
                  <w:vAlign w:val="center"/>
                </w:tcPr>
                <w:p w14:paraId="557E343E">
                  <w:pPr>
                    <w:pStyle w:val="10"/>
                    <w:spacing w:before="0" w:after="0" w:line="240" w:lineRule="auto"/>
                    <w:jc w:val="center"/>
                    <w:rPr>
                      <w:color w:val="auto"/>
                      <w:sz w:val="21"/>
                      <w:szCs w:val="21"/>
                    </w:rPr>
                  </w:pPr>
                  <w:r>
                    <w:rPr>
                      <w:color w:val="auto"/>
                      <w:sz w:val="21"/>
                      <w:szCs w:val="21"/>
                    </w:rPr>
                    <w:t>符合</w:t>
                  </w:r>
                </w:p>
              </w:tc>
            </w:tr>
            <w:tr w14:paraId="3C86308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4022" w:hRule="atLeast"/>
                <w:jc w:val="center"/>
              </w:trPr>
              <w:tc>
                <w:tcPr>
                  <w:tcW w:w="2944" w:type="pct"/>
                  <w:tcBorders>
                    <w:tl2br w:val="nil"/>
                    <w:tr2bl w:val="nil"/>
                  </w:tcBorders>
                  <w:vAlign w:val="center"/>
                </w:tcPr>
                <w:p w14:paraId="48A11427">
                  <w:pPr>
                    <w:widowControl/>
                    <w:jc w:val="center"/>
                    <w:rPr>
                      <w:rFonts w:hint="eastAsia"/>
                      <w:color w:val="auto"/>
                      <w:szCs w:val="21"/>
                      <w:lang w:val="en-US" w:eastAsia="zh-CN"/>
                    </w:rPr>
                  </w:pPr>
                  <w:r>
                    <w:rPr>
                      <w:rFonts w:hint="eastAsia"/>
                      <w:color w:val="auto"/>
                      <w:szCs w:val="21"/>
                      <w:lang w:val="en-US" w:eastAsia="zh-CN"/>
                    </w:rPr>
                    <w:t>（二）推进产业结构优化。严格执行质量、环保、能耗、安全等相关法律法规标准和《产业结构调整指导目录》等政策，配合工信、发改等部门依法依规淘汰工艺设备落后、污染排放不达标、生产安全无保障的落后产能。加快存量项目升级改造，推进企业合理选择成熟高效的污染治理技术和先进工艺，提高行业竞争能力。严格审批新建、改扩建项目，新建、改扩建项目清洁生产水平达到先进水平，确保项目备案、环评、排污许可、安评、节能、审查等手续清晰、完备，项目建设符合相关法律法规标准要求。严格落实主要污染物排放总量控制、能源消耗总量和强度调度控制，坚决遏制不符合要求的项目盲目发展和低水平重复建设，防止产能盲目扩张，切实推进铸造行业产业结构优化升级。</w:t>
                  </w:r>
                </w:p>
              </w:tc>
              <w:tc>
                <w:tcPr>
                  <w:tcW w:w="1575" w:type="pct"/>
                  <w:tcBorders>
                    <w:tl2br w:val="nil"/>
                    <w:tr2bl w:val="nil"/>
                  </w:tcBorders>
                  <w:vAlign w:val="center"/>
                </w:tcPr>
                <w:p w14:paraId="62548B74">
                  <w:pPr>
                    <w:widowControl/>
                    <w:jc w:val="center"/>
                    <w:rPr>
                      <w:rFonts w:hint="eastAsia" w:eastAsia="宋体"/>
                      <w:color w:val="auto"/>
                      <w:szCs w:val="21"/>
                      <w:lang w:val="en-US" w:eastAsia="zh-CN"/>
                    </w:rPr>
                  </w:pPr>
                  <w:r>
                    <w:rPr>
                      <w:rFonts w:hint="eastAsia"/>
                      <w:color w:val="auto"/>
                      <w:szCs w:val="21"/>
                      <w:lang w:val="en-US" w:eastAsia="zh-CN"/>
                    </w:rPr>
                    <w:t>项目不属于《产业结 构调整指导目录》、《南通市工业结构调整指导目录》等中淘汰类项目。项目于2024年8月7日通过如皋市数据局备案，项目代码为：2408-320654-89-01-728182，备案证号：皋数据（开）备</w:t>
                  </w:r>
                  <w:r>
                    <w:rPr>
                      <w:rFonts w:hint="default" w:ascii="Times New Roman" w:hAnsi="Times New Roman" w:eastAsia="宋体"/>
                      <w:color w:val="auto"/>
                      <w:szCs w:val="21"/>
                      <w:lang w:val="en-US" w:eastAsia="zh-CN"/>
                    </w:rPr>
                    <w:t>〔202</w:t>
                  </w:r>
                  <w:r>
                    <w:rPr>
                      <w:rFonts w:hint="eastAsia"/>
                      <w:color w:val="auto"/>
                      <w:szCs w:val="21"/>
                      <w:lang w:val="en-US" w:eastAsia="zh-CN"/>
                    </w:rPr>
                    <w:t>4</w:t>
                  </w:r>
                  <w:r>
                    <w:rPr>
                      <w:rFonts w:hint="default" w:ascii="Times New Roman" w:hAnsi="Times New Roman" w:eastAsia="宋体"/>
                      <w:color w:val="auto"/>
                      <w:szCs w:val="21"/>
                      <w:lang w:val="en-US" w:eastAsia="zh-CN"/>
                    </w:rPr>
                    <w:t>〕</w:t>
                  </w:r>
                  <w:r>
                    <w:rPr>
                      <w:rFonts w:hint="eastAsia"/>
                      <w:color w:val="auto"/>
                      <w:szCs w:val="21"/>
                      <w:lang w:val="en-US" w:eastAsia="zh-CN"/>
                    </w:rPr>
                    <w:t>2</w:t>
                  </w:r>
                  <w:r>
                    <w:rPr>
                      <w:rFonts w:hint="default" w:ascii="Times New Roman" w:hAnsi="Times New Roman" w:eastAsia="宋体"/>
                      <w:color w:val="auto"/>
                      <w:szCs w:val="21"/>
                      <w:lang w:val="en-US" w:eastAsia="zh-CN"/>
                    </w:rPr>
                    <w:t>号</w:t>
                  </w:r>
                  <w:r>
                    <w:rPr>
                      <w:rFonts w:hint="eastAsia"/>
                      <w:color w:val="auto"/>
                      <w:szCs w:val="21"/>
                      <w:lang w:val="en-US" w:eastAsia="zh-CN"/>
                    </w:rPr>
                    <w:t>；项目在获得批复后及时申领排污许可证；项目铸造工艺低污染、低排放、低能耗经济高效的先进工艺技术。</w:t>
                  </w:r>
                </w:p>
              </w:tc>
              <w:tc>
                <w:tcPr>
                  <w:tcW w:w="479" w:type="pct"/>
                  <w:tcBorders>
                    <w:tl2br w:val="nil"/>
                    <w:tr2bl w:val="nil"/>
                  </w:tcBorders>
                  <w:vAlign w:val="center"/>
                </w:tcPr>
                <w:p w14:paraId="05DD90BC">
                  <w:pPr>
                    <w:widowControl/>
                    <w:jc w:val="center"/>
                    <w:rPr>
                      <w:color w:val="auto"/>
                      <w:szCs w:val="21"/>
                    </w:rPr>
                  </w:pPr>
                  <w:r>
                    <w:rPr>
                      <w:color w:val="auto"/>
                      <w:szCs w:val="21"/>
                    </w:rPr>
                    <w:t>符合</w:t>
                  </w:r>
                </w:p>
              </w:tc>
            </w:tr>
            <w:tr w14:paraId="65BD81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314" w:hRule="atLeast"/>
                <w:jc w:val="center"/>
              </w:trPr>
              <w:tc>
                <w:tcPr>
                  <w:tcW w:w="2944" w:type="pct"/>
                  <w:tcBorders>
                    <w:tl2br w:val="nil"/>
                    <w:tr2bl w:val="nil"/>
                  </w:tcBorders>
                  <w:vAlign w:val="center"/>
                </w:tcPr>
                <w:p w14:paraId="5F35EE41">
                  <w:pPr>
                    <w:widowControl/>
                    <w:jc w:val="center"/>
                    <w:rPr>
                      <w:color w:val="auto"/>
                      <w:szCs w:val="21"/>
                    </w:rPr>
                  </w:pPr>
                  <w:r>
                    <w:rPr>
                      <w:rFonts w:hint="eastAsia"/>
                      <w:color w:val="auto"/>
                      <w:szCs w:val="21"/>
                      <w:lang w:eastAsia="zh-CN"/>
                    </w:rPr>
                    <w:t>（</w:t>
                  </w:r>
                  <w:r>
                    <w:rPr>
                      <w:rFonts w:hint="eastAsia"/>
                      <w:color w:val="auto"/>
                      <w:szCs w:val="21"/>
                      <w:lang w:val="en-US" w:eastAsia="zh-CN"/>
                    </w:rPr>
                    <w:t>三</w:t>
                  </w:r>
                  <w:r>
                    <w:rPr>
                      <w:rFonts w:hint="eastAsia"/>
                      <w:color w:val="auto"/>
                      <w:szCs w:val="21"/>
                      <w:lang w:eastAsia="zh-CN"/>
                    </w:rPr>
                    <w:t>）</w:t>
                  </w:r>
                  <w:r>
                    <w:rPr>
                      <w:rFonts w:hint="eastAsia"/>
                      <w:color w:val="auto"/>
                      <w:szCs w:val="21"/>
                      <w:lang w:val="en-US" w:eastAsia="zh-CN"/>
                    </w:rPr>
                    <w:t>确保全面达标排放。</w:t>
                  </w:r>
                  <w:r>
                    <w:rPr>
                      <w:color w:val="auto"/>
                      <w:szCs w:val="21"/>
                    </w:rPr>
                    <w:t>铸造企业依法申领排污许可证，严格持证排污、按证排污并按排污许可规定落实自行监测、台账记录、执行报告、信息公开等要求。……铸造企业严格执行《铸造工业大气污染物排放标准》（GB 39726—2020），加强无组织排放控制……开展有组织、无组织和清洁运输超低排放改造和评估监测</w:t>
                  </w:r>
                  <w:r>
                    <w:rPr>
                      <w:rFonts w:hint="eastAsia"/>
                      <w:color w:val="auto"/>
                      <w:szCs w:val="21"/>
                    </w:rPr>
                    <w:t>。</w:t>
                  </w:r>
                  <w:r>
                    <w:rPr>
                      <w:color w:val="auto"/>
                      <w:szCs w:val="21"/>
                    </w:rPr>
                    <w:t>……</w:t>
                  </w:r>
                  <w:r>
                    <w:rPr>
                      <w:rFonts w:hint="eastAsia"/>
                      <w:color w:val="auto"/>
                      <w:szCs w:val="21"/>
                    </w:rPr>
                    <w:t>安装自动监测、视频监控、用电监控等监测监控设施，强化全过程全流程精细化管理。</w:t>
                  </w:r>
                  <w:r>
                    <w:rPr>
                      <w:color w:val="auto"/>
                      <w:szCs w:val="21"/>
                    </w:rPr>
                    <w:t>……推进铸造企业建设全厂一体化环境管控平台，记录有组织排放、无组织排放相关监测监控和治理设施运行情况。……</w:t>
                  </w:r>
                </w:p>
              </w:tc>
              <w:tc>
                <w:tcPr>
                  <w:tcW w:w="1575" w:type="pct"/>
                  <w:tcBorders>
                    <w:tl2br w:val="nil"/>
                    <w:tr2bl w:val="nil"/>
                  </w:tcBorders>
                  <w:vAlign w:val="center"/>
                </w:tcPr>
                <w:p w14:paraId="78BB7BC3">
                  <w:pPr>
                    <w:widowControl/>
                    <w:jc w:val="center"/>
                    <w:rPr>
                      <w:color w:val="auto"/>
                      <w:szCs w:val="21"/>
                    </w:rPr>
                  </w:pPr>
                  <w:r>
                    <w:rPr>
                      <w:rFonts w:hint="eastAsia"/>
                      <w:color w:val="auto"/>
                      <w:szCs w:val="21"/>
                    </w:rPr>
                    <w:t>本项目依法依规办理相关手续，开展生产。加强污染物排放监测与记录，加强精细化管理。</w:t>
                  </w:r>
                </w:p>
              </w:tc>
              <w:tc>
                <w:tcPr>
                  <w:tcW w:w="479" w:type="pct"/>
                  <w:tcBorders>
                    <w:tl2br w:val="nil"/>
                    <w:tr2bl w:val="nil"/>
                  </w:tcBorders>
                  <w:vAlign w:val="center"/>
                </w:tcPr>
                <w:p w14:paraId="1E093062">
                  <w:pPr>
                    <w:widowControl/>
                    <w:jc w:val="center"/>
                    <w:rPr>
                      <w:color w:val="auto"/>
                      <w:szCs w:val="21"/>
                    </w:rPr>
                  </w:pPr>
                  <w:r>
                    <w:rPr>
                      <w:color w:val="auto"/>
                      <w:szCs w:val="21"/>
                    </w:rPr>
                    <w:t>符合</w:t>
                  </w:r>
                </w:p>
              </w:tc>
            </w:tr>
            <w:tr w14:paraId="1696B0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226" w:hRule="atLeast"/>
                <w:jc w:val="center"/>
              </w:trPr>
              <w:tc>
                <w:tcPr>
                  <w:tcW w:w="2944" w:type="pct"/>
                  <w:tcBorders>
                    <w:tl2br w:val="nil"/>
                    <w:tr2bl w:val="nil"/>
                  </w:tcBorders>
                  <w:vAlign w:val="center"/>
                </w:tcPr>
                <w:p w14:paraId="6C5C4EA9">
                  <w:pPr>
                    <w:widowControl/>
                    <w:jc w:val="center"/>
                    <w:rPr>
                      <w:color w:val="auto"/>
                      <w:szCs w:val="21"/>
                    </w:rPr>
                  </w:pPr>
                  <w:r>
                    <w:rPr>
                      <w:rFonts w:hint="eastAsia"/>
                      <w:color w:val="auto"/>
                      <w:szCs w:val="21"/>
                      <w:lang w:eastAsia="zh-CN"/>
                    </w:rPr>
                    <w:t>（</w:t>
                  </w:r>
                  <w:r>
                    <w:rPr>
                      <w:rFonts w:hint="eastAsia"/>
                      <w:color w:val="auto"/>
                      <w:szCs w:val="21"/>
                      <w:lang w:val="en-US" w:eastAsia="zh-CN"/>
                    </w:rPr>
                    <w:t>四</w:t>
                  </w:r>
                  <w:r>
                    <w:rPr>
                      <w:rFonts w:hint="eastAsia"/>
                      <w:color w:val="auto"/>
                      <w:szCs w:val="21"/>
                      <w:lang w:eastAsia="zh-CN"/>
                    </w:rPr>
                    <w:t>）</w:t>
                  </w:r>
                  <w:r>
                    <w:rPr>
                      <w:rFonts w:hint="eastAsia"/>
                      <w:color w:val="auto"/>
                      <w:szCs w:val="21"/>
                      <w:lang w:val="en-US" w:eastAsia="zh-CN"/>
                    </w:rPr>
                    <w:t>推动实施深度治理。</w:t>
                  </w:r>
                  <w:r>
                    <w:rPr>
                      <w:color w:val="auto"/>
                      <w:szCs w:val="21"/>
                    </w:rPr>
                    <w:t>各</w:t>
                  </w:r>
                  <w:r>
                    <w:rPr>
                      <w:rFonts w:hint="eastAsia"/>
                      <w:color w:val="auto"/>
                      <w:szCs w:val="21"/>
                      <w:lang w:val="en-US" w:eastAsia="zh-CN"/>
                    </w:rPr>
                    <w:t>县（市、区）</w:t>
                  </w:r>
                  <w:r>
                    <w:rPr>
                      <w:color w:val="auto"/>
                      <w:szCs w:val="21"/>
                    </w:rPr>
                    <w:t>组织铸造企业根据《铸造工业大气污染防治可行性技术指南》（HJ 1292—2023），选择适合自身的高效污染防治技术开展深度治理，实现源头减排、过程控制和末端治理的全流程深度治理。</w:t>
                  </w:r>
                </w:p>
              </w:tc>
              <w:tc>
                <w:tcPr>
                  <w:tcW w:w="1575" w:type="pct"/>
                  <w:tcBorders>
                    <w:tl2br w:val="nil"/>
                    <w:tr2bl w:val="nil"/>
                  </w:tcBorders>
                  <w:vAlign w:val="center"/>
                </w:tcPr>
                <w:p w14:paraId="573087C8">
                  <w:pPr>
                    <w:widowControl/>
                    <w:jc w:val="center"/>
                    <w:rPr>
                      <w:color w:val="auto"/>
                      <w:szCs w:val="21"/>
                    </w:rPr>
                  </w:pPr>
                  <w:r>
                    <w:rPr>
                      <w:rFonts w:hint="eastAsia"/>
                      <w:bCs/>
                      <w:color w:val="auto"/>
                      <w:szCs w:val="21"/>
                    </w:rPr>
                    <w:t>本项目坚持绿色铸造理念，从源头减排；产生废气的节点均进行有效收集，</w:t>
                  </w:r>
                  <w:r>
                    <w:rPr>
                      <w:rFonts w:hint="eastAsia"/>
                      <w:color w:val="auto"/>
                      <w:szCs w:val="21"/>
                    </w:rPr>
                    <w:t>利用高效除尘器、活性炭</w:t>
                  </w:r>
                  <w:r>
                    <w:rPr>
                      <w:rFonts w:hint="eastAsia"/>
                      <w:color w:val="auto"/>
                      <w:szCs w:val="21"/>
                      <w:lang w:val="en-US" w:eastAsia="zh-CN"/>
                    </w:rPr>
                    <w:t>吸附装置</w:t>
                  </w:r>
                  <w:r>
                    <w:rPr>
                      <w:rFonts w:hint="eastAsia"/>
                      <w:color w:val="auto"/>
                      <w:szCs w:val="21"/>
                    </w:rPr>
                    <w:t>等，从末端治理颗粒物、挥发性有机物。</w:t>
                  </w:r>
                </w:p>
              </w:tc>
              <w:tc>
                <w:tcPr>
                  <w:tcW w:w="479" w:type="pct"/>
                  <w:tcBorders>
                    <w:tl2br w:val="nil"/>
                    <w:tr2bl w:val="nil"/>
                  </w:tcBorders>
                  <w:vAlign w:val="center"/>
                </w:tcPr>
                <w:p w14:paraId="5CA34AE5">
                  <w:pPr>
                    <w:widowControl/>
                    <w:jc w:val="center"/>
                    <w:rPr>
                      <w:color w:val="auto"/>
                      <w:szCs w:val="21"/>
                    </w:rPr>
                  </w:pPr>
                  <w:r>
                    <w:rPr>
                      <w:color w:val="auto"/>
                      <w:szCs w:val="21"/>
                    </w:rPr>
                    <w:t>符合</w:t>
                  </w:r>
                </w:p>
              </w:tc>
            </w:tr>
            <w:tr w14:paraId="765D01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540" w:hRule="atLeast"/>
                <w:jc w:val="center"/>
              </w:trPr>
              <w:tc>
                <w:tcPr>
                  <w:tcW w:w="2944" w:type="pct"/>
                  <w:tcBorders>
                    <w:tl2br w:val="nil"/>
                    <w:tr2bl w:val="nil"/>
                  </w:tcBorders>
                  <w:vAlign w:val="center"/>
                </w:tcPr>
                <w:p w14:paraId="3D100600">
                  <w:pPr>
                    <w:widowControl/>
                    <w:jc w:val="center"/>
                    <w:rPr>
                      <w:rFonts w:hint="eastAsia"/>
                      <w:color w:val="auto"/>
                      <w:szCs w:val="21"/>
                      <w:lang w:eastAsia="zh-CN"/>
                    </w:rPr>
                  </w:pPr>
                  <w:r>
                    <w:rPr>
                      <w:rFonts w:hint="eastAsia"/>
                      <w:color w:val="auto"/>
                      <w:szCs w:val="21"/>
                      <w:lang w:eastAsia="zh-CN"/>
                    </w:rPr>
                    <w:t>（</w:t>
                  </w:r>
                  <w:r>
                    <w:rPr>
                      <w:rFonts w:hint="eastAsia"/>
                      <w:color w:val="auto"/>
                      <w:szCs w:val="21"/>
                      <w:lang w:val="en-US" w:eastAsia="zh-CN"/>
                    </w:rPr>
                    <w:t>五</w:t>
                  </w:r>
                  <w:r>
                    <w:rPr>
                      <w:rFonts w:hint="eastAsia"/>
                      <w:color w:val="auto"/>
                      <w:szCs w:val="21"/>
                      <w:lang w:eastAsia="zh-CN"/>
                    </w:rPr>
                    <w:t>）加快行业绿色发展。推进绿色方式贯穿 铸造生产全流程，开发绿色原辅材料、推广绿 色工艺、建设绿色工厂、发展绿色园区，深入 推进园区循环化改造。推动企业依法披露环境信息，接受社会监督。积极开展铸造行业清洁生产审核，环保绩效达到 AB 级的铸造企业应主动开展清洁生产审核，深入挖掘企业节能、降碳、减污潜力。鼓励企业采用高效节能熔炼、 热处理设备，提高余热利用水平。推广短流程 铸造，推进铸造行业冲天炉（10 吨/小时及以下）改为电炉。推进铸造废砂再生处理技术应用、 废旧金属循环再生与利用。协同推进铸造行业 降碳、减污、扩绿、增长，推进生态优化、节 约集约、绿色低碳发展。</w:t>
                  </w:r>
                </w:p>
              </w:tc>
              <w:tc>
                <w:tcPr>
                  <w:tcW w:w="1575" w:type="pct"/>
                  <w:tcBorders>
                    <w:tl2br w:val="nil"/>
                    <w:tr2bl w:val="nil"/>
                  </w:tcBorders>
                  <w:vAlign w:val="center"/>
                </w:tcPr>
                <w:p w14:paraId="1F1AC83F">
                  <w:pPr>
                    <w:widowControl/>
                    <w:jc w:val="center"/>
                    <w:rPr>
                      <w:rFonts w:hint="eastAsia"/>
                      <w:color w:val="auto"/>
                      <w:szCs w:val="21"/>
                      <w:lang w:eastAsia="zh-CN"/>
                    </w:rPr>
                  </w:pPr>
                  <w:r>
                    <w:rPr>
                      <w:rFonts w:hint="eastAsia"/>
                      <w:color w:val="auto"/>
                      <w:szCs w:val="21"/>
                      <w:lang w:eastAsia="zh-CN"/>
                    </w:rPr>
                    <w:t>本项目坚持绿色生产。依法公开环境信息，接受社会监督。深入挖掘节能、降碳、减污潜力。</w:t>
                  </w:r>
                </w:p>
              </w:tc>
              <w:tc>
                <w:tcPr>
                  <w:tcW w:w="479" w:type="pct"/>
                  <w:tcBorders>
                    <w:tl2br w:val="nil"/>
                    <w:tr2bl w:val="nil"/>
                  </w:tcBorders>
                  <w:vAlign w:val="center"/>
                </w:tcPr>
                <w:p w14:paraId="3DAA2A25">
                  <w:pPr>
                    <w:widowControl/>
                    <w:jc w:val="center"/>
                    <w:rPr>
                      <w:color w:val="auto"/>
                      <w:szCs w:val="21"/>
                    </w:rPr>
                  </w:pPr>
                  <w:r>
                    <w:rPr>
                      <w:color w:val="auto"/>
                      <w:szCs w:val="21"/>
                    </w:rPr>
                    <w:t>符合</w:t>
                  </w:r>
                </w:p>
              </w:tc>
            </w:tr>
          </w:tbl>
          <w:p w14:paraId="1B0E3494">
            <w:pPr>
              <w:pStyle w:val="79"/>
              <w:ind w:firstLine="422"/>
              <w:rPr>
                <w:rFonts w:hAnsi="宋体"/>
                <w:b/>
                <w:bCs/>
                <w:color w:val="auto"/>
                <w:sz w:val="21"/>
                <w:szCs w:val="21"/>
              </w:rPr>
            </w:pPr>
          </w:p>
          <w:p w14:paraId="4B485D5E">
            <w:pPr>
              <w:widowControl/>
              <w:spacing w:line="360" w:lineRule="auto"/>
              <w:ind w:firstLine="422" w:firstLineChars="200"/>
              <w:jc w:val="left"/>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（21）</w:t>
            </w:r>
            <w:r>
              <w:rPr>
                <w:rFonts w:hint="eastAsia" w:ascii="Times New Roman" w:hAnsi="Times New Roman" w:eastAsia="宋体" w:cs="Times New Roman"/>
                <w:b/>
                <w:bCs/>
                <w:color w:val="auto"/>
                <w:szCs w:val="21"/>
                <w:lang w:val="en-US" w:eastAsia="zh-CN"/>
              </w:rPr>
              <w:t>与《南通市国土空间总体规划(2021-2035 年)》中“三区三线”相符性分析</w:t>
            </w:r>
          </w:p>
          <w:p w14:paraId="60DA1E2D">
            <w:pPr>
              <w:widowControl/>
              <w:spacing w:line="360" w:lineRule="auto"/>
              <w:ind w:firstLine="420" w:firstLineChars="200"/>
              <w:jc w:val="left"/>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根据《省政府关于&lt;南通市国土空间总体规划(2021-2035 年)&gt;的批复》(苏政复[2023124号)，南通市耕地保有量不低于577.1700万亩，其中永久基本农田保护面积不低于525.0370万亩；生态保护红线面积不低于2534.2677 平方千米，其中，海洋生态保护红线面积不低于2480.7760平方千米；城镇开发边界扩展倍数控制在基于2020年城镇建设用地规模的1.3573倍；大陆自然岸线保有率不低于省级下达任务，其中2025年不低于25.94%；除国家重大项目外，全面禁止围填海。本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ascii="Times New Roman" w:hAnsi="Times New Roman" w:eastAsia="宋体" w:cs="Times New Roman"/>
                <w:b w:val="0"/>
                <w:bCs w:val="0"/>
                <w:color w:val="auto"/>
                <w:szCs w:val="21"/>
                <w:lang w:val="en-US" w:eastAsia="zh-CN"/>
              </w:rPr>
              <w:t>，该区域在城镇开发边界范围内（详见附图10），因此不涉及永久基本农田、生态保护红线，与《南通市国土空间总体规划(2021-2035 年)》中“三区三线”要求相符。</w:t>
            </w:r>
          </w:p>
          <w:p w14:paraId="79FC5C0D">
            <w:pPr>
              <w:widowControl/>
              <w:spacing w:line="360" w:lineRule="auto"/>
              <w:ind w:firstLine="422" w:firstLineChars="200"/>
              <w:jc w:val="left"/>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（22）</w:t>
            </w:r>
            <w:r>
              <w:rPr>
                <w:rFonts w:hint="default" w:ascii="Times New Roman" w:hAnsi="Times New Roman" w:eastAsia="宋体" w:cs="Times New Roman"/>
                <w:b/>
                <w:bCs/>
                <w:color w:val="auto"/>
                <w:szCs w:val="21"/>
                <w:lang w:val="en-US" w:eastAsia="zh-CN"/>
              </w:rPr>
              <w:t>与《</w:t>
            </w:r>
            <w:r>
              <w:rPr>
                <w:rFonts w:hint="eastAsia" w:cs="Times New Roman"/>
                <w:b/>
                <w:bCs/>
                <w:color w:val="auto"/>
                <w:szCs w:val="21"/>
                <w:lang w:val="en-US" w:eastAsia="zh-CN"/>
              </w:rPr>
              <w:t>如皋市</w:t>
            </w:r>
            <w:r>
              <w:rPr>
                <w:rFonts w:hint="default" w:ascii="Times New Roman" w:hAnsi="Times New Roman" w:eastAsia="宋体" w:cs="Times New Roman"/>
                <w:b/>
                <w:bCs/>
                <w:color w:val="auto"/>
                <w:szCs w:val="21"/>
                <w:lang w:val="en-US" w:eastAsia="zh-CN"/>
              </w:rPr>
              <w:t xml:space="preserve">国土空间总体规划（2021-2035 年）》中“三区三线”的相符性分析 </w:t>
            </w:r>
          </w:p>
          <w:p w14:paraId="546F8DBD">
            <w:pPr>
              <w:widowControl/>
              <w:spacing w:line="360" w:lineRule="auto"/>
              <w:ind w:firstLine="420" w:firstLineChars="200"/>
              <w:jc w:val="left"/>
              <w:rPr>
                <w:rFonts w:hint="eastAsia"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szCs w:val="21"/>
                <w:lang w:val="en-US" w:eastAsia="zh-CN"/>
              </w:rPr>
              <w:t>根据《省政府关于南通市海门区、如东县、启东市、如皋市、海安市国土空间总体规划（2021</w:t>
            </w:r>
            <w:r>
              <w:rPr>
                <w:rFonts w:hint="default" w:ascii="Times New Roman" w:hAnsi="Times New Roman" w:eastAsia="宋体" w:cs="Times New Roman"/>
                <w:b w:val="0"/>
                <w:bCs w:val="0"/>
                <w:color w:val="auto"/>
                <w:szCs w:val="21"/>
                <w:lang w:val="en-US" w:eastAsia="zh-CN"/>
              </w:rPr>
              <w:t>－2035年）的批复》（苏政复〔2023〕43号</w:t>
            </w:r>
            <w:r>
              <w:rPr>
                <w:rFonts w:hint="eastAsia" w:ascii="Times New Roman" w:hAnsi="Times New Roman" w:eastAsia="宋体" w:cs="Times New Roman"/>
                <w:b w:val="0"/>
                <w:bCs w:val="0"/>
                <w:color w:val="auto"/>
                <w:szCs w:val="21"/>
                <w:lang w:val="en-US" w:eastAsia="zh-CN"/>
              </w:rPr>
              <w:t>）</w:t>
            </w:r>
            <w:r>
              <w:rPr>
                <w:rFonts w:hint="default" w:ascii="Times New Roman" w:hAnsi="Times New Roman" w:eastAsia="宋体" w:cs="Times New Roman"/>
                <w:b w:val="0"/>
                <w:bCs w:val="0"/>
                <w:color w:val="auto"/>
                <w:szCs w:val="21"/>
                <w:lang w:val="en-US" w:eastAsia="zh-CN"/>
              </w:rPr>
              <w:t>规定:至2035年，</w:t>
            </w:r>
            <w:r>
              <w:rPr>
                <w:rFonts w:hint="eastAsia" w:ascii="Times New Roman" w:hAnsi="Times New Roman" w:eastAsia="宋体" w:cs="Times New Roman"/>
                <w:b w:val="0"/>
                <w:bCs w:val="0"/>
                <w:color w:val="auto"/>
                <w:szCs w:val="21"/>
                <w:lang w:val="en-US" w:eastAsia="zh-CN"/>
              </w:rPr>
              <w:t>如皋市耕地保有量不低于106.1502万亩（永久基本农田保护面积不低于98.6200万亩），生态保护红线面积不低于9.9015平方千米，城镇开发边界扩展倍数控制在基于2020年城镇建设用地规模的1.3370倍。</w:t>
            </w:r>
            <w:r>
              <w:rPr>
                <w:rFonts w:hint="default" w:ascii="Times New Roman" w:hAnsi="Times New Roman" w:eastAsia="宋体" w:cs="Times New Roman"/>
                <w:b w:val="0"/>
                <w:bCs w:val="0"/>
                <w:color w:val="auto"/>
                <w:szCs w:val="21"/>
                <w:lang w:val="en-US" w:eastAsia="zh-CN"/>
              </w:rPr>
              <w:t>本项</w:t>
            </w:r>
            <w:r>
              <w:rPr>
                <w:rFonts w:hint="default" w:ascii="Times New Roman" w:hAnsi="Times New Roman" w:eastAsia="宋体" w:cs="Times New Roman"/>
                <w:color w:val="auto"/>
                <w:szCs w:val="21"/>
                <w:lang w:val="en-US" w:eastAsia="zh-CN"/>
              </w:rPr>
              <w:t>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ascii="Times New Roman" w:hAnsi="Times New Roman" w:eastAsia="宋体" w:cs="Times New Roman"/>
                <w:color w:val="auto"/>
                <w:szCs w:val="21"/>
                <w:lang w:val="en-US" w:eastAsia="zh-CN"/>
              </w:rPr>
              <w:t>，位于城镇开发边界内（详见附图11），不</w:t>
            </w:r>
            <w:r>
              <w:rPr>
                <w:rFonts w:hint="default" w:ascii="Times New Roman" w:hAnsi="Times New Roman" w:eastAsia="宋体" w:cs="Times New Roman"/>
                <w:color w:val="auto"/>
                <w:szCs w:val="21"/>
                <w:lang w:val="en-US" w:eastAsia="zh-CN"/>
              </w:rPr>
              <w:t>占用耕地、生态保护红线等保护区域，</w:t>
            </w:r>
            <w:r>
              <w:rPr>
                <w:rFonts w:hint="eastAsia" w:ascii="Times New Roman" w:hAnsi="Times New Roman" w:eastAsia="宋体" w:cs="Times New Roman"/>
                <w:color w:val="auto"/>
                <w:szCs w:val="21"/>
                <w:lang w:val="en-US" w:eastAsia="zh-CN"/>
              </w:rPr>
              <w:t>因此本项目</w:t>
            </w:r>
            <w:r>
              <w:rPr>
                <w:rFonts w:hint="default" w:ascii="Times New Roman" w:hAnsi="Times New Roman" w:eastAsia="宋体" w:cs="Times New Roman"/>
                <w:color w:val="auto"/>
                <w:szCs w:val="21"/>
                <w:lang w:val="en-US" w:eastAsia="zh-CN"/>
              </w:rPr>
              <w:t>与《</w:t>
            </w:r>
            <w:r>
              <w:rPr>
                <w:rFonts w:hint="eastAsia" w:ascii="Times New Roman" w:hAnsi="Times New Roman" w:eastAsia="宋体" w:cs="Times New Roman"/>
                <w:color w:val="auto"/>
                <w:szCs w:val="21"/>
                <w:lang w:val="en-US" w:eastAsia="zh-CN"/>
              </w:rPr>
              <w:t>如皋市</w:t>
            </w:r>
            <w:r>
              <w:rPr>
                <w:rFonts w:hint="default" w:ascii="Times New Roman" w:hAnsi="Times New Roman" w:eastAsia="宋体" w:cs="Times New Roman"/>
                <w:color w:val="auto"/>
                <w:szCs w:val="21"/>
                <w:lang w:val="en-US" w:eastAsia="zh-CN"/>
              </w:rPr>
              <w:t>国土空间总体规划（2021-2035 年）》中“三区三线”要求相符。</w:t>
            </w:r>
          </w:p>
          <w:p w14:paraId="7D776ED0">
            <w:pPr>
              <w:widowControl/>
              <w:spacing w:line="360" w:lineRule="auto"/>
              <w:ind w:firstLine="422" w:firstLineChars="200"/>
              <w:jc w:val="lef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w:t>
            </w:r>
            <w:r>
              <w:rPr>
                <w:rFonts w:hint="eastAsia" w:cs="Times New Roman"/>
                <w:b/>
                <w:bCs/>
                <w:color w:val="auto"/>
                <w:szCs w:val="21"/>
                <w:lang w:val="en-US" w:eastAsia="zh-CN"/>
              </w:rPr>
              <w:t>3</w:t>
            </w:r>
            <w:r>
              <w:rPr>
                <w:rFonts w:hint="eastAsia" w:ascii="Times New Roman" w:hAnsi="Times New Roman" w:eastAsia="宋体" w:cs="Times New Roman"/>
                <w:b/>
                <w:bCs/>
                <w:color w:val="auto"/>
                <w:szCs w:val="21"/>
                <w:lang w:val="en-US" w:eastAsia="zh-CN"/>
              </w:rPr>
              <w:t>）与《关于印发&lt;江苏省“两高”项目管理目录(2024年版)&gt;的通知》（苏发改规发〔2024〕4号）相符性分析</w:t>
            </w:r>
          </w:p>
          <w:p w14:paraId="20F00F12">
            <w:pPr>
              <w:widowControl/>
              <w:spacing w:line="360" w:lineRule="auto"/>
              <w:ind w:firstLine="420" w:firstLineChars="200"/>
              <w:jc w:val="left"/>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对照《关于印发&lt;江苏省“两高”项目管理目录(2024年版)&gt;的通知》（苏发改规发〔2024〕4号），</w:t>
            </w:r>
            <w:r>
              <w:rPr>
                <w:rFonts w:hint="default" w:ascii="Times New Roman" w:hAnsi="Times New Roman" w:eastAsia="宋体" w:cs="Times New Roman"/>
                <w:b w:val="0"/>
                <w:bCs w:val="0"/>
                <w:color w:val="auto"/>
                <w:szCs w:val="21"/>
                <w:lang w:val="en-US" w:eastAsia="zh-CN"/>
              </w:rPr>
              <w:t>本项目属于</w:t>
            </w:r>
            <w:r>
              <w:rPr>
                <w:color w:val="auto"/>
                <w:szCs w:val="21"/>
              </w:rPr>
              <w:t>C3392</w:t>
            </w:r>
            <w:r>
              <w:rPr>
                <w:rFonts w:hint="eastAsia"/>
                <w:color w:val="auto"/>
                <w:szCs w:val="21"/>
              </w:rPr>
              <w:t>有色金属铸造</w:t>
            </w:r>
            <w:r>
              <w:rPr>
                <w:rFonts w:hint="eastAsia" w:ascii="Times New Roman" w:hAnsi="Times New Roman" w:eastAsia="宋体" w:cs="Times New Roman"/>
                <w:b w:val="0"/>
                <w:bCs w:val="0"/>
                <w:color w:val="auto"/>
                <w:szCs w:val="21"/>
                <w:lang w:val="en-US" w:eastAsia="zh-CN"/>
              </w:rPr>
              <w:t>，产品为铝合金铸件，不在《江苏省“两高”项目管理目录（2024年版）》所列的“两高”产品范围内，符合《关于印发&lt;江苏省“两高”项目管理目录(2024年版)&gt;的通知》（苏发改规发〔2024〕4号）</w:t>
            </w:r>
            <w:r>
              <w:rPr>
                <w:rFonts w:hint="default" w:ascii="Times New Roman" w:hAnsi="Times New Roman" w:eastAsia="宋体" w:cs="Times New Roman"/>
                <w:b w:val="0"/>
                <w:bCs w:val="0"/>
                <w:color w:val="auto"/>
                <w:szCs w:val="21"/>
                <w:lang w:val="en-US" w:eastAsia="zh-CN"/>
              </w:rPr>
              <w:t>。</w:t>
            </w:r>
          </w:p>
          <w:p w14:paraId="190375B2">
            <w:pPr>
              <w:pStyle w:val="24"/>
              <w:rPr>
                <w:color w:val="auto"/>
              </w:rPr>
            </w:pPr>
          </w:p>
          <w:p w14:paraId="78F9866F">
            <w:pPr>
              <w:pStyle w:val="24"/>
              <w:rPr>
                <w:color w:val="auto"/>
              </w:rPr>
            </w:pPr>
          </w:p>
          <w:p w14:paraId="56EC4D4D">
            <w:pPr>
              <w:pStyle w:val="24"/>
              <w:rPr>
                <w:color w:val="auto"/>
              </w:rPr>
            </w:pPr>
          </w:p>
          <w:p w14:paraId="0BC7089F">
            <w:pPr>
              <w:pStyle w:val="24"/>
              <w:rPr>
                <w:color w:val="auto"/>
              </w:rPr>
            </w:pPr>
          </w:p>
          <w:p w14:paraId="6649C192">
            <w:pPr>
              <w:pStyle w:val="24"/>
              <w:rPr>
                <w:color w:val="auto"/>
              </w:rPr>
            </w:pPr>
          </w:p>
          <w:p w14:paraId="1CA3EBB0">
            <w:pPr>
              <w:pStyle w:val="24"/>
              <w:rPr>
                <w:color w:val="auto"/>
              </w:rPr>
            </w:pPr>
          </w:p>
          <w:p w14:paraId="50C42C23">
            <w:pPr>
              <w:pStyle w:val="24"/>
              <w:rPr>
                <w:color w:val="auto"/>
              </w:rPr>
            </w:pPr>
          </w:p>
          <w:p w14:paraId="20B3D909">
            <w:pPr>
              <w:pStyle w:val="24"/>
              <w:rPr>
                <w:color w:val="auto"/>
              </w:rPr>
            </w:pPr>
          </w:p>
          <w:p w14:paraId="1FC54179">
            <w:pPr>
              <w:pStyle w:val="24"/>
              <w:rPr>
                <w:color w:val="auto"/>
              </w:rPr>
            </w:pPr>
          </w:p>
          <w:p w14:paraId="2E3FA641">
            <w:pPr>
              <w:pStyle w:val="24"/>
              <w:ind w:left="0" w:leftChars="0" w:firstLine="0" w:firstLineChars="0"/>
              <w:rPr>
                <w:color w:val="auto"/>
              </w:rPr>
            </w:pPr>
          </w:p>
        </w:tc>
      </w:tr>
    </w:tbl>
    <w:p w14:paraId="51D8DC5C">
      <w:pPr>
        <w:pStyle w:val="2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二、建设项目工程分析</w:t>
      </w:r>
    </w:p>
    <w:tbl>
      <w:tblPr>
        <w:tblStyle w:val="2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3"/>
        <w:gridCol w:w="8573"/>
      </w:tblGrid>
      <w:tr w14:paraId="78EF0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7" w:hRule="atLeast"/>
        </w:trPr>
        <w:tc>
          <w:tcPr>
            <w:tcW w:w="383" w:type="pct"/>
            <w:noWrap w:val="0"/>
            <w:vAlign w:val="center"/>
          </w:tcPr>
          <w:p w14:paraId="176665FA">
            <w:pPr>
              <w:pStyle w:val="22"/>
              <w:adjustRightInd w:val="0"/>
              <w:snapToGrid w:val="0"/>
              <w:spacing w:before="0" w:beforeAutospacing="0" w:after="0" w:afterAutospacing="0" w:line="320" w:lineRule="exact"/>
              <w:jc w:val="center"/>
              <w:rPr>
                <w:rFonts w:ascii="Times New Roman" w:hAnsi="Times New Roman"/>
                <w:color w:val="auto"/>
                <w:sz w:val="21"/>
                <w:szCs w:val="21"/>
              </w:rPr>
            </w:pPr>
            <w:r>
              <w:rPr>
                <w:rFonts w:ascii="Times New Roman" w:hAnsi="Times New Roman"/>
                <w:color w:val="auto"/>
                <w:sz w:val="21"/>
                <w:szCs w:val="21"/>
              </w:rPr>
              <w:t>建设内容</w:t>
            </w:r>
          </w:p>
        </w:tc>
        <w:tc>
          <w:tcPr>
            <w:tcW w:w="4616" w:type="pct"/>
            <w:noWrap w:val="0"/>
            <w:vAlign w:val="top"/>
          </w:tcPr>
          <w:p w14:paraId="39640AE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b/>
                <w:color w:val="auto"/>
                <w:szCs w:val="21"/>
              </w:rPr>
            </w:pPr>
            <w:r>
              <w:rPr>
                <w:rFonts w:ascii="Times New Roman" w:hAnsi="Times New Roman"/>
                <w:b/>
                <w:color w:val="auto"/>
                <w:szCs w:val="21"/>
              </w:rPr>
              <w:t>1、项目由来</w:t>
            </w:r>
          </w:p>
          <w:p w14:paraId="43A47BEE">
            <w:pPr>
              <w:keepNext w:val="0"/>
              <w:keepLines w:val="0"/>
              <w:pageBreakBefore w:val="0"/>
              <w:widowControl w:val="0"/>
              <w:kinsoku/>
              <w:wordWrap/>
              <w:overflowPunct/>
              <w:topLinePunct w:val="0"/>
              <w:autoSpaceDE/>
              <w:autoSpaceDN/>
              <w:bidi w:val="0"/>
              <w:spacing w:line="360" w:lineRule="auto"/>
              <w:ind w:firstLine="42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如皋市迪普机械科技有限公司成立于2023年12月22日，位于如皋市城北街道陆姚居二十五组188号，经营范围包括一</w:t>
            </w:r>
            <w:r>
              <w:rPr>
                <w:rFonts w:hint="eastAsia" w:ascii="Times New Roman" w:hAnsi="Times New Roman" w:eastAsia="宋体" w:cs="Times New Roman"/>
                <w:color w:val="auto"/>
                <w:sz w:val="21"/>
                <w:szCs w:val="21"/>
              </w:rPr>
              <w:t>般项目</w:t>
            </w:r>
            <w:r>
              <w:rPr>
                <w:rFonts w:ascii="Helvetica" w:hAnsi="Helvetica" w:eastAsia="Helvetica" w:cs="Helvetica"/>
                <w:i w:val="0"/>
                <w:iCs w:val="0"/>
                <w:caps w:val="0"/>
                <w:color w:val="auto"/>
                <w:spacing w:val="0"/>
                <w:sz w:val="21"/>
                <w:szCs w:val="21"/>
                <w:shd w:val="clear" w:fill="FFFFFF"/>
              </w:rPr>
              <w:t>：技术服务、技术开发、技术咨询、技术交流、技术转让、技术推广；通用设备制造（不含特种设备制造）；通用零部件制造；机械电气设备制造；机械设备销售；机械电气设备销售；金属加工机械制造；电子专用设备制造；金属工具制造；金属工具销售；金属制品销售；模具制造；模具销售；机械零件、零部件加工；机械零件、零部件销售；金属切削加工服务（除依法须经批准的项目外，凭营业执照依法自主开展经营活动）</w:t>
            </w:r>
            <w:r>
              <w:rPr>
                <w:rFonts w:hint="eastAsia" w:ascii="Times New Roman" w:hAnsi="Times New Roman" w:eastAsia="宋体" w:cs="Times New Roman"/>
                <w:color w:val="auto"/>
                <w:sz w:val="21"/>
                <w:szCs w:val="21"/>
                <w:lang w:eastAsia="zh-CN"/>
              </w:rPr>
              <w:t>。</w:t>
            </w:r>
          </w:p>
          <w:p w14:paraId="306DECD7">
            <w:pPr>
              <w:keepNext w:val="0"/>
              <w:keepLines w:val="0"/>
              <w:pageBreakBefore w:val="0"/>
              <w:widowControl w:val="0"/>
              <w:kinsoku/>
              <w:wordWrap/>
              <w:overflowPunct/>
              <w:topLinePunct w:val="0"/>
              <w:autoSpaceDE/>
              <w:autoSpaceDN/>
              <w:bidi w:val="0"/>
              <w:spacing w:line="360" w:lineRule="auto"/>
              <w:ind w:firstLine="42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为满足</w:t>
            </w:r>
            <w:r>
              <w:rPr>
                <w:rFonts w:hint="eastAsia" w:cs="Times New Roman"/>
                <w:color w:val="auto"/>
                <w:sz w:val="21"/>
                <w:szCs w:val="21"/>
                <w:lang w:val="en-US" w:eastAsia="zh-CN"/>
              </w:rPr>
              <w:t>市场</w:t>
            </w:r>
            <w:r>
              <w:rPr>
                <w:rFonts w:hint="eastAsia"/>
                <w:color w:val="auto"/>
              </w:rPr>
              <w:t>铝</w:t>
            </w:r>
            <w:r>
              <w:rPr>
                <w:rFonts w:hint="eastAsia"/>
                <w:color w:val="auto"/>
                <w:lang w:val="en-US" w:eastAsia="zh-CN"/>
              </w:rPr>
              <w:t>合金铸件</w:t>
            </w:r>
            <w:r>
              <w:rPr>
                <w:rFonts w:hint="eastAsia" w:ascii="Times New Roman" w:hAnsi="Times New Roman" w:eastAsia="宋体" w:cs="Times New Roman"/>
                <w:color w:val="auto"/>
                <w:sz w:val="21"/>
                <w:szCs w:val="21"/>
                <w:lang w:val="en-US" w:eastAsia="zh-CN"/>
              </w:rPr>
              <w:t>的需求，企业</w:t>
            </w:r>
            <w:r>
              <w:rPr>
                <w:rFonts w:hint="eastAsia" w:ascii="Times New Roman" w:hAnsi="Times New Roman" w:eastAsia="宋体" w:cs="Times New Roman"/>
                <w:color w:val="auto"/>
                <w:sz w:val="21"/>
                <w:szCs w:val="21"/>
              </w:rPr>
              <w:t>投资</w:t>
            </w:r>
            <w:r>
              <w:rPr>
                <w:rFonts w:hint="eastAsia" w:cs="Times New Roman"/>
                <w:color w:val="auto"/>
                <w:sz w:val="21"/>
                <w:szCs w:val="21"/>
                <w:lang w:val="en-US" w:eastAsia="zh-CN"/>
              </w:rPr>
              <w:t>50</w:t>
            </w:r>
            <w:r>
              <w:rPr>
                <w:rFonts w:hint="eastAsia" w:ascii="Times New Roman" w:hAnsi="Times New Roman" w:eastAsia="宋体" w:cs="Times New Roman"/>
                <w:color w:val="auto"/>
                <w:sz w:val="21"/>
                <w:szCs w:val="21"/>
              </w:rPr>
              <w:t>00万元，租赁</w:t>
            </w:r>
            <w:r>
              <w:rPr>
                <w:rFonts w:hint="eastAsia" w:cs="Times New Roman"/>
                <w:color w:val="auto"/>
                <w:sz w:val="21"/>
                <w:szCs w:val="21"/>
                <w:lang w:val="en-US" w:eastAsia="zh-CN"/>
              </w:rPr>
              <w:t>万恒如（南通市雨霖市政园林有限公司）</w:t>
            </w:r>
            <w:r>
              <w:rPr>
                <w:rFonts w:hint="eastAsia" w:ascii="Times New Roman" w:hAnsi="Times New Roman" w:eastAsia="宋体" w:cs="Times New Roman"/>
                <w:color w:val="auto"/>
                <w:sz w:val="21"/>
                <w:szCs w:val="21"/>
              </w:rPr>
              <w:t>闲置厂房</w:t>
            </w:r>
            <w:r>
              <w:rPr>
                <w:rFonts w:hint="eastAsia" w:ascii="Times New Roman" w:hAnsi="Times New Roman"/>
                <w:color w:val="auto"/>
                <w:szCs w:val="21"/>
              </w:rPr>
              <w:t>1</w:t>
            </w:r>
            <w:r>
              <w:rPr>
                <w:rFonts w:hint="eastAsia" w:ascii="Times New Roman" w:hAnsi="Times New Roman"/>
                <w:color w:val="auto"/>
                <w:szCs w:val="21"/>
                <w:lang w:val="en-US" w:eastAsia="zh-CN"/>
              </w:rPr>
              <w:t>315</w:t>
            </w:r>
            <w:r>
              <w:rPr>
                <w:rFonts w:hint="eastAsia" w:ascii="Times New Roman" w:hAnsi="Times New Roman" w:eastAsia="宋体" w:cs="Times New Roman"/>
                <w:color w:val="auto"/>
                <w:sz w:val="21"/>
                <w:szCs w:val="21"/>
              </w:rPr>
              <w:t>平</w:t>
            </w:r>
            <w:r>
              <w:rPr>
                <w:color w:val="auto"/>
                <w:sz w:val="21"/>
                <w:szCs w:val="21"/>
              </w:rPr>
              <w:t>方米，购置</w:t>
            </w:r>
            <w:r>
              <w:rPr>
                <w:rFonts w:hint="eastAsia"/>
                <w:color w:val="auto"/>
                <w:szCs w:val="21"/>
              </w:rPr>
              <w:t>电坩埚熔化炉</w:t>
            </w:r>
            <w:r>
              <w:rPr>
                <w:rFonts w:hint="eastAsia"/>
                <w:color w:val="auto"/>
                <w:szCs w:val="21"/>
                <w:lang w:eastAsia="zh-CN"/>
              </w:rPr>
              <w:t>、</w:t>
            </w:r>
            <w:r>
              <w:rPr>
                <w:rFonts w:hint="eastAsia"/>
                <w:color w:val="auto"/>
                <w:szCs w:val="21"/>
                <w:lang w:val="en-US" w:eastAsia="zh-CN"/>
              </w:rPr>
              <w:t>重力浇注机器人、卧式加工中心</w:t>
            </w:r>
            <w:r>
              <w:rPr>
                <w:rFonts w:hint="eastAsia" w:ascii="Times New Roman" w:hAnsi="Times New Roman" w:eastAsia="宋体" w:cs="Times New Roman"/>
                <w:color w:val="auto"/>
                <w:sz w:val="21"/>
                <w:szCs w:val="21"/>
              </w:rPr>
              <w:t>等</w:t>
            </w:r>
            <w:r>
              <w:rPr>
                <w:rFonts w:hint="eastAsia" w:cs="Times New Roman"/>
                <w:color w:val="auto"/>
                <w:sz w:val="21"/>
                <w:szCs w:val="21"/>
                <w:lang w:val="en-US" w:eastAsia="zh-CN"/>
              </w:rPr>
              <w:t>34</w:t>
            </w:r>
            <w:r>
              <w:rPr>
                <w:rFonts w:hint="eastAsia" w:ascii="Times New Roman" w:hAnsi="Times New Roman" w:eastAsia="宋体" w:cs="Times New Roman"/>
                <w:color w:val="auto"/>
                <w:sz w:val="21"/>
                <w:szCs w:val="21"/>
              </w:rPr>
              <w:t>台（套）设备实施</w:t>
            </w:r>
            <w:r>
              <w:rPr>
                <w:rFonts w:hint="eastAsia"/>
                <w:color w:val="auto"/>
              </w:rPr>
              <w:t>铝</w:t>
            </w:r>
            <w:r>
              <w:rPr>
                <w:rFonts w:hint="eastAsia"/>
                <w:color w:val="auto"/>
                <w:lang w:val="en-US" w:eastAsia="zh-CN"/>
              </w:rPr>
              <w:t>合金精密制造</w:t>
            </w:r>
            <w:r>
              <w:rPr>
                <w:rFonts w:hint="eastAsia" w:ascii="Times New Roman" w:hAnsi="Times New Roman" w:eastAsia="宋体" w:cs="Times New Roman"/>
                <w:color w:val="auto"/>
                <w:sz w:val="21"/>
                <w:szCs w:val="21"/>
              </w:rPr>
              <w:t>项目。项目建成投产后，</w:t>
            </w:r>
            <w:r>
              <w:rPr>
                <w:rFonts w:hint="eastAsia" w:ascii="Times New Roman" w:hAnsi="Times New Roman" w:eastAsia="宋体" w:cs="Times New Roman"/>
                <w:color w:val="auto"/>
                <w:sz w:val="21"/>
                <w:szCs w:val="21"/>
                <w:lang w:val="en-US" w:eastAsia="zh-CN"/>
              </w:rPr>
              <w:t>具备</w:t>
            </w:r>
            <w:r>
              <w:rPr>
                <w:rFonts w:hint="eastAsia" w:ascii="Times New Roman" w:hAnsi="Times New Roman" w:eastAsia="宋体" w:cs="Times New Roman"/>
                <w:color w:val="auto"/>
                <w:sz w:val="21"/>
                <w:szCs w:val="21"/>
              </w:rPr>
              <w:t>年产</w:t>
            </w:r>
            <w:r>
              <w:rPr>
                <w:rFonts w:hint="eastAsia" w:cs="Times New Roman"/>
                <w:color w:val="auto"/>
                <w:sz w:val="21"/>
                <w:szCs w:val="21"/>
                <w:lang w:val="en-US" w:eastAsia="zh-CN"/>
              </w:rPr>
              <w:t>3000吨铝合金铸件</w:t>
            </w:r>
            <w:r>
              <w:rPr>
                <w:rFonts w:hint="eastAsia" w:ascii="Times New Roman" w:hAnsi="Times New Roman" w:eastAsia="宋体" w:cs="Times New Roman"/>
                <w:color w:val="auto"/>
                <w:sz w:val="21"/>
                <w:szCs w:val="21"/>
                <w:lang w:val="en-US" w:eastAsia="zh-CN"/>
              </w:rPr>
              <w:t>的生产能力</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产品</w:t>
            </w:r>
            <w:r>
              <w:rPr>
                <w:rFonts w:hint="eastAsia" w:cs="Times New Roman"/>
                <w:color w:val="auto"/>
                <w:sz w:val="21"/>
                <w:szCs w:val="21"/>
                <w:lang w:val="en-US" w:eastAsia="zh-CN"/>
              </w:rPr>
              <w:t>主要</w:t>
            </w:r>
            <w:r>
              <w:rPr>
                <w:rFonts w:hint="eastAsia" w:cs="Times New Roman"/>
                <w:color w:val="auto"/>
                <w:sz w:val="21"/>
                <w:szCs w:val="21"/>
                <w:lang w:eastAsia="zh-CN"/>
              </w:rPr>
              <w:t>用途</w:t>
            </w:r>
            <w:r>
              <w:rPr>
                <w:rFonts w:hint="eastAsia" w:cs="Times New Roman"/>
                <w:color w:val="auto"/>
                <w:sz w:val="21"/>
                <w:szCs w:val="21"/>
                <w:lang w:val="en-US" w:eastAsia="zh-CN"/>
              </w:rPr>
              <w:t>于电力系统及汽车制造。</w:t>
            </w:r>
          </w:p>
          <w:p w14:paraId="61B15843">
            <w:pPr>
              <w:pStyle w:val="8"/>
              <w:adjustRightInd w:val="0"/>
              <w:snapToGrid w:val="0"/>
              <w:spacing w:line="360" w:lineRule="auto"/>
              <w:ind w:firstLine="480"/>
              <w:rPr>
                <w:color w:val="auto"/>
                <w:sz w:val="21"/>
                <w:szCs w:val="21"/>
              </w:rPr>
            </w:pPr>
            <w:r>
              <w:rPr>
                <w:rFonts w:hint="eastAsia"/>
                <w:color w:val="auto"/>
                <w:sz w:val="21"/>
                <w:szCs w:val="21"/>
              </w:rPr>
              <w:t>根据《中华人民共和国环境保护法》（2015年1月1日施行）、《建设项目环境保护管理条例》（国令第682号），建设过程中或者建成投产后可能对环境产生影响的新建、扩建、改建、迁建、技术改造项目及区域开发建设项目，必须进行环境影响评价。对照《国民经济行业分类》（GB/T4754-2017），项目属于C3392有色金属铸造；对照《建设项目环境影响评价分类管理名录》（2021年版），本项目属于三十、金属制品业33、铸造及其他金属制品制造 339中其他（仅分割、焊接、组装的除外），因此项目需编制环境影响报告表。</w:t>
            </w:r>
          </w:p>
          <w:p w14:paraId="085744B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如皋市迪普机械科技</w:t>
            </w:r>
            <w:r>
              <w:rPr>
                <w:rFonts w:hint="eastAsia" w:ascii="Times New Roman" w:hAnsi="Times New Roman" w:eastAsia="宋体" w:cs="Times New Roman"/>
                <w:color w:val="auto"/>
                <w:sz w:val="21"/>
                <w:szCs w:val="21"/>
              </w:rPr>
              <w:t>有限公司</w:t>
            </w:r>
            <w:r>
              <w:rPr>
                <w:rFonts w:ascii="Times New Roman" w:hAnsi="Times New Roman"/>
                <w:color w:val="auto"/>
                <w:szCs w:val="21"/>
              </w:rPr>
              <w:t>委托我单位</w:t>
            </w:r>
            <w:r>
              <w:rPr>
                <w:rFonts w:hint="eastAsia"/>
                <w:color w:val="auto"/>
                <w:szCs w:val="21"/>
                <w:lang w:val="en-US" w:eastAsia="zh-CN"/>
              </w:rPr>
              <w:t>南通叁陆零环保技术有限公司</w:t>
            </w:r>
            <w:r>
              <w:rPr>
                <w:rFonts w:ascii="Times New Roman" w:hAnsi="Times New Roman"/>
                <w:color w:val="auto"/>
                <w:szCs w:val="21"/>
              </w:rPr>
              <w:t>开展该项目环境影响评价工</w:t>
            </w:r>
            <w:r>
              <w:rPr>
                <w:rFonts w:hint="eastAsia" w:ascii="Times New Roman" w:hAnsi="Times New Roman" w:eastAsia="宋体" w:cs="Times New Roman"/>
                <w:color w:val="auto"/>
                <w:sz w:val="21"/>
                <w:szCs w:val="21"/>
                <w:lang w:val="en-US" w:eastAsia="zh-CN"/>
              </w:rPr>
              <w:t>作。我公司接受委托后，环评工作组进行了实地踏勘和资料收集，在工程分析的基础上，编制了本环境影响报告表。</w:t>
            </w:r>
          </w:p>
          <w:p w14:paraId="78C0ECB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2、项目概况</w:t>
            </w:r>
          </w:p>
          <w:p w14:paraId="561AFDF3">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2.1项目组成</w:t>
            </w:r>
          </w:p>
          <w:p w14:paraId="37A26C0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（1）主体工程</w:t>
            </w:r>
          </w:p>
          <w:p w14:paraId="7AB61FF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本项目租赁万恒如（南通市雨霖市政园林有限公司）闲置厂房1315平方米，建筑物见表2-1</w:t>
            </w:r>
            <w:r>
              <w:rPr>
                <w:rFonts w:hint="eastAsia"/>
                <w:color w:val="auto"/>
                <w:sz w:val="21"/>
                <w:szCs w:val="21"/>
                <w:lang w:val="en-US" w:eastAsia="zh-CN"/>
              </w:rPr>
              <w:t>。</w:t>
            </w:r>
          </w:p>
          <w:p w14:paraId="308B75F0">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b/>
                <w:bCs/>
                <w:color w:val="auto"/>
                <w:sz w:val="21"/>
                <w:szCs w:val="21"/>
              </w:rPr>
            </w:pPr>
            <w:r>
              <w:rPr>
                <w:b/>
                <w:bCs/>
                <w:color w:val="auto"/>
                <w:sz w:val="21"/>
                <w:szCs w:val="21"/>
              </w:rPr>
              <w:t>表2-</w:t>
            </w:r>
            <w:r>
              <w:rPr>
                <w:rFonts w:hint="eastAsia"/>
                <w:b/>
                <w:bCs/>
                <w:color w:val="auto"/>
                <w:sz w:val="21"/>
                <w:szCs w:val="21"/>
              </w:rPr>
              <w:t>1</w:t>
            </w:r>
            <w:r>
              <w:rPr>
                <w:b/>
                <w:bCs/>
                <w:color w:val="auto"/>
                <w:sz w:val="21"/>
                <w:szCs w:val="21"/>
              </w:rPr>
              <w:t xml:space="preserve">  </w:t>
            </w:r>
            <w:r>
              <w:rPr>
                <w:rFonts w:hint="eastAsia"/>
                <w:b/>
                <w:bCs/>
                <w:color w:val="auto"/>
                <w:sz w:val="21"/>
                <w:szCs w:val="21"/>
              </w:rPr>
              <w:t>建设</w:t>
            </w:r>
            <w:r>
              <w:rPr>
                <w:b/>
                <w:bCs/>
                <w:color w:val="auto"/>
                <w:sz w:val="21"/>
                <w:szCs w:val="21"/>
              </w:rPr>
              <w:t>项目产品方案</w:t>
            </w:r>
            <w:r>
              <w:rPr>
                <w:rFonts w:hint="eastAsia"/>
                <w:b/>
                <w:bCs/>
                <w:color w:val="auto"/>
                <w:sz w:val="21"/>
                <w:szCs w:val="21"/>
              </w:rPr>
              <w:t>一览表</w:t>
            </w:r>
          </w:p>
          <w:tbl>
            <w:tblPr>
              <w:tblStyle w:val="25"/>
              <w:tblW w:w="84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517"/>
              <w:gridCol w:w="1376"/>
              <w:gridCol w:w="1365"/>
              <w:gridCol w:w="1276"/>
              <w:gridCol w:w="1559"/>
            </w:tblGrid>
            <w:tr w14:paraId="73C28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784" w:type="pct"/>
                  <w:noWrap w:val="0"/>
                  <w:vAlign w:val="center"/>
                </w:tcPr>
                <w:p w14:paraId="05C06C89">
                  <w:pPr>
                    <w:pStyle w:val="43"/>
                    <w:rPr>
                      <w:rFonts w:hint="default"/>
                      <w:b/>
                      <w:color w:val="auto"/>
                      <w:lang w:val="en-US" w:eastAsia="zh-CN"/>
                    </w:rPr>
                  </w:pPr>
                  <w:r>
                    <w:rPr>
                      <w:rFonts w:hint="eastAsia"/>
                      <w:b/>
                      <w:color w:val="auto"/>
                      <w:lang w:val="en-US" w:eastAsia="zh-CN"/>
                    </w:rPr>
                    <w:t>构筑物名称</w:t>
                  </w:r>
                </w:p>
              </w:tc>
              <w:tc>
                <w:tcPr>
                  <w:tcW w:w="901" w:type="pct"/>
                  <w:noWrap w:val="0"/>
                  <w:vAlign w:val="center"/>
                </w:tcPr>
                <w:p w14:paraId="315088A6">
                  <w:pPr>
                    <w:pStyle w:val="43"/>
                    <w:rPr>
                      <w:rFonts w:hint="default"/>
                      <w:b/>
                      <w:color w:val="auto"/>
                      <w:lang w:val="en-US" w:eastAsia="zh-CN"/>
                    </w:rPr>
                  </w:pPr>
                  <w:r>
                    <w:rPr>
                      <w:rFonts w:hint="eastAsia"/>
                      <w:b/>
                      <w:color w:val="auto"/>
                      <w:lang w:val="en-US" w:eastAsia="zh-CN"/>
                    </w:rPr>
                    <w:t>主要功能</w:t>
                  </w:r>
                </w:p>
              </w:tc>
              <w:tc>
                <w:tcPr>
                  <w:tcW w:w="817" w:type="pct"/>
                  <w:noWrap w:val="0"/>
                  <w:vAlign w:val="center"/>
                </w:tcPr>
                <w:p w14:paraId="02FA729B">
                  <w:pPr>
                    <w:pStyle w:val="43"/>
                    <w:rPr>
                      <w:rFonts w:hint="default"/>
                      <w:b/>
                      <w:color w:val="auto"/>
                      <w:lang w:val="en-US" w:eastAsia="zh-CN"/>
                    </w:rPr>
                  </w:pPr>
                  <w:r>
                    <w:rPr>
                      <w:rFonts w:hint="eastAsia"/>
                      <w:b/>
                      <w:color w:val="auto"/>
                      <w:lang w:val="en-US" w:eastAsia="zh-CN"/>
                    </w:rPr>
                    <w:t>面积（m</w:t>
                  </w:r>
                  <w:r>
                    <w:rPr>
                      <w:rFonts w:hint="eastAsia"/>
                      <w:b/>
                      <w:color w:val="auto"/>
                      <w:vertAlign w:val="superscript"/>
                      <w:lang w:val="en-US" w:eastAsia="zh-CN"/>
                    </w:rPr>
                    <w:t>2</w:t>
                  </w:r>
                  <w:r>
                    <w:rPr>
                      <w:rFonts w:hint="eastAsia"/>
                      <w:b/>
                      <w:color w:val="auto"/>
                      <w:lang w:val="en-US" w:eastAsia="zh-CN"/>
                    </w:rPr>
                    <w:t>）</w:t>
                  </w:r>
                </w:p>
              </w:tc>
              <w:tc>
                <w:tcPr>
                  <w:tcW w:w="811" w:type="pct"/>
                  <w:noWrap w:val="0"/>
                  <w:vAlign w:val="center"/>
                </w:tcPr>
                <w:p w14:paraId="0375F8FA">
                  <w:pPr>
                    <w:pStyle w:val="43"/>
                    <w:rPr>
                      <w:rFonts w:hint="default"/>
                      <w:b/>
                      <w:color w:val="auto"/>
                      <w:lang w:val="en-US" w:eastAsia="zh-CN"/>
                    </w:rPr>
                  </w:pPr>
                  <w:r>
                    <w:rPr>
                      <w:rFonts w:hint="eastAsia"/>
                      <w:b/>
                      <w:color w:val="auto"/>
                      <w:lang w:val="en-US" w:eastAsia="zh-CN"/>
                    </w:rPr>
                    <w:t>高度（m）</w:t>
                  </w:r>
                </w:p>
              </w:tc>
              <w:tc>
                <w:tcPr>
                  <w:tcW w:w="758" w:type="pct"/>
                  <w:noWrap w:val="0"/>
                  <w:vAlign w:val="center"/>
                </w:tcPr>
                <w:p w14:paraId="1D9AF1EC">
                  <w:pPr>
                    <w:pStyle w:val="43"/>
                    <w:rPr>
                      <w:rFonts w:hint="default"/>
                      <w:b/>
                      <w:color w:val="auto"/>
                      <w:lang w:val="en-US" w:eastAsia="zh-CN"/>
                    </w:rPr>
                  </w:pPr>
                  <w:r>
                    <w:rPr>
                      <w:rFonts w:hint="eastAsia"/>
                      <w:b/>
                      <w:color w:val="auto"/>
                      <w:lang w:val="en-US" w:eastAsia="zh-CN"/>
                    </w:rPr>
                    <w:t>防火等级</w:t>
                  </w:r>
                </w:p>
              </w:tc>
              <w:tc>
                <w:tcPr>
                  <w:tcW w:w="926" w:type="pct"/>
                  <w:noWrap w:val="0"/>
                  <w:vAlign w:val="center"/>
                </w:tcPr>
                <w:p w14:paraId="07511261">
                  <w:pPr>
                    <w:pStyle w:val="43"/>
                    <w:rPr>
                      <w:rFonts w:hint="default"/>
                      <w:b/>
                      <w:color w:val="auto"/>
                      <w:lang w:val="en-US" w:eastAsia="zh-CN"/>
                    </w:rPr>
                  </w:pPr>
                  <w:r>
                    <w:rPr>
                      <w:rFonts w:hint="eastAsia"/>
                      <w:b/>
                      <w:color w:val="auto"/>
                      <w:lang w:val="en-US" w:eastAsia="zh-CN"/>
                    </w:rPr>
                    <w:t>备注</w:t>
                  </w:r>
                </w:p>
              </w:tc>
            </w:tr>
            <w:tr w14:paraId="352B0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784" w:type="pct"/>
                  <w:noWrap w:val="0"/>
                  <w:vAlign w:val="center"/>
                </w:tcPr>
                <w:p w14:paraId="17E4FA0B">
                  <w:pPr>
                    <w:jc w:val="center"/>
                    <w:rPr>
                      <w:rFonts w:hint="default" w:hAnsi="宋体"/>
                      <w:color w:val="auto"/>
                      <w:kern w:val="0"/>
                      <w:szCs w:val="21"/>
                      <w:lang w:val="en-US" w:eastAsia="zh-CN"/>
                    </w:rPr>
                  </w:pPr>
                  <w:r>
                    <w:rPr>
                      <w:rFonts w:hint="eastAsia" w:hAnsi="宋体"/>
                      <w:color w:val="auto"/>
                      <w:kern w:val="0"/>
                      <w:szCs w:val="21"/>
                      <w:lang w:val="en-US" w:eastAsia="zh-CN"/>
                    </w:rPr>
                    <w:t>生产车间</w:t>
                  </w:r>
                </w:p>
              </w:tc>
              <w:tc>
                <w:tcPr>
                  <w:tcW w:w="901" w:type="pct"/>
                  <w:noWrap w:val="0"/>
                  <w:vAlign w:val="center"/>
                </w:tcPr>
                <w:p w14:paraId="50907985">
                  <w:pPr>
                    <w:jc w:val="center"/>
                    <w:rPr>
                      <w:rFonts w:hint="default"/>
                      <w:color w:val="auto"/>
                      <w:szCs w:val="21"/>
                      <w:lang w:val="en-US" w:eastAsia="zh-CN"/>
                    </w:rPr>
                  </w:pPr>
                  <w:r>
                    <w:rPr>
                      <w:rFonts w:hint="eastAsia"/>
                      <w:color w:val="auto"/>
                      <w:szCs w:val="21"/>
                      <w:lang w:val="en-US" w:eastAsia="zh-CN"/>
                    </w:rPr>
                    <w:t>原料仓库、生产区、成品仓库</w:t>
                  </w:r>
                </w:p>
              </w:tc>
              <w:tc>
                <w:tcPr>
                  <w:tcW w:w="817" w:type="pct"/>
                  <w:noWrap w:val="0"/>
                  <w:vAlign w:val="center"/>
                </w:tcPr>
                <w:p w14:paraId="1A00195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1315</w:t>
                  </w:r>
                </w:p>
              </w:tc>
              <w:tc>
                <w:tcPr>
                  <w:tcW w:w="811" w:type="pct"/>
                  <w:noWrap w:val="0"/>
                  <w:vAlign w:val="center"/>
                </w:tcPr>
                <w:p w14:paraId="35433DED">
                  <w:pPr>
                    <w:jc w:val="center"/>
                    <w:rPr>
                      <w:rFonts w:hint="default" w:cs="Times New Roman"/>
                      <w:color w:val="auto"/>
                      <w:szCs w:val="21"/>
                      <w:lang w:val="en-US" w:eastAsia="zh-CN"/>
                    </w:rPr>
                  </w:pPr>
                  <w:r>
                    <w:rPr>
                      <w:rFonts w:hint="eastAsia" w:cs="Times New Roman"/>
                      <w:color w:val="auto"/>
                      <w:szCs w:val="21"/>
                      <w:lang w:val="en-US" w:eastAsia="zh-CN"/>
                    </w:rPr>
                    <w:t>7.6</w:t>
                  </w:r>
                </w:p>
              </w:tc>
              <w:tc>
                <w:tcPr>
                  <w:tcW w:w="758" w:type="pct"/>
                  <w:noWrap w:val="0"/>
                  <w:vAlign w:val="center"/>
                </w:tcPr>
                <w:p w14:paraId="58549BE4">
                  <w:pPr>
                    <w:pStyle w:val="43"/>
                    <w:rPr>
                      <w:rFonts w:hint="default"/>
                      <w:color w:val="auto"/>
                      <w:lang w:val="en-US" w:eastAsia="zh-CN"/>
                    </w:rPr>
                  </w:pPr>
                  <w:r>
                    <w:rPr>
                      <w:rFonts w:hint="eastAsia"/>
                      <w:color w:val="auto"/>
                      <w:lang w:val="en-US" w:eastAsia="zh-CN"/>
                    </w:rPr>
                    <w:t>丁类</w:t>
                  </w:r>
                </w:p>
              </w:tc>
              <w:tc>
                <w:tcPr>
                  <w:tcW w:w="926" w:type="pct"/>
                  <w:noWrap w:val="0"/>
                  <w:vAlign w:val="center"/>
                </w:tcPr>
                <w:p w14:paraId="78F33094">
                  <w:pPr>
                    <w:pStyle w:val="43"/>
                    <w:rPr>
                      <w:rFonts w:hint="default"/>
                      <w:color w:val="auto"/>
                      <w:lang w:val="en-US" w:eastAsia="zh-CN"/>
                    </w:rPr>
                  </w:pPr>
                  <w:r>
                    <w:rPr>
                      <w:rFonts w:hint="eastAsia"/>
                      <w:color w:val="auto"/>
                      <w:lang w:val="en-US" w:eastAsia="zh-CN"/>
                    </w:rPr>
                    <w:t>生产区包括熔融、制芯、浇注、落砂、打磨、机加工等生产工序</w:t>
                  </w:r>
                </w:p>
              </w:tc>
            </w:tr>
          </w:tbl>
          <w:p w14:paraId="6865F7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b/>
                <w:color w:val="auto"/>
                <w:kern w:val="0"/>
                <w:sz w:val="21"/>
                <w:szCs w:val="21"/>
              </w:rPr>
            </w:pPr>
            <w:r>
              <w:rPr>
                <w:rFonts w:hint="eastAsia"/>
                <w:b/>
                <w:color w:val="auto"/>
                <w:kern w:val="0"/>
                <w:sz w:val="21"/>
                <w:szCs w:val="21"/>
                <w:lang w:eastAsia="zh-CN"/>
              </w:rPr>
              <w:t>（</w:t>
            </w:r>
            <w:r>
              <w:rPr>
                <w:rFonts w:hint="eastAsia"/>
                <w:b/>
                <w:color w:val="auto"/>
                <w:kern w:val="0"/>
                <w:sz w:val="21"/>
                <w:szCs w:val="21"/>
                <w:lang w:val="en-US" w:eastAsia="zh-CN"/>
              </w:rPr>
              <w:t>2</w:t>
            </w:r>
            <w:r>
              <w:rPr>
                <w:rFonts w:hint="eastAsia"/>
                <w:b/>
                <w:color w:val="auto"/>
                <w:kern w:val="0"/>
                <w:sz w:val="21"/>
                <w:szCs w:val="21"/>
                <w:lang w:eastAsia="zh-CN"/>
              </w:rPr>
              <w:t>）</w:t>
            </w:r>
            <w:r>
              <w:rPr>
                <w:b/>
                <w:color w:val="auto"/>
                <w:kern w:val="0"/>
                <w:sz w:val="21"/>
                <w:szCs w:val="21"/>
              </w:rPr>
              <w:t>公辅工程</w:t>
            </w:r>
          </w:p>
          <w:p w14:paraId="02D566F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auto"/>
                <w:sz w:val="21"/>
                <w:szCs w:val="21"/>
              </w:rPr>
            </w:pPr>
            <w:r>
              <w:rPr>
                <w:color w:val="auto"/>
                <w:sz w:val="21"/>
                <w:szCs w:val="21"/>
              </w:rPr>
              <w:t>①供水</w:t>
            </w:r>
          </w:p>
          <w:p w14:paraId="33B7880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1"/>
                <w:szCs w:val="21"/>
              </w:rPr>
            </w:pPr>
            <w:r>
              <w:rPr>
                <w:rFonts w:hint="eastAsia"/>
                <w:color w:val="auto"/>
                <w:sz w:val="21"/>
                <w:szCs w:val="21"/>
              </w:rPr>
              <w:t>本项目用水由如皋市政给水管网供水，用水量约</w:t>
            </w:r>
            <w:r>
              <w:rPr>
                <w:rFonts w:hint="eastAsia"/>
                <w:color w:val="auto"/>
                <w:sz w:val="21"/>
                <w:szCs w:val="21"/>
                <w:lang w:val="en-US" w:eastAsia="zh-CN"/>
              </w:rPr>
              <w:t>663.9</w:t>
            </w:r>
            <w:r>
              <w:rPr>
                <w:rFonts w:hint="eastAsia"/>
                <w:color w:val="auto"/>
                <w:sz w:val="21"/>
                <w:szCs w:val="21"/>
              </w:rPr>
              <w:t>m</w:t>
            </w:r>
            <w:r>
              <w:rPr>
                <w:rFonts w:hint="eastAsia"/>
                <w:color w:val="auto"/>
                <w:sz w:val="21"/>
                <w:szCs w:val="21"/>
                <w:vertAlign w:val="superscript"/>
              </w:rPr>
              <w:t>3</w:t>
            </w:r>
            <w:r>
              <w:rPr>
                <w:rFonts w:hint="eastAsia"/>
                <w:color w:val="auto"/>
                <w:sz w:val="21"/>
                <w:szCs w:val="21"/>
              </w:rPr>
              <w:t>/a，主要为生活用水</w:t>
            </w:r>
            <w:r>
              <w:rPr>
                <w:rFonts w:hint="eastAsia"/>
                <w:color w:val="auto"/>
                <w:sz w:val="21"/>
                <w:szCs w:val="21"/>
                <w:lang w:val="en-US" w:eastAsia="zh-CN"/>
              </w:rPr>
              <w:t>、冷却水、超声波清洗用水、切削液配水</w:t>
            </w:r>
            <w:r>
              <w:rPr>
                <w:rFonts w:hint="eastAsia"/>
                <w:color w:val="auto"/>
                <w:sz w:val="21"/>
                <w:szCs w:val="21"/>
              </w:rPr>
              <w:t>。</w:t>
            </w:r>
          </w:p>
          <w:p w14:paraId="692250A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auto"/>
                <w:sz w:val="21"/>
                <w:szCs w:val="21"/>
              </w:rPr>
            </w:pPr>
            <w:r>
              <w:rPr>
                <w:color w:val="auto"/>
                <w:sz w:val="21"/>
                <w:szCs w:val="21"/>
              </w:rPr>
              <w:t>②排水</w:t>
            </w:r>
          </w:p>
          <w:p w14:paraId="2043F3E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hAnsi="宋体" w:eastAsia="宋体"/>
                <w:color w:val="auto"/>
                <w:sz w:val="21"/>
                <w:szCs w:val="21"/>
                <w:lang w:val="en-US" w:eastAsia="zh-CN"/>
              </w:rPr>
            </w:pPr>
            <w:r>
              <w:rPr>
                <w:rFonts w:hint="eastAsia"/>
                <w:color w:val="auto"/>
                <w:sz w:val="21"/>
                <w:szCs w:val="21"/>
              </w:rPr>
              <w:t>本项目</w:t>
            </w:r>
            <w:r>
              <w:rPr>
                <w:rFonts w:hint="eastAsia" w:hAnsi="宋体"/>
                <w:color w:val="auto"/>
                <w:sz w:val="21"/>
                <w:szCs w:val="21"/>
              </w:rPr>
              <w:t>实行“雨污分流”制，</w:t>
            </w:r>
            <w:r>
              <w:rPr>
                <w:color w:val="auto"/>
                <w:sz w:val="21"/>
                <w:szCs w:val="21"/>
                <w:shd w:val="clear" w:color="auto" w:fill="FFFFFF"/>
              </w:rPr>
              <w:t>雨水经收集后排入雨水管网</w:t>
            </w:r>
            <w:r>
              <w:rPr>
                <w:rFonts w:hint="eastAsia"/>
                <w:color w:val="auto"/>
                <w:sz w:val="21"/>
                <w:szCs w:val="21"/>
                <w:shd w:val="clear" w:color="auto" w:fill="FFFFFF"/>
                <w:lang w:eastAsia="zh-CN"/>
              </w:rPr>
              <w:t>；</w:t>
            </w:r>
            <w:r>
              <w:rPr>
                <w:rFonts w:hint="eastAsia"/>
                <w:color w:val="auto"/>
                <w:sz w:val="21"/>
                <w:szCs w:val="21"/>
              </w:rPr>
              <w:t>生活污水经化粪池</w:t>
            </w:r>
            <w:r>
              <w:rPr>
                <w:rFonts w:hint="eastAsia"/>
                <w:color w:val="auto"/>
                <w:sz w:val="21"/>
                <w:szCs w:val="21"/>
                <w:lang w:val="en-US" w:eastAsia="zh-CN"/>
              </w:rPr>
              <w:t>处理后</w:t>
            </w:r>
            <w:r>
              <w:rPr>
                <w:rFonts w:hint="eastAsia" w:ascii="Times New Roman" w:hAnsi="Times New Roman"/>
                <w:color w:val="auto"/>
                <w:lang w:val="en-US" w:eastAsia="zh-CN"/>
              </w:rPr>
              <w:t>用作液态肥料</w:t>
            </w:r>
            <w:r>
              <w:rPr>
                <w:rFonts w:hint="eastAsia"/>
                <w:color w:val="auto"/>
                <w:sz w:val="21"/>
                <w:szCs w:val="21"/>
                <w:lang w:val="en-US" w:eastAsia="zh-CN"/>
              </w:rPr>
              <w:t>；冷却水、超声波清洗水循环使用定期作为危废处理</w:t>
            </w:r>
            <w:r>
              <w:rPr>
                <w:rFonts w:ascii="Times New Roman" w:hAnsi="Times New Roman" w:eastAsia="宋体"/>
                <w:color w:val="auto"/>
                <w:szCs w:val="21"/>
              </w:rPr>
              <w:t>。</w:t>
            </w:r>
            <w:r>
              <w:rPr>
                <w:rFonts w:hint="eastAsia"/>
                <w:color w:val="auto"/>
                <w:szCs w:val="21"/>
                <w:lang w:val="en-US" w:eastAsia="zh-CN"/>
              </w:rPr>
              <w:t xml:space="preserve">                      </w:t>
            </w:r>
          </w:p>
          <w:p w14:paraId="6B1F2B0B">
            <w:pPr>
              <w:pageBreakBefore w:val="0"/>
              <w:kinsoku/>
              <w:wordWrap/>
              <w:overflowPunct/>
              <w:topLinePunct w:val="0"/>
              <w:autoSpaceDE/>
              <w:autoSpaceDN/>
              <w:bidi w:val="0"/>
              <w:adjustRightInd/>
              <w:snapToGrid/>
              <w:spacing w:line="360" w:lineRule="auto"/>
              <w:ind w:firstLine="420"/>
              <w:textAlignment w:val="auto"/>
              <w:rPr>
                <w:rFonts w:hint="eastAsia" w:hAnsi="宋体"/>
                <w:color w:val="auto"/>
                <w:sz w:val="21"/>
                <w:szCs w:val="21"/>
                <w:lang w:val="en-US" w:eastAsia="zh-CN"/>
              </w:rPr>
            </w:pPr>
            <w:r>
              <w:rPr>
                <w:rFonts w:hint="eastAsia" w:hAnsi="宋体"/>
                <w:color w:val="auto"/>
                <w:sz w:val="21"/>
                <w:szCs w:val="21"/>
                <w:lang w:val="en-US" w:eastAsia="zh-CN"/>
              </w:rPr>
              <w:t>③供电</w:t>
            </w:r>
          </w:p>
          <w:p w14:paraId="7FC304F2">
            <w:pPr>
              <w:pageBreakBefore w:val="0"/>
              <w:kinsoku/>
              <w:wordWrap/>
              <w:overflowPunct/>
              <w:topLinePunct w:val="0"/>
              <w:autoSpaceDE/>
              <w:autoSpaceDN/>
              <w:bidi w:val="0"/>
              <w:adjustRightInd/>
              <w:snapToGrid/>
              <w:spacing w:line="360" w:lineRule="auto"/>
              <w:ind w:firstLine="420"/>
              <w:textAlignment w:val="auto"/>
              <w:rPr>
                <w:rFonts w:hAnsi="宋体"/>
                <w:color w:val="auto"/>
                <w:sz w:val="21"/>
                <w:szCs w:val="21"/>
              </w:rPr>
            </w:pPr>
            <w:r>
              <w:rPr>
                <w:rFonts w:hint="eastAsia" w:hAnsi="宋体"/>
                <w:color w:val="auto"/>
                <w:sz w:val="21"/>
                <w:szCs w:val="21"/>
              </w:rPr>
              <w:t>本项目</w:t>
            </w:r>
            <w:r>
              <w:rPr>
                <w:rFonts w:hAnsi="宋体"/>
                <w:color w:val="auto"/>
                <w:sz w:val="21"/>
                <w:szCs w:val="21"/>
              </w:rPr>
              <w:t>年用电量</w:t>
            </w:r>
            <w:r>
              <w:rPr>
                <w:rFonts w:hint="eastAsia" w:hAnsi="宋体"/>
                <w:color w:val="auto"/>
                <w:sz w:val="21"/>
                <w:szCs w:val="21"/>
                <w:lang w:val="en-US" w:eastAsia="zh-CN"/>
              </w:rPr>
              <w:t>107</w:t>
            </w:r>
            <w:r>
              <w:rPr>
                <w:color w:val="auto"/>
                <w:sz w:val="21"/>
                <w:szCs w:val="21"/>
              </w:rPr>
              <w:t>万kW·h</w:t>
            </w:r>
            <w:r>
              <w:rPr>
                <w:rFonts w:hAnsi="宋体"/>
                <w:color w:val="auto"/>
                <w:sz w:val="21"/>
                <w:szCs w:val="21"/>
              </w:rPr>
              <w:t>，由如皋市政电网</w:t>
            </w:r>
            <w:r>
              <w:rPr>
                <w:rFonts w:hint="eastAsia" w:hAnsi="宋体"/>
                <w:color w:val="auto"/>
                <w:sz w:val="21"/>
                <w:szCs w:val="21"/>
                <w:lang w:val="en-US" w:eastAsia="zh-CN"/>
              </w:rPr>
              <w:t>或安装光伏</w:t>
            </w:r>
            <w:r>
              <w:rPr>
                <w:rFonts w:hAnsi="宋体"/>
                <w:color w:val="auto"/>
                <w:sz w:val="21"/>
                <w:szCs w:val="21"/>
              </w:rPr>
              <w:t>提供，供电可靠，可以满足</w:t>
            </w:r>
            <w:r>
              <w:rPr>
                <w:rFonts w:hint="eastAsia" w:hAnsi="宋体"/>
                <w:color w:val="auto"/>
                <w:sz w:val="21"/>
                <w:szCs w:val="21"/>
              </w:rPr>
              <w:t>本项目</w:t>
            </w:r>
            <w:r>
              <w:rPr>
                <w:rFonts w:hAnsi="宋体"/>
                <w:color w:val="auto"/>
                <w:sz w:val="21"/>
                <w:szCs w:val="21"/>
              </w:rPr>
              <w:t>的需求。</w:t>
            </w:r>
          </w:p>
          <w:p w14:paraId="346BA018">
            <w:pPr>
              <w:adjustRightInd w:val="0"/>
              <w:snapToGrid w:val="0"/>
              <w:spacing w:line="360" w:lineRule="auto"/>
              <w:ind w:firstLine="420" w:firstLineChars="200"/>
              <w:rPr>
                <w:rFonts w:hint="eastAsia"/>
                <w:color w:val="auto"/>
              </w:rPr>
            </w:pPr>
            <w:r>
              <w:rPr>
                <w:rFonts w:hint="eastAsia"/>
                <w:color w:val="auto"/>
                <w:lang w:val="en-US" w:eastAsia="zh-CN"/>
              </w:rPr>
              <w:t>④</w:t>
            </w:r>
            <w:r>
              <w:rPr>
                <w:rFonts w:hint="eastAsia"/>
                <w:color w:val="auto"/>
              </w:rPr>
              <w:t>空压系统</w:t>
            </w:r>
          </w:p>
          <w:p w14:paraId="47F1DA95">
            <w:pPr>
              <w:adjustRightInd w:val="0"/>
              <w:snapToGrid w:val="0"/>
              <w:spacing w:line="360" w:lineRule="auto"/>
              <w:ind w:firstLine="420"/>
              <w:rPr>
                <w:color w:val="auto"/>
              </w:rPr>
            </w:pPr>
            <w:r>
              <w:rPr>
                <w:rFonts w:hint="eastAsia"/>
                <w:color w:val="auto"/>
              </w:rPr>
              <w:t>项目新配置</w:t>
            </w:r>
            <w:r>
              <w:rPr>
                <w:rFonts w:hint="eastAsia"/>
                <w:color w:val="auto"/>
                <w:lang w:val="en-US" w:eastAsia="zh-CN"/>
              </w:rPr>
              <w:t>1</w:t>
            </w:r>
            <w:r>
              <w:rPr>
                <w:rFonts w:hint="eastAsia"/>
                <w:color w:val="auto"/>
              </w:rPr>
              <w:t>台无油空压机，空压系统供气能力为</w:t>
            </w:r>
            <w:r>
              <w:rPr>
                <w:rFonts w:hint="eastAsia"/>
                <w:color w:val="auto"/>
                <w:lang w:val="en-US" w:eastAsia="zh-CN"/>
              </w:rPr>
              <w:t>3.6</w:t>
            </w:r>
            <w:r>
              <w:rPr>
                <w:rFonts w:hint="eastAsia"/>
                <w:color w:val="auto"/>
              </w:rPr>
              <w:t>m</w:t>
            </w:r>
            <w:r>
              <w:rPr>
                <w:rFonts w:hint="eastAsia"/>
                <w:color w:val="auto"/>
                <w:vertAlign w:val="superscript"/>
              </w:rPr>
              <w:t>3</w:t>
            </w:r>
            <w:r>
              <w:rPr>
                <w:rFonts w:hint="eastAsia"/>
                <w:color w:val="auto"/>
              </w:rPr>
              <w:t>/min。满足生产需求。</w:t>
            </w:r>
          </w:p>
          <w:p w14:paraId="1AF647F4">
            <w:pPr>
              <w:adjustRightInd w:val="0"/>
              <w:snapToGrid w:val="0"/>
              <w:spacing w:line="360" w:lineRule="auto"/>
              <w:ind w:firstLine="420" w:firstLineChars="200"/>
              <w:rPr>
                <w:rFonts w:hint="eastAsia" w:ascii="Times New Roman" w:hAnsi="Times New Roman" w:eastAsia="宋体" w:cs="Times New Roman"/>
                <w:color w:val="auto"/>
                <w:lang w:val="en-US" w:eastAsia="zh-CN"/>
              </w:rPr>
            </w:pPr>
            <w:r>
              <w:rPr>
                <w:rFonts w:hint="eastAsia" w:ascii="宋体" w:hAnsi="宋体"/>
                <w:color w:val="auto"/>
                <w:kern w:val="0"/>
                <w:sz w:val="21"/>
                <w:szCs w:val="21"/>
                <w:lang w:val="en-US" w:eastAsia="zh-CN"/>
              </w:rPr>
              <w:t>⑤环保</w:t>
            </w:r>
            <w:r>
              <w:rPr>
                <w:rFonts w:hint="eastAsia" w:ascii="Times New Roman" w:hAnsi="Times New Roman" w:eastAsia="宋体" w:cs="Times New Roman"/>
                <w:color w:val="auto"/>
                <w:lang w:val="en-US" w:eastAsia="zh-CN"/>
              </w:rPr>
              <w:t>工程</w:t>
            </w:r>
          </w:p>
          <w:p w14:paraId="2F053DF4">
            <w:pPr>
              <w:adjustRightInd w:val="0"/>
              <w:snapToGrid w:val="0"/>
              <w:spacing w:line="360" w:lineRule="auto"/>
              <w:ind w:firstLine="480"/>
              <w:rPr>
                <w:rFonts w:hint="default" w:eastAsia="宋体"/>
                <w:color w:val="auto"/>
                <w:szCs w:val="21"/>
                <w:lang w:val="en-US" w:eastAsia="zh-CN"/>
              </w:rPr>
            </w:pPr>
            <w:r>
              <w:rPr>
                <w:rFonts w:hint="eastAsia" w:ascii="Times New Roman" w:hAnsi="Times New Roman" w:eastAsia="宋体" w:cs="Times New Roman"/>
                <w:color w:val="auto"/>
                <w:lang w:val="en-US" w:eastAsia="zh-CN"/>
              </w:rPr>
              <w:t>废气：</w:t>
            </w:r>
            <w:r>
              <w:rPr>
                <w:rFonts w:hint="eastAsia"/>
                <w:color w:val="auto"/>
                <w:szCs w:val="21"/>
              </w:rPr>
              <w:t>制芯、浇注废气集气罩收集后经布袋除尘+二级活性炭吸附装置处理后，尾气经15m高排气筒（DA001）排放；熔融</w:t>
            </w:r>
            <w:r>
              <w:rPr>
                <w:rFonts w:hint="eastAsia"/>
                <w:color w:val="auto"/>
                <w:szCs w:val="21"/>
                <w:lang w:eastAsia="zh-CN"/>
              </w:rPr>
              <w:t>、</w:t>
            </w:r>
            <w:r>
              <w:rPr>
                <w:rFonts w:hint="eastAsia"/>
                <w:color w:val="auto"/>
                <w:szCs w:val="21"/>
                <w:lang w:val="en-US" w:eastAsia="zh-CN"/>
              </w:rPr>
              <w:t>打磨抛光废气集气罩收集后经</w:t>
            </w:r>
            <w:r>
              <w:rPr>
                <w:rFonts w:hint="eastAsia"/>
                <w:color w:val="auto"/>
                <w:szCs w:val="21"/>
              </w:rPr>
              <w:t>布袋除尘</w:t>
            </w:r>
            <w:r>
              <w:rPr>
                <w:rFonts w:hint="eastAsia"/>
                <w:color w:val="auto"/>
                <w:szCs w:val="21"/>
                <w:lang w:val="en-US" w:eastAsia="zh-CN"/>
              </w:rPr>
              <w:t>装置处</w:t>
            </w:r>
            <w:r>
              <w:rPr>
                <w:rFonts w:hint="eastAsia"/>
                <w:color w:val="auto"/>
                <w:szCs w:val="21"/>
              </w:rPr>
              <w:t>理</w:t>
            </w:r>
            <w:r>
              <w:rPr>
                <w:rFonts w:hint="eastAsia"/>
                <w:color w:val="auto"/>
                <w:szCs w:val="21"/>
                <w:lang w:val="en-US" w:eastAsia="zh-CN"/>
              </w:rPr>
              <w:t>后，尾气经15m高排气筒（DA002）排放</w:t>
            </w:r>
            <w:r>
              <w:rPr>
                <w:rFonts w:hint="eastAsia"/>
                <w:color w:val="auto"/>
                <w:szCs w:val="21"/>
                <w:lang w:eastAsia="zh-CN"/>
              </w:rPr>
              <w:t>；</w:t>
            </w:r>
            <w:r>
              <w:rPr>
                <w:rFonts w:hint="eastAsia"/>
                <w:color w:val="auto"/>
                <w:szCs w:val="21"/>
              </w:rPr>
              <w:t>落砂废气集气罩收集后经布袋除尘装置处理后，</w:t>
            </w:r>
            <w:r>
              <w:rPr>
                <w:rFonts w:hint="eastAsia"/>
                <w:color w:val="auto"/>
                <w:szCs w:val="21"/>
                <w:lang w:val="en-US" w:eastAsia="zh-CN"/>
              </w:rPr>
              <w:t>尾气</w:t>
            </w:r>
            <w:r>
              <w:rPr>
                <w:rFonts w:hint="eastAsia"/>
                <w:color w:val="auto"/>
                <w:szCs w:val="21"/>
              </w:rPr>
              <w:t>经15m</w:t>
            </w:r>
            <w:r>
              <w:rPr>
                <w:rFonts w:hint="eastAsia"/>
                <w:color w:val="auto"/>
                <w:szCs w:val="21"/>
                <w:lang w:val="en-US" w:eastAsia="zh-CN"/>
              </w:rPr>
              <w:t>高</w:t>
            </w:r>
            <w:r>
              <w:rPr>
                <w:rFonts w:hint="eastAsia"/>
                <w:color w:val="auto"/>
                <w:szCs w:val="21"/>
              </w:rPr>
              <w:t>排气筒（DA00</w:t>
            </w:r>
            <w:r>
              <w:rPr>
                <w:rFonts w:hint="eastAsia"/>
                <w:color w:val="auto"/>
                <w:szCs w:val="21"/>
                <w:lang w:val="en-US" w:eastAsia="zh-CN"/>
              </w:rPr>
              <w:t>3</w:t>
            </w:r>
            <w:r>
              <w:rPr>
                <w:rFonts w:hint="eastAsia"/>
                <w:color w:val="auto"/>
                <w:szCs w:val="21"/>
              </w:rPr>
              <w:t>）排放</w:t>
            </w:r>
            <w:r>
              <w:rPr>
                <w:rFonts w:hint="eastAsia"/>
                <w:color w:val="auto"/>
                <w:szCs w:val="21"/>
                <w:lang w:eastAsia="zh-CN"/>
              </w:rPr>
              <w:t>；</w:t>
            </w:r>
            <w:r>
              <w:rPr>
                <w:rFonts w:hint="eastAsia" w:cs="Times New Roman"/>
                <w:color w:val="auto"/>
                <w:szCs w:val="21"/>
                <w:lang w:val="en-US" w:eastAsia="zh-CN"/>
              </w:rPr>
              <w:t>机加工废气</w:t>
            </w:r>
            <w:r>
              <w:rPr>
                <w:rFonts w:hint="eastAsia" w:ascii="Times New Roman" w:hAnsi="Times New Roman" w:eastAsia="宋体" w:cs="Times New Roman"/>
                <w:color w:val="auto"/>
                <w:szCs w:val="21"/>
                <w:lang w:val="en-US" w:eastAsia="zh-CN"/>
              </w:rPr>
              <w:t>无组织排放</w:t>
            </w:r>
            <w:r>
              <w:rPr>
                <w:rFonts w:hint="eastAsia"/>
                <w:color w:val="auto"/>
                <w:szCs w:val="21"/>
              </w:rPr>
              <w:t>。</w:t>
            </w:r>
            <w:r>
              <w:rPr>
                <w:rFonts w:hint="eastAsia"/>
                <w:color w:val="auto"/>
                <w:szCs w:val="21"/>
                <w:lang w:val="en-US" w:eastAsia="zh-CN"/>
              </w:rPr>
              <w:t xml:space="preserve">      </w:t>
            </w:r>
          </w:p>
          <w:p w14:paraId="3C75AD12">
            <w:pPr>
              <w:adjustRightInd w:val="0"/>
              <w:snapToGrid w:val="0"/>
              <w:spacing w:line="360" w:lineRule="auto"/>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w:t>
            </w:r>
            <w:r>
              <w:rPr>
                <w:rFonts w:hint="eastAsia" w:ascii="Times New Roman" w:hAnsi="Times New Roman" w:eastAsia="宋体" w:cs="Times New Roman"/>
                <w:color w:val="auto"/>
              </w:rPr>
              <w:t>生活污水经化粪池</w:t>
            </w:r>
            <w:r>
              <w:rPr>
                <w:rFonts w:hint="eastAsia" w:ascii="Times New Roman" w:hAnsi="Times New Roman" w:eastAsia="宋体" w:cs="Times New Roman"/>
                <w:color w:val="auto"/>
                <w:lang w:val="en-US" w:eastAsia="zh-CN"/>
              </w:rPr>
              <w:t>处理后</w:t>
            </w:r>
            <w:r>
              <w:rPr>
                <w:rFonts w:hint="eastAsia" w:ascii="Times New Roman" w:hAnsi="Times New Roman"/>
                <w:color w:val="auto"/>
                <w:lang w:val="en-US" w:eastAsia="zh-CN"/>
              </w:rPr>
              <w:t>用作液态肥料</w:t>
            </w:r>
            <w:r>
              <w:rPr>
                <w:rFonts w:hint="eastAsia" w:ascii="Times New Roman" w:hAnsi="Times New Roman" w:eastAsia="宋体" w:cs="Times New Roman"/>
                <w:color w:val="auto"/>
              </w:rPr>
              <w:t>。</w:t>
            </w:r>
          </w:p>
          <w:p w14:paraId="5B000B5F">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固废：</w:t>
            </w:r>
            <w:r>
              <w:rPr>
                <w:rFonts w:hint="eastAsia" w:ascii="Times New Roman" w:hAnsi="Times New Roman" w:eastAsia="宋体" w:cs="Times New Roman"/>
                <w:color w:val="auto"/>
              </w:rPr>
              <w:t>本项目</w:t>
            </w:r>
            <w:r>
              <w:rPr>
                <w:rFonts w:hint="eastAsia" w:ascii="Times New Roman" w:hAnsi="Times New Roman" w:eastAsia="宋体" w:cs="Times New Roman"/>
                <w:color w:val="auto"/>
                <w:lang w:val="en-US" w:eastAsia="zh-CN"/>
              </w:rPr>
              <w:t>新建</w:t>
            </w:r>
            <w:r>
              <w:rPr>
                <w:rFonts w:hint="eastAsia" w:ascii="Times New Roman" w:hAnsi="Times New Roman" w:eastAsia="宋体" w:cs="Times New Roman"/>
                <w:color w:val="auto"/>
              </w:rPr>
              <w:t>一般固废仓库（</w:t>
            </w:r>
            <w:r>
              <w:rPr>
                <w:rFonts w:hint="eastAsia" w:cs="Times New Roman"/>
                <w:color w:val="auto"/>
                <w:lang w:val="en-US" w:eastAsia="zh-CN"/>
              </w:rPr>
              <w:t>5</w:t>
            </w:r>
            <w:r>
              <w:rPr>
                <w:rFonts w:hint="eastAsia" w:ascii="Times New Roman" w:hAnsi="Times New Roman" w:eastAsia="宋体" w:cs="Times New Roman"/>
                <w:color w:val="auto"/>
              </w:rPr>
              <w:t>0m</w:t>
            </w:r>
            <w:r>
              <w:rPr>
                <w:rFonts w:hint="eastAsia" w:ascii="Times New Roman" w:hAnsi="Times New Roman" w:eastAsia="宋体" w:cs="Times New Roman"/>
                <w:color w:val="auto"/>
                <w:vertAlign w:val="superscript"/>
              </w:rPr>
              <w:t>2</w:t>
            </w:r>
            <w:r>
              <w:rPr>
                <w:rFonts w:hint="eastAsia" w:ascii="Times New Roman" w:hAnsi="Times New Roman" w:eastAsia="宋体" w:cs="Times New Roman"/>
                <w:color w:val="auto"/>
              </w:rPr>
              <w:t>）收集处理；生活垃圾日产日清</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由环卫清运</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新建一个</w:t>
            </w:r>
            <w:r>
              <w:rPr>
                <w:rFonts w:hint="eastAsia" w:ascii="Times New Roman" w:hAnsi="Times New Roman" w:eastAsia="宋体" w:cs="Times New Roman"/>
                <w:color w:val="auto"/>
              </w:rPr>
              <w:t>危废仓库（</w:t>
            </w:r>
            <w:r>
              <w:rPr>
                <w:rFonts w:hint="eastAsia" w:cs="Times New Roman"/>
                <w:color w:val="auto"/>
                <w:lang w:val="en-US" w:eastAsia="zh-CN"/>
              </w:rPr>
              <w:t>20</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2</w:t>
            </w:r>
            <w:r>
              <w:rPr>
                <w:rFonts w:hint="eastAsia" w:ascii="Times New Roman" w:hAnsi="Times New Roman" w:eastAsia="宋体" w:cs="Times New Roman"/>
                <w:color w:val="auto"/>
              </w:rPr>
              <w:t>）暂存</w:t>
            </w:r>
            <w:r>
              <w:rPr>
                <w:rFonts w:hint="eastAsia" w:ascii="Times New Roman" w:hAnsi="Times New Roman" w:eastAsia="宋体" w:cs="Times New Roman"/>
                <w:color w:val="auto"/>
                <w:lang w:val="en-US" w:eastAsia="zh-CN"/>
              </w:rPr>
              <w:t>危险固废</w:t>
            </w:r>
            <w:r>
              <w:rPr>
                <w:rFonts w:hint="eastAsia" w:ascii="Times New Roman" w:hAnsi="Times New Roman" w:eastAsia="宋体" w:cs="Times New Roman"/>
                <w:color w:val="auto"/>
              </w:rPr>
              <w:t>，委托有资质单位处置。</w:t>
            </w:r>
          </w:p>
          <w:p w14:paraId="1C111260">
            <w:pPr>
              <w:adjustRightInd w:val="0"/>
              <w:snapToGrid w:val="0"/>
              <w:spacing w:line="360" w:lineRule="auto"/>
              <w:ind w:firstLine="420" w:firstLineChars="200"/>
              <w:rPr>
                <w:rFonts w:hint="eastAsia" w:ascii="Times New Roman" w:hAnsi="Times New Roman" w:eastAsia="宋体" w:cs="Times New Roman"/>
                <w:color w:val="auto"/>
              </w:rPr>
            </w:pPr>
            <w:r>
              <w:rPr>
                <w:rFonts w:hint="eastAsia" w:cs="Times New Roman"/>
                <w:color w:val="auto"/>
                <w:lang w:val="en-US" w:eastAsia="zh-CN"/>
              </w:rPr>
              <w:t>⑥</w:t>
            </w:r>
            <w:r>
              <w:rPr>
                <w:rFonts w:hint="eastAsia" w:ascii="Times New Roman" w:hAnsi="Times New Roman" w:eastAsia="宋体" w:cs="Times New Roman"/>
                <w:color w:val="auto"/>
              </w:rPr>
              <w:t>贮运</w:t>
            </w:r>
          </w:p>
          <w:p w14:paraId="049177B7">
            <w:pPr>
              <w:adjustRightInd w:val="0"/>
              <w:snapToGrid w:val="0"/>
              <w:spacing w:line="360" w:lineRule="auto"/>
              <w:ind w:firstLine="420" w:firstLineChars="200"/>
              <w:rPr>
                <w:color w:val="auto"/>
              </w:rPr>
            </w:pPr>
            <w:r>
              <w:rPr>
                <w:color w:val="auto"/>
              </w:rPr>
              <w:t>仓储</w:t>
            </w:r>
            <w:r>
              <w:rPr>
                <w:rFonts w:hint="eastAsia"/>
                <w:color w:val="auto"/>
                <w:lang w:eastAsia="zh-CN"/>
              </w:rPr>
              <w:t>：</w:t>
            </w:r>
            <w:r>
              <w:rPr>
                <w:color w:val="auto"/>
              </w:rPr>
              <w:t>本项目成品、原材料储存于仓库内，原料仓库面积</w:t>
            </w:r>
            <w:r>
              <w:rPr>
                <w:rFonts w:hint="eastAsia"/>
                <w:color w:val="auto"/>
                <w:lang w:val="en-US" w:eastAsia="zh-CN"/>
              </w:rPr>
              <w:t>80</w:t>
            </w:r>
            <w:r>
              <w:rPr>
                <w:color w:val="auto"/>
              </w:rPr>
              <w:t>m</w:t>
            </w:r>
            <w:r>
              <w:rPr>
                <w:color w:val="auto"/>
                <w:vertAlign w:val="superscript"/>
              </w:rPr>
              <w:t>2</w:t>
            </w:r>
            <w:r>
              <w:rPr>
                <w:rFonts w:hint="eastAsia"/>
                <w:color w:val="auto"/>
                <w:vertAlign w:val="baseline"/>
                <w:lang w:eastAsia="zh-CN"/>
              </w:rPr>
              <w:t>，</w:t>
            </w:r>
            <w:r>
              <w:rPr>
                <w:rFonts w:hint="eastAsia"/>
                <w:color w:val="auto"/>
                <w:lang w:val="en-US" w:eastAsia="zh-CN"/>
              </w:rPr>
              <w:t>成品</w:t>
            </w:r>
            <w:r>
              <w:rPr>
                <w:color w:val="auto"/>
              </w:rPr>
              <w:t>仓库面积</w:t>
            </w:r>
            <w:r>
              <w:rPr>
                <w:rFonts w:hint="eastAsia"/>
                <w:color w:val="auto"/>
                <w:lang w:val="en-US" w:eastAsia="zh-CN"/>
              </w:rPr>
              <w:t>80</w:t>
            </w:r>
            <w:r>
              <w:rPr>
                <w:color w:val="auto"/>
              </w:rPr>
              <w:t>m</w:t>
            </w:r>
            <w:r>
              <w:rPr>
                <w:color w:val="auto"/>
                <w:vertAlign w:val="superscript"/>
              </w:rPr>
              <w:t>2</w:t>
            </w:r>
            <w:r>
              <w:rPr>
                <w:color w:val="auto"/>
              </w:rPr>
              <w:t>。储存于阴凉、通风的库房，远离火种，不宜大量储存或久存。仓库内采用照明、通风设备，禁止使用易产生火花的机械设备和工具。</w:t>
            </w:r>
          </w:p>
          <w:p w14:paraId="3ADB1141">
            <w:pPr>
              <w:adjustRightInd w:val="0"/>
              <w:snapToGrid w:val="0"/>
              <w:spacing w:line="360" w:lineRule="auto"/>
              <w:ind w:firstLine="420" w:firstLineChars="200"/>
              <w:rPr>
                <w:color w:val="auto"/>
                <w:kern w:val="0"/>
                <w:sz w:val="21"/>
                <w:szCs w:val="21"/>
              </w:rPr>
            </w:pPr>
            <w:r>
              <w:rPr>
                <w:color w:val="auto"/>
              </w:rPr>
              <w:t>运输</w:t>
            </w:r>
            <w:r>
              <w:rPr>
                <w:rFonts w:hint="eastAsia"/>
                <w:color w:val="auto"/>
                <w:lang w:eastAsia="zh-CN"/>
              </w:rPr>
              <w:t>：</w:t>
            </w:r>
            <w:r>
              <w:rPr>
                <w:color w:val="auto"/>
              </w:rPr>
              <w:t>本项目运输分为场内运输和厂外运输两部分。厂外运输的任务是将原辅材料等运输到库房内以及将成品和废料运送出厂，厂外运输主要为汽车运输。厂内运输主要采用小推车运输，场内运输的任务则是完成全厂各生产环节之间的物料周转。</w:t>
            </w:r>
          </w:p>
          <w:p w14:paraId="49A21648">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Ansi="宋体"/>
                <w:b/>
                <w:bCs/>
                <w:color w:val="auto"/>
                <w:sz w:val="21"/>
                <w:szCs w:val="21"/>
              </w:rPr>
            </w:pPr>
            <w:r>
              <w:rPr>
                <w:rFonts w:hint="eastAsia" w:hAnsi="宋体"/>
                <w:color w:val="auto"/>
                <w:kern w:val="0"/>
                <w:sz w:val="21"/>
                <w:szCs w:val="21"/>
              </w:rPr>
              <w:t>本项目公用及辅助工程见表2-</w:t>
            </w:r>
            <w:r>
              <w:rPr>
                <w:rFonts w:hint="eastAsia" w:hAnsi="宋体"/>
                <w:color w:val="auto"/>
                <w:kern w:val="0"/>
                <w:sz w:val="21"/>
                <w:szCs w:val="21"/>
                <w:lang w:val="en-US" w:eastAsia="zh-CN"/>
              </w:rPr>
              <w:t>2</w:t>
            </w:r>
            <w:r>
              <w:rPr>
                <w:rFonts w:hint="eastAsia" w:hAnsi="宋体"/>
                <w:color w:val="auto"/>
                <w:kern w:val="0"/>
                <w:sz w:val="21"/>
                <w:szCs w:val="21"/>
              </w:rPr>
              <w:t>。</w:t>
            </w:r>
          </w:p>
          <w:p w14:paraId="47DEAD4F">
            <w:pPr>
              <w:adjustRightInd w:val="0"/>
              <w:snapToGrid w:val="0"/>
              <w:jc w:val="center"/>
              <w:rPr>
                <w:b/>
                <w:color w:val="auto"/>
              </w:rPr>
            </w:pPr>
            <w:r>
              <w:rPr>
                <w:b/>
                <w:color w:val="auto"/>
              </w:rPr>
              <w:t>表2-</w:t>
            </w:r>
            <w:r>
              <w:rPr>
                <w:rFonts w:hint="eastAsia"/>
                <w:b/>
                <w:color w:val="auto"/>
                <w:lang w:val="en-US" w:eastAsia="zh-CN"/>
              </w:rPr>
              <w:t>2</w:t>
            </w:r>
            <w:r>
              <w:rPr>
                <w:b/>
                <w:color w:val="auto"/>
              </w:rPr>
              <w:t>公用及辅助工程一览表</w:t>
            </w:r>
          </w:p>
          <w:tbl>
            <w:tblPr>
              <w:tblStyle w:val="25"/>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22"/>
              <w:gridCol w:w="630"/>
              <w:gridCol w:w="1827"/>
              <w:gridCol w:w="2160"/>
              <w:gridCol w:w="2459"/>
            </w:tblGrid>
            <w:tr w14:paraId="0A3424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222" w:type="dxa"/>
                  <w:noWrap/>
                  <w:vAlign w:val="center"/>
                </w:tcPr>
                <w:p w14:paraId="39549C1E">
                  <w:pPr>
                    <w:pStyle w:val="12"/>
                    <w:jc w:val="center"/>
                    <w:rPr>
                      <w:rFonts w:ascii="Times New Roman" w:hAnsi="Times New Roman"/>
                      <w:b/>
                      <w:color w:val="auto"/>
                      <w:szCs w:val="21"/>
                    </w:rPr>
                  </w:pPr>
                  <w:r>
                    <w:rPr>
                      <w:rFonts w:ascii="Times New Roman" w:hAnsi="Times New Roman"/>
                      <w:b/>
                      <w:color w:val="auto"/>
                      <w:szCs w:val="21"/>
                    </w:rPr>
                    <w:t>工程类别</w:t>
                  </w:r>
                </w:p>
              </w:tc>
              <w:tc>
                <w:tcPr>
                  <w:tcW w:w="2457" w:type="dxa"/>
                  <w:gridSpan w:val="2"/>
                  <w:noWrap/>
                  <w:vAlign w:val="center"/>
                </w:tcPr>
                <w:p w14:paraId="02B9043A">
                  <w:pPr>
                    <w:pStyle w:val="12"/>
                    <w:jc w:val="center"/>
                    <w:rPr>
                      <w:rFonts w:ascii="Times New Roman" w:hAnsi="Times New Roman"/>
                      <w:b/>
                      <w:color w:val="auto"/>
                      <w:szCs w:val="21"/>
                    </w:rPr>
                  </w:pPr>
                  <w:r>
                    <w:rPr>
                      <w:rFonts w:ascii="Times New Roman" w:hAnsi="Times New Roman"/>
                      <w:b/>
                      <w:color w:val="auto"/>
                      <w:szCs w:val="21"/>
                    </w:rPr>
                    <w:t>工程名称</w:t>
                  </w:r>
                </w:p>
              </w:tc>
              <w:tc>
                <w:tcPr>
                  <w:tcW w:w="2160" w:type="dxa"/>
                  <w:noWrap/>
                  <w:vAlign w:val="center"/>
                </w:tcPr>
                <w:p w14:paraId="6F2E35AD">
                  <w:pPr>
                    <w:pStyle w:val="12"/>
                    <w:jc w:val="center"/>
                    <w:rPr>
                      <w:rFonts w:ascii="Times New Roman" w:hAnsi="Times New Roman"/>
                      <w:b/>
                      <w:color w:val="auto"/>
                      <w:szCs w:val="21"/>
                    </w:rPr>
                  </w:pPr>
                  <w:r>
                    <w:rPr>
                      <w:rFonts w:ascii="Times New Roman" w:hAnsi="Times New Roman"/>
                      <w:b/>
                      <w:color w:val="auto"/>
                      <w:szCs w:val="21"/>
                    </w:rPr>
                    <w:t>设计能力</w:t>
                  </w:r>
                </w:p>
              </w:tc>
              <w:tc>
                <w:tcPr>
                  <w:tcW w:w="2459" w:type="dxa"/>
                  <w:noWrap/>
                  <w:vAlign w:val="center"/>
                </w:tcPr>
                <w:p w14:paraId="430652EF">
                  <w:pPr>
                    <w:pStyle w:val="12"/>
                    <w:jc w:val="center"/>
                    <w:rPr>
                      <w:rFonts w:ascii="Times New Roman" w:hAnsi="Times New Roman"/>
                      <w:b/>
                      <w:color w:val="auto"/>
                      <w:szCs w:val="21"/>
                    </w:rPr>
                  </w:pPr>
                  <w:r>
                    <w:rPr>
                      <w:rFonts w:ascii="Times New Roman" w:hAnsi="Times New Roman"/>
                      <w:b/>
                      <w:color w:val="auto"/>
                      <w:szCs w:val="21"/>
                    </w:rPr>
                    <w:t>备注</w:t>
                  </w:r>
                </w:p>
              </w:tc>
            </w:tr>
            <w:tr w14:paraId="0B540E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1222" w:type="dxa"/>
                  <w:vMerge w:val="restart"/>
                  <w:noWrap/>
                  <w:vAlign w:val="center"/>
                </w:tcPr>
                <w:p w14:paraId="4C816273">
                  <w:pPr>
                    <w:pStyle w:val="12"/>
                    <w:jc w:val="center"/>
                    <w:rPr>
                      <w:rFonts w:ascii="Times New Roman" w:hAnsi="Times New Roman"/>
                      <w:color w:val="auto"/>
                      <w:szCs w:val="21"/>
                    </w:rPr>
                  </w:pPr>
                  <w:r>
                    <w:rPr>
                      <w:rFonts w:ascii="Times New Roman" w:hAnsi="Times New Roman"/>
                      <w:color w:val="auto"/>
                      <w:szCs w:val="21"/>
                    </w:rPr>
                    <w:t>贮运工程</w:t>
                  </w:r>
                </w:p>
              </w:tc>
              <w:tc>
                <w:tcPr>
                  <w:tcW w:w="2457" w:type="dxa"/>
                  <w:gridSpan w:val="2"/>
                  <w:noWrap/>
                  <w:vAlign w:val="center"/>
                </w:tcPr>
                <w:p w14:paraId="76B3E25F">
                  <w:pPr>
                    <w:pStyle w:val="12"/>
                    <w:jc w:val="center"/>
                    <w:rPr>
                      <w:rFonts w:ascii="Times New Roman" w:hAnsi="Times New Roman"/>
                      <w:color w:val="auto"/>
                    </w:rPr>
                  </w:pPr>
                  <w:r>
                    <w:rPr>
                      <w:rFonts w:hint="eastAsia" w:ascii="Times New Roman" w:hAnsi="Times New Roman"/>
                      <w:color w:val="auto"/>
                    </w:rPr>
                    <w:t>原料仓库</w:t>
                  </w:r>
                </w:p>
              </w:tc>
              <w:tc>
                <w:tcPr>
                  <w:tcW w:w="2160" w:type="dxa"/>
                  <w:noWrap/>
                  <w:vAlign w:val="center"/>
                </w:tcPr>
                <w:p w14:paraId="5B92472D">
                  <w:pPr>
                    <w:pStyle w:val="12"/>
                    <w:jc w:val="center"/>
                    <w:rPr>
                      <w:rFonts w:ascii="Times New Roman" w:hAnsi="Times New Roman"/>
                      <w:color w:val="auto"/>
                    </w:rPr>
                  </w:pPr>
                  <w:r>
                    <w:rPr>
                      <w:rFonts w:hint="eastAsia" w:ascii="Times New Roman" w:hAnsi="Times New Roman"/>
                      <w:color w:val="auto"/>
                      <w:lang w:val="en-US" w:eastAsia="zh-CN"/>
                    </w:rPr>
                    <w:t>80</w:t>
                  </w:r>
                  <w:r>
                    <w:rPr>
                      <w:rFonts w:hint="eastAsia" w:ascii="Times New Roman" w:hAnsi="Times New Roman"/>
                      <w:color w:val="auto"/>
                    </w:rPr>
                    <w:t>m</w:t>
                  </w:r>
                  <w:r>
                    <w:rPr>
                      <w:rFonts w:hint="eastAsia" w:ascii="Times New Roman" w:hAnsi="Times New Roman"/>
                      <w:color w:val="auto"/>
                      <w:vertAlign w:val="superscript"/>
                    </w:rPr>
                    <w:t>2</w:t>
                  </w:r>
                </w:p>
              </w:tc>
              <w:tc>
                <w:tcPr>
                  <w:tcW w:w="2459" w:type="dxa"/>
                  <w:noWrap/>
                  <w:vAlign w:val="center"/>
                </w:tcPr>
                <w:p w14:paraId="0E99B315">
                  <w:pPr>
                    <w:pStyle w:val="12"/>
                    <w:jc w:val="center"/>
                    <w:rPr>
                      <w:rFonts w:hint="eastAsia" w:ascii="Times New Roman" w:hAnsi="Times New Roman" w:eastAsia="宋体"/>
                      <w:color w:val="auto"/>
                      <w:lang w:eastAsia="zh-CN"/>
                    </w:rPr>
                  </w:pPr>
                  <w:r>
                    <w:rPr>
                      <w:rFonts w:hint="eastAsia" w:ascii="Times New Roman" w:hAnsi="Times New Roman"/>
                      <w:color w:val="auto"/>
                    </w:rPr>
                    <w:t>原料</w:t>
                  </w:r>
                  <w:r>
                    <w:rPr>
                      <w:rFonts w:hint="eastAsia" w:ascii="Times New Roman" w:hAnsi="Times New Roman"/>
                      <w:color w:val="auto"/>
                      <w:lang w:val="en-US" w:eastAsia="zh-CN"/>
                    </w:rPr>
                    <w:t>存放</w:t>
                  </w:r>
                </w:p>
              </w:tc>
            </w:tr>
            <w:tr w14:paraId="17196F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4" w:hRule="atLeast"/>
                <w:jc w:val="center"/>
              </w:trPr>
              <w:tc>
                <w:tcPr>
                  <w:tcW w:w="1222" w:type="dxa"/>
                  <w:vMerge w:val="continue"/>
                  <w:noWrap/>
                  <w:vAlign w:val="center"/>
                </w:tcPr>
                <w:p w14:paraId="4C5AA978">
                  <w:pPr>
                    <w:pStyle w:val="12"/>
                    <w:jc w:val="center"/>
                    <w:rPr>
                      <w:rFonts w:ascii="Times New Roman" w:hAnsi="Times New Roman"/>
                      <w:color w:val="auto"/>
                      <w:szCs w:val="21"/>
                    </w:rPr>
                  </w:pPr>
                </w:p>
              </w:tc>
              <w:tc>
                <w:tcPr>
                  <w:tcW w:w="2457" w:type="dxa"/>
                  <w:gridSpan w:val="2"/>
                  <w:noWrap/>
                  <w:vAlign w:val="center"/>
                </w:tcPr>
                <w:p w14:paraId="6DDD80C1">
                  <w:pPr>
                    <w:pStyle w:val="12"/>
                    <w:jc w:val="center"/>
                    <w:rPr>
                      <w:rFonts w:ascii="Times New Roman" w:hAnsi="Times New Roman"/>
                      <w:color w:val="auto"/>
                    </w:rPr>
                  </w:pPr>
                  <w:r>
                    <w:rPr>
                      <w:rFonts w:hint="eastAsia" w:ascii="Times New Roman" w:hAnsi="Times New Roman"/>
                      <w:color w:val="auto"/>
                    </w:rPr>
                    <w:t>成品仓库</w:t>
                  </w:r>
                </w:p>
              </w:tc>
              <w:tc>
                <w:tcPr>
                  <w:tcW w:w="2160" w:type="dxa"/>
                  <w:noWrap/>
                  <w:vAlign w:val="center"/>
                </w:tcPr>
                <w:p w14:paraId="3BC978FF">
                  <w:pPr>
                    <w:pStyle w:val="12"/>
                    <w:jc w:val="center"/>
                    <w:rPr>
                      <w:rFonts w:ascii="Times New Roman" w:hAnsi="Times New Roman"/>
                      <w:color w:val="auto"/>
                    </w:rPr>
                  </w:pPr>
                  <w:r>
                    <w:rPr>
                      <w:rFonts w:hint="eastAsia" w:ascii="Times New Roman" w:hAnsi="Times New Roman"/>
                      <w:color w:val="auto"/>
                      <w:lang w:val="en-US" w:eastAsia="zh-CN"/>
                    </w:rPr>
                    <w:t>80</w:t>
                  </w:r>
                  <w:r>
                    <w:rPr>
                      <w:rFonts w:hint="eastAsia" w:ascii="Times New Roman" w:hAnsi="Times New Roman"/>
                      <w:color w:val="auto"/>
                    </w:rPr>
                    <w:t>m</w:t>
                  </w:r>
                  <w:r>
                    <w:rPr>
                      <w:rFonts w:hint="eastAsia" w:ascii="Times New Roman" w:hAnsi="Times New Roman"/>
                      <w:color w:val="auto"/>
                      <w:vertAlign w:val="superscript"/>
                    </w:rPr>
                    <w:t>2</w:t>
                  </w:r>
                </w:p>
              </w:tc>
              <w:tc>
                <w:tcPr>
                  <w:tcW w:w="2459" w:type="dxa"/>
                  <w:noWrap/>
                  <w:vAlign w:val="center"/>
                </w:tcPr>
                <w:p w14:paraId="419DC727">
                  <w:pPr>
                    <w:pStyle w:val="12"/>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成品存放</w:t>
                  </w:r>
                </w:p>
              </w:tc>
            </w:tr>
            <w:tr w14:paraId="71A553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22" w:type="dxa"/>
                  <w:vMerge w:val="restart"/>
                  <w:noWrap/>
                  <w:vAlign w:val="center"/>
                </w:tcPr>
                <w:p w14:paraId="4F7C9882">
                  <w:pPr>
                    <w:pStyle w:val="12"/>
                    <w:jc w:val="center"/>
                    <w:rPr>
                      <w:rFonts w:ascii="Times New Roman" w:hAnsi="Times New Roman"/>
                      <w:color w:val="auto"/>
                      <w:szCs w:val="21"/>
                    </w:rPr>
                  </w:pPr>
                  <w:r>
                    <w:rPr>
                      <w:rFonts w:ascii="Times New Roman" w:hAnsi="Times New Roman"/>
                      <w:color w:val="auto"/>
                      <w:szCs w:val="21"/>
                    </w:rPr>
                    <w:t>公用工程</w:t>
                  </w:r>
                </w:p>
              </w:tc>
              <w:tc>
                <w:tcPr>
                  <w:tcW w:w="2457" w:type="dxa"/>
                  <w:gridSpan w:val="2"/>
                  <w:noWrap/>
                  <w:vAlign w:val="center"/>
                </w:tcPr>
                <w:p w14:paraId="3105976C">
                  <w:pPr>
                    <w:pStyle w:val="12"/>
                    <w:jc w:val="center"/>
                    <w:rPr>
                      <w:rFonts w:ascii="Times New Roman" w:hAnsi="Times New Roman"/>
                      <w:color w:val="auto"/>
                      <w:szCs w:val="21"/>
                    </w:rPr>
                  </w:pPr>
                  <w:r>
                    <w:rPr>
                      <w:rFonts w:ascii="Times New Roman" w:hAnsi="Times New Roman"/>
                      <w:color w:val="auto"/>
                      <w:szCs w:val="21"/>
                    </w:rPr>
                    <w:t>给水</w:t>
                  </w:r>
                </w:p>
              </w:tc>
              <w:tc>
                <w:tcPr>
                  <w:tcW w:w="2160" w:type="dxa"/>
                  <w:noWrap/>
                  <w:vAlign w:val="center"/>
                </w:tcPr>
                <w:p w14:paraId="7D6B1704">
                  <w:pPr>
                    <w:pStyle w:val="12"/>
                    <w:jc w:val="center"/>
                    <w:rPr>
                      <w:rFonts w:ascii="Times New Roman" w:hAnsi="Times New Roman"/>
                      <w:color w:val="auto"/>
                      <w:szCs w:val="21"/>
                    </w:rPr>
                  </w:pPr>
                  <w:r>
                    <w:rPr>
                      <w:rFonts w:hint="eastAsia" w:ascii="Times New Roman" w:hAnsi="Times New Roman"/>
                      <w:color w:val="auto"/>
                      <w:szCs w:val="21"/>
                      <w:lang w:val="en-US" w:eastAsia="zh-CN"/>
                    </w:rPr>
                    <w:t>663.9</w:t>
                  </w:r>
                  <w:r>
                    <w:rPr>
                      <w:rFonts w:ascii="Times New Roman" w:hAnsi="Times New Roman"/>
                      <w:color w:val="auto"/>
                      <w:szCs w:val="21"/>
                    </w:rPr>
                    <w:t>t/a</w:t>
                  </w:r>
                </w:p>
              </w:tc>
              <w:tc>
                <w:tcPr>
                  <w:tcW w:w="2459" w:type="dxa"/>
                  <w:noWrap/>
                  <w:vAlign w:val="center"/>
                </w:tcPr>
                <w:p w14:paraId="7ED56354">
                  <w:pPr>
                    <w:pStyle w:val="12"/>
                    <w:jc w:val="center"/>
                    <w:rPr>
                      <w:rFonts w:ascii="Times New Roman" w:hAnsi="Times New Roman"/>
                      <w:color w:val="auto"/>
                      <w:szCs w:val="21"/>
                    </w:rPr>
                  </w:pPr>
                  <w:r>
                    <w:rPr>
                      <w:rFonts w:ascii="Times New Roman" w:hAnsi="Times New Roman"/>
                      <w:color w:val="auto"/>
                      <w:szCs w:val="21"/>
                    </w:rPr>
                    <w:t>市政供水</w:t>
                  </w:r>
                </w:p>
              </w:tc>
            </w:tr>
            <w:tr w14:paraId="17A3C0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1" w:hRule="atLeast"/>
                <w:jc w:val="center"/>
              </w:trPr>
              <w:tc>
                <w:tcPr>
                  <w:tcW w:w="1222" w:type="dxa"/>
                  <w:vMerge w:val="continue"/>
                  <w:noWrap/>
                  <w:vAlign w:val="center"/>
                </w:tcPr>
                <w:p w14:paraId="1D0228E2">
                  <w:pPr>
                    <w:pStyle w:val="12"/>
                    <w:jc w:val="center"/>
                    <w:rPr>
                      <w:rFonts w:ascii="Times New Roman" w:hAnsi="Times New Roman"/>
                      <w:color w:val="auto"/>
                      <w:szCs w:val="21"/>
                    </w:rPr>
                  </w:pPr>
                </w:p>
              </w:tc>
              <w:tc>
                <w:tcPr>
                  <w:tcW w:w="2457" w:type="dxa"/>
                  <w:gridSpan w:val="2"/>
                  <w:noWrap/>
                  <w:vAlign w:val="center"/>
                </w:tcPr>
                <w:p w14:paraId="6EFBA561">
                  <w:pPr>
                    <w:pStyle w:val="12"/>
                    <w:jc w:val="center"/>
                    <w:rPr>
                      <w:rFonts w:ascii="Times New Roman" w:hAnsi="Times New Roman"/>
                      <w:color w:val="auto"/>
                      <w:szCs w:val="21"/>
                    </w:rPr>
                  </w:pPr>
                  <w:r>
                    <w:rPr>
                      <w:rFonts w:ascii="Times New Roman" w:hAnsi="Times New Roman"/>
                      <w:color w:val="auto"/>
                      <w:szCs w:val="21"/>
                    </w:rPr>
                    <w:t>排水</w:t>
                  </w:r>
                </w:p>
              </w:tc>
              <w:tc>
                <w:tcPr>
                  <w:tcW w:w="2160" w:type="dxa"/>
                  <w:noWrap/>
                  <w:vAlign w:val="center"/>
                </w:tcPr>
                <w:p w14:paraId="156FD2BA">
                  <w:pPr>
                    <w:widowControl/>
                    <w:jc w:val="center"/>
                    <w:rPr>
                      <w:color w:val="auto"/>
                      <w:szCs w:val="21"/>
                    </w:rPr>
                  </w:pPr>
                  <w:r>
                    <w:rPr>
                      <w:rFonts w:hint="eastAsia"/>
                      <w:color w:val="auto"/>
                      <w:szCs w:val="21"/>
                      <w:lang w:val="en-US" w:eastAsia="zh-CN"/>
                    </w:rPr>
                    <w:t>0</w:t>
                  </w:r>
                  <w:r>
                    <w:rPr>
                      <w:rFonts w:hint="eastAsia"/>
                      <w:color w:val="auto"/>
                      <w:szCs w:val="21"/>
                    </w:rPr>
                    <w:t>t/a</w:t>
                  </w:r>
                </w:p>
              </w:tc>
              <w:tc>
                <w:tcPr>
                  <w:tcW w:w="2459" w:type="dxa"/>
                  <w:noWrap/>
                  <w:vAlign w:val="center"/>
                </w:tcPr>
                <w:p w14:paraId="7B5BE2D2">
                  <w:pPr>
                    <w:pStyle w:val="12"/>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生活污水经化粪池处理后</w:t>
                  </w:r>
                  <w:r>
                    <w:rPr>
                      <w:rFonts w:hint="eastAsia" w:ascii="Times New Roman" w:hAnsi="Times New Roman"/>
                      <w:color w:val="auto"/>
                      <w:lang w:val="en-US" w:eastAsia="zh-CN"/>
                    </w:rPr>
                    <w:t>用作液态肥料</w:t>
                  </w:r>
                </w:p>
              </w:tc>
            </w:tr>
            <w:tr w14:paraId="3A3842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3" w:hRule="atLeast"/>
                <w:jc w:val="center"/>
              </w:trPr>
              <w:tc>
                <w:tcPr>
                  <w:tcW w:w="1222" w:type="dxa"/>
                  <w:vMerge w:val="continue"/>
                  <w:noWrap/>
                  <w:vAlign w:val="center"/>
                </w:tcPr>
                <w:p w14:paraId="4710D5C7">
                  <w:pPr>
                    <w:pStyle w:val="12"/>
                    <w:jc w:val="center"/>
                    <w:rPr>
                      <w:rFonts w:ascii="Times New Roman" w:hAnsi="Times New Roman"/>
                      <w:color w:val="auto"/>
                      <w:szCs w:val="21"/>
                    </w:rPr>
                  </w:pPr>
                </w:p>
              </w:tc>
              <w:tc>
                <w:tcPr>
                  <w:tcW w:w="2457" w:type="dxa"/>
                  <w:gridSpan w:val="2"/>
                  <w:noWrap/>
                  <w:vAlign w:val="center"/>
                </w:tcPr>
                <w:p w14:paraId="31E8CEC8">
                  <w:pPr>
                    <w:pStyle w:val="12"/>
                    <w:jc w:val="center"/>
                    <w:rPr>
                      <w:rFonts w:ascii="Times New Roman" w:hAnsi="Times New Roman"/>
                      <w:color w:val="auto"/>
                      <w:szCs w:val="21"/>
                    </w:rPr>
                  </w:pPr>
                  <w:r>
                    <w:rPr>
                      <w:rFonts w:ascii="Times New Roman" w:hAnsi="Times New Roman"/>
                      <w:color w:val="auto"/>
                      <w:szCs w:val="21"/>
                    </w:rPr>
                    <w:t>供电</w:t>
                  </w:r>
                </w:p>
              </w:tc>
              <w:tc>
                <w:tcPr>
                  <w:tcW w:w="2160" w:type="dxa"/>
                  <w:noWrap/>
                  <w:vAlign w:val="center"/>
                </w:tcPr>
                <w:p w14:paraId="28450145">
                  <w:pPr>
                    <w:widowControl/>
                    <w:ind w:firstLine="420" w:firstLineChars="200"/>
                    <w:rPr>
                      <w:color w:val="auto"/>
                      <w:szCs w:val="21"/>
                    </w:rPr>
                  </w:pPr>
                  <w:r>
                    <w:rPr>
                      <w:rFonts w:hint="eastAsia"/>
                      <w:color w:val="auto"/>
                      <w:szCs w:val="21"/>
                      <w:lang w:val="en-US" w:eastAsia="zh-CN"/>
                    </w:rPr>
                    <w:t>107</w:t>
                  </w:r>
                  <w:r>
                    <w:rPr>
                      <w:color w:val="auto"/>
                      <w:szCs w:val="21"/>
                    </w:rPr>
                    <w:t>万kwh/a</w:t>
                  </w:r>
                </w:p>
              </w:tc>
              <w:tc>
                <w:tcPr>
                  <w:tcW w:w="2459" w:type="dxa"/>
                  <w:noWrap/>
                  <w:vAlign w:val="center"/>
                </w:tcPr>
                <w:p w14:paraId="537FC238">
                  <w:pPr>
                    <w:pStyle w:val="12"/>
                    <w:jc w:val="center"/>
                    <w:rPr>
                      <w:rFonts w:ascii="Times New Roman" w:hAnsi="Times New Roman"/>
                      <w:color w:val="auto"/>
                      <w:szCs w:val="21"/>
                    </w:rPr>
                  </w:pPr>
                  <w:r>
                    <w:rPr>
                      <w:rFonts w:ascii="Times New Roman" w:hAnsi="Times New Roman"/>
                      <w:color w:val="auto"/>
                      <w:szCs w:val="21"/>
                    </w:rPr>
                    <w:t>市政供电</w:t>
                  </w:r>
                </w:p>
              </w:tc>
            </w:tr>
            <w:tr w14:paraId="4DE6C5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1" w:hRule="atLeast"/>
                <w:jc w:val="center"/>
              </w:trPr>
              <w:tc>
                <w:tcPr>
                  <w:tcW w:w="1222" w:type="dxa"/>
                  <w:vMerge w:val="continue"/>
                  <w:noWrap/>
                  <w:vAlign w:val="center"/>
                </w:tcPr>
                <w:p w14:paraId="48B3F913">
                  <w:pPr>
                    <w:pStyle w:val="12"/>
                    <w:jc w:val="center"/>
                    <w:rPr>
                      <w:rFonts w:ascii="Times New Roman" w:hAnsi="Times New Roman"/>
                      <w:color w:val="auto"/>
                      <w:szCs w:val="21"/>
                    </w:rPr>
                  </w:pPr>
                </w:p>
              </w:tc>
              <w:tc>
                <w:tcPr>
                  <w:tcW w:w="2457" w:type="dxa"/>
                  <w:gridSpan w:val="2"/>
                  <w:noWrap/>
                  <w:vAlign w:val="center"/>
                </w:tcPr>
                <w:p w14:paraId="463D7E33">
                  <w:pPr>
                    <w:pStyle w:val="12"/>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空压系统</w:t>
                  </w:r>
                </w:p>
              </w:tc>
              <w:tc>
                <w:tcPr>
                  <w:tcW w:w="2160" w:type="dxa"/>
                  <w:noWrap/>
                  <w:vAlign w:val="center"/>
                </w:tcPr>
                <w:p w14:paraId="10C4C828">
                  <w:pPr>
                    <w:widowControl/>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空压机</w:t>
                  </w:r>
                  <w:r>
                    <w:rPr>
                      <w:rFonts w:hint="eastAsia" w:cs="Times New Roman"/>
                      <w:color w:val="auto"/>
                      <w:szCs w:val="21"/>
                      <w:lang w:val="en-US" w:eastAsia="zh-CN"/>
                    </w:rPr>
                    <w:t>1</w:t>
                  </w:r>
                  <w:r>
                    <w:rPr>
                      <w:rFonts w:hint="eastAsia" w:ascii="Times New Roman" w:hAnsi="Times New Roman" w:eastAsia="宋体" w:cs="Times New Roman"/>
                      <w:color w:val="auto"/>
                      <w:szCs w:val="21"/>
                    </w:rPr>
                    <w:t>台</w:t>
                  </w:r>
                </w:p>
              </w:tc>
              <w:tc>
                <w:tcPr>
                  <w:tcW w:w="2459" w:type="dxa"/>
                  <w:noWrap/>
                  <w:vAlign w:val="center"/>
                </w:tcPr>
                <w:p w14:paraId="2AF85822">
                  <w:pPr>
                    <w:widowControl/>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无油空压机，</w:t>
                  </w:r>
                  <w:r>
                    <w:rPr>
                      <w:rFonts w:hint="eastAsia" w:ascii="Times New Roman" w:hAnsi="Times New Roman" w:eastAsia="宋体" w:cs="Times New Roman"/>
                      <w:color w:val="auto"/>
                      <w:szCs w:val="21"/>
                    </w:rPr>
                    <w:t>供气能力为</w:t>
                  </w:r>
                  <w:r>
                    <w:rPr>
                      <w:rFonts w:hint="eastAsia" w:cs="Times New Roman"/>
                      <w:color w:val="auto"/>
                      <w:szCs w:val="21"/>
                      <w:lang w:val="en-US" w:eastAsia="zh-CN"/>
                    </w:rPr>
                    <w:t>3.6</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/min</w:t>
                  </w:r>
                </w:p>
              </w:tc>
            </w:tr>
            <w:tr w14:paraId="35B220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84" w:hRule="atLeast"/>
                <w:jc w:val="center"/>
              </w:trPr>
              <w:tc>
                <w:tcPr>
                  <w:tcW w:w="1222" w:type="dxa"/>
                  <w:vMerge w:val="restart"/>
                  <w:noWrap/>
                  <w:vAlign w:val="center"/>
                </w:tcPr>
                <w:p w14:paraId="3CBB1812">
                  <w:pPr>
                    <w:pStyle w:val="12"/>
                    <w:jc w:val="center"/>
                    <w:rPr>
                      <w:rFonts w:ascii="Times New Roman" w:hAnsi="Times New Roman"/>
                      <w:color w:val="auto"/>
                      <w:szCs w:val="21"/>
                    </w:rPr>
                  </w:pPr>
                  <w:r>
                    <w:rPr>
                      <w:rFonts w:ascii="Times New Roman" w:hAnsi="Times New Roman"/>
                      <w:color w:val="auto"/>
                      <w:szCs w:val="21"/>
                    </w:rPr>
                    <w:t>环保工程</w:t>
                  </w:r>
                </w:p>
              </w:tc>
              <w:tc>
                <w:tcPr>
                  <w:tcW w:w="630" w:type="dxa"/>
                  <w:vMerge w:val="restart"/>
                  <w:noWrap/>
                  <w:vAlign w:val="center"/>
                </w:tcPr>
                <w:p w14:paraId="643E182D">
                  <w:pPr>
                    <w:pStyle w:val="12"/>
                    <w:jc w:val="center"/>
                    <w:rPr>
                      <w:rFonts w:ascii="Times New Roman" w:hAnsi="Times New Roman"/>
                      <w:color w:val="auto"/>
                      <w:szCs w:val="21"/>
                    </w:rPr>
                  </w:pPr>
                  <w:r>
                    <w:rPr>
                      <w:rFonts w:ascii="Times New Roman" w:hAnsi="Times New Roman"/>
                      <w:color w:val="auto"/>
                      <w:szCs w:val="21"/>
                    </w:rPr>
                    <w:t>废气</w:t>
                  </w:r>
                </w:p>
              </w:tc>
              <w:tc>
                <w:tcPr>
                  <w:tcW w:w="1827" w:type="dxa"/>
                  <w:noWrap/>
                  <w:vAlign w:val="center"/>
                </w:tcPr>
                <w:p w14:paraId="567F5809">
                  <w:pPr>
                    <w:pStyle w:val="12"/>
                    <w:jc w:val="center"/>
                    <w:rPr>
                      <w:rFonts w:ascii="Times New Roman" w:hAnsi="Times New Roman"/>
                      <w:color w:val="auto"/>
                      <w:szCs w:val="21"/>
                    </w:rPr>
                  </w:pPr>
                  <w:r>
                    <w:rPr>
                      <w:rFonts w:hint="eastAsia" w:ascii="Times New Roman" w:hAnsi="Times New Roman"/>
                      <w:color w:val="auto"/>
                      <w:szCs w:val="21"/>
                    </w:rPr>
                    <w:t>制芯、浇注</w:t>
                  </w:r>
                </w:p>
              </w:tc>
              <w:tc>
                <w:tcPr>
                  <w:tcW w:w="2160" w:type="dxa"/>
                  <w:noWrap/>
                  <w:vAlign w:val="center"/>
                </w:tcPr>
                <w:p w14:paraId="6C502A3B">
                  <w:pPr>
                    <w:pStyle w:val="12"/>
                    <w:jc w:val="center"/>
                    <w:rPr>
                      <w:rFonts w:ascii="Times New Roman" w:hAnsi="Times New Roman"/>
                      <w:color w:val="auto"/>
                      <w:szCs w:val="21"/>
                    </w:rPr>
                  </w:pPr>
                  <w:r>
                    <w:rPr>
                      <w:rFonts w:ascii="Times New Roman" w:hAnsi="Times New Roman"/>
                      <w:color w:val="auto"/>
                      <w:szCs w:val="21"/>
                    </w:rPr>
                    <w:t>布袋除尘装置+</w:t>
                  </w:r>
                  <w:r>
                    <w:rPr>
                      <w:rFonts w:hint="eastAsia" w:ascii="Times New Roman" w:hAnsi="Times New Roman"/>
                      <w:color w:val="auto"/>
                      <w:szCs w:val="21"/>
                    </w:rPr>
                    <w:t>二级活性炭吸附装置+</w:t>
                  </w:r>
                  <w:r>
                    <w:rPr>
                      <w:rFonts w:ascii="Times New Roman" w:hAnsi="Times New Roman"/>
                      <w:color w:val="auto"/>
                      <w:szCs w:val="21"/>
                    </w:rPr>
                    <w:t>15m排气筒（DA001）</w:t>
                  </w:r>
                </w:p>
              </w:tc>
              <w:tc>
                <w:tcPr>
                  <w:tcW w:w="2459" w:type="dxa"/>
                  <w:vMerge w:val="restart"/>
                  <w:noWrap/>
                  <w:vAlign w:val="center"/>
                </w:tcPr>
                <w:p w14:paraId="381869B4">
                  <w:pPr>
                    <w:snapToGrid w:val="0"/>
                    <w:jc w:val="center"/>
                    <w:rPr>
                      <w:rFonts w:ascii="Times New Roman" w:hAnsi="Times New Roman"/>
                      <w:color w:val="auto"/>
                      <w:szCs w:val="21"/>
                    </w:rPr>
                  </w:pPr>
                  <w:r>
                    <w:rPr>
                      <w:rFonts w:ascii="Times New Roman" w:hAnsi="Times New Roman"/>
                      <w:color w:val="auto"/>
                      <w:szCs w:val="21"/>
                    </w:rPr>
                    <w:t>排放执行《大气污染物综合排放标准》（DB32/4041-2021）、</w:t>
                  </w:r>
                  <w:r>
                    <w:rPr>
                      <w:bCs/>
                      <w:color w:val="auto"/>
                      <w:szCs w:val="21"/>
                    </w:rPr>
                    <w:t>《铸造</w:t>
                  </w:r>
                  <w:r>
                    <w:rPr>
                      <w:rFonts w:ascii="Times New Roman" w:hAnsi="Times New Roman"/>
                      <w:color w:val="auto"/>
                      <w:szCs w:val="21"/>
                    </w:rPr>
                    <w:t>工业大气污染物排放标准》</w:t>
                  </w:r>
                </w:p>
                <w:p w14:paraId="6D495F2E">
                  <w:pPr>
                    <w:snapToGrid w:val="0"/>
                    <w:jc w:val="center"/>
                    <w:rPr>
                      <w:rFonts w:ascii="Times New Roman" w:hAnsi="Times New Roman"/>
                      <w:color w:val="auto"/>
                      <w:szCs w:val="21"/>
                    </w:rPr>
                  </w:pPr>
                  <w:r>
                    <w:rPr>
                      <w:rFonts w:ascii="Times New Roman" w:hAnsi="Times New Roman"/>
                      <w:color w:val="auto"/>
                      <w:szCs w:val="21"/>
                    </w:rPr>
                    <w:t>（GB39726-2020</w:t>
                  </w:r>
                  <w:r>
                    <w:rPr>
                      <w:rFonts w:hint="eastAsia" w:ascii="Times New Roman" w:hAnsi="Times New Roman"/>
                      <w:color w:val="auto"/>
                      <w:szCs w:val="21"/>
                    </w:rPr>
                    <w:t>）</w:t>
                  </w:r>
                </w:p>
              </w:tc>
            </w:tr>
            <w:tr w14:paraId="0C08D7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03" w:hRule="atLeast"/>
                <w:jc w:val="center"/>
              </w:trPr>
              <w:tc>
                <w:tcPr>
                  <w:tcW w:w="1222" w:type="dxa"/>
                  <w:vMerge w:val="continue"/>
                  <w:noWrap/>
                  <w:vAlign w:val="center"/>
                </w:tcPr>
                <w:p w14:paraId="67DB1507">
                  <w:pPr>
                    <w:pStyle w:val="12"/>
                    <w:jc w:val="center"/>
                    <w:rPr>
                      <w:rFonts w:ascii="Times New Roman" w:hAnsi="Times New Roman"/>
                      <w:color w:val="auto"/>
                      <w:szCs w:val="21"/>
                    </w:rPr>
                  </w:pPr>
                </w:p>
              </w:tc>
              <w:tc>
                <w:tcPr>
                  <w:tcW w:w="630" w:type="dxa"/>
                  <w:vMerge w:val="continue"/>
                  <w:noWrap/>
                  <w:vAlign w:val="center"/>
                </w:tcPr>
                <w:p w14:paraId="0D3A3F53">
                  <w:pPr>
                    <w:pStyle w:val="12"/>
                    <w:jc w:val="center"/>
                    <w:rPr>
                      <w:rFonts w:ascii="Times New Roman" w:hAnsi="Times New Roman"/>
                      <w:color w:val="auto"/>
                      <w:szCs w:val="21"/>
                    </w:rPr>
                  </w:pPr>
                </w:p>
              </w:tc>
              <w:tc>
                <w:tcPr>
                  <w:tcW w:w="1827" w:type="dxa"/>
                  <w:noWrap/>
                  <w:vAlign w:val="center"/>
                </w:tcPr>
                <w:p w14:paraId="5474B543">
                  <w:pPr>
                    <w:pStyle w:val="12"/>
                    <w:jc w:val="center"/>
                    <w:rPr>
                      <w:rFonts w:ascii="Times New Roman" w:hAnsi="Times New Roman"/>
                      <w:color w:val="auto"/>
                      <w:szCs w:val="21"/>
                    </w:rPr>
                  </w:pPr>
                  <w:r>
                    <w:rPr>
                      <w:rFonts w:hint="eastAsia" w:ascii="Times New Roman" w:hAnsi="Times New Roman"/>
                      <w:color w:val="auto"/>
                      <w:szCs w:val="21"/>
                    </w:rPr>
                    <w:t>熔融</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抛光打磨</w:t>
                  </w:r>
                  <w:r>
                    <w:rPr>
                      <w:rFonts w:hint="eastAsia" w:ascii="Times New Roman" w:hAnsi="Times New Roman"/>
                      <w:color w:val="auto"/>
                      <w:szCs w:val="21"/>
                    </w:rPr>
                    <w:t>废气</w:t>
                  </w:r>
                </w:p>
              </w:tc>
              <w:tc>
                <w:tcPr>
                  <w:tcW w:w="2160" w:type="dxa"/>
                  <w:noWrap/>
                  <w:vAlign w:val="center"/>
                </w:tcPr>
                <w:p w14:paraId="3B3372D7">
                  <w:pPr>
                    <w:pStyle w:val="12"/>
                    <w:jc w:val="center"/>
                    <w:rPr>
                      <w:rFonts w:ascii="Times New Roman" w:hAnsi="Times New Roman"/>
                      <w:color w:val="auto"/>
                      <w:szCs w:val="21"/>
                    </w:rPr>
                  </w:pPr>
                  <w:r>
                    <w:rPr>
                      <w:rFonts w:hint="eastAsia"/>
                      <w:color w:val="auto"/>
                      <w:szCs w:val="21"/>
                    </w:rPr>
                    <w:t>布袋除尘</w:t>
                  </w:r>
                  <w:r>
                    <w:rPr>
                      <w:rFonts w:hint="eastAsia"/>
                      <w:color w:val="auto"/>
                      <w:szCs w:val="21"/>
                      <w:lang w:val="en-US" w:eastAsia="zh-CN"/>
                    </w:rPr>
                    <w:t>装置</w:t>
                  </w:r>
                  <w:r>
                    <w:rPr>
                      <w:rFonts w:ascii="Times New Roman" w:hAnsi="Times New Roman"/>
                      <w:color w:val="auto"/>
                      <w:szCs w:val="21"/>
                    </w:rPr>
                    <w:t>+15m排气筒（DA002）</w:t>
                  </w:r>
                </w:p>
              </w:tc>
              <w:tc>
                <w:tcPr>
                  <w:tcW w:w="2459" w:type="dxa"/>
                  <w:vMerge w:val="continue"/>
                  <w:noWrap/>
                  <w:vAlign w:val="center"/>
                </w:tcPr>
                <w:p w14:paraId="0AFD8D52">
                  <w:pPr>
                    <w:pStyle w:val="12"/>
                    <w:jc w:val="center"/>
                    <w:rPr>
                      <w:rFonts w:ascii="Times New Roman" w:hAnsi="Times New Roman"/>
                      <w:color w:val="auto"/>
                      <w:szCs w:val="21"/>
                    </w:rPr>
                  </w:pPr>
                </w:p>
              </w:tc>
            </w:tr>
            <w:tr w14:paraId="00D930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3" w:hRule="atLeast"/>
                <w:jc w:val="center"/>
              </w:trPr>
              <w:tc>
                <w:tcPr>
                  <w:tcW w:w="1222" w:type="dxa"/>
                  <w:vMerge w:val="continue"/>
                  <w:noWrap/>
                  <w:vAlign w:val="center"/>
                </w:tcPr>
                <w:p w14:paraId="1934D2BE">
                  <w:pPr>
                    <w:pStyle w:val="12"/>
                    <w:jc w:val="center"/>
                    <w:rPr>
                      <w:rFonts w:ascii="Times New Roman" w:hAnsi="Times New Roman"/>
                      <w:color w:val="auto"/>
                      <w:szCs w:val="21"/>
                    </w:rPr>
                  </w:pPr>
                </w:p>
              </w:tc>
              <w:tc>
                <w:tcPr>
                  <w:tcW w:w="630" w:type="dxa"/>
                  <w:vMerge w:val="continue"/>
                  <w:noWrap/>
                  <w:vAlign w:val="center"/>
                </w:tcPr>
                <w:p w14:paraId="1D921C3B">
                  <w:pPr>
                    <w:pStyle w:val="12"/>
                    <w:jc w:val="center"/>
                    <w:rPr>
                      <w:rFonts w:ascii="Times New Roman" w:hAnsi="Times New Roman"/>
                      <w:color w:val="auto"/>
                      <w:szCs w:val="21"/>
                    </w:rPr>
                  </w:pPr>
                </w:p>
              </w:tc>
              <w:tc>
                <w:tcPr>
                  <w:tcW w:w="1827" w:type="dxa"/>
                  <w:noWrap/>
                  <w:vAlign w:val="center"/>
                </w:tcPr>
                <w:p w14:paraId="20E3BAD1">
                  <w:pPr>
                    <w:pStyle w:val="12"/>
                    <w:jc w:val="center"/>
                    <w:rPr>
                      <w:rFonts w:ascii="Times New Roman" w:hAnsi="Times New Roman"/>
                      <w:color w:val="auto"/>
                      <w:szCs w:val="21"/>
                    </w:rPr>
                  </w:pPr>
                  <w:r>
                    <w:rPr>
                      <w:rFonts w:hint="eastAsia" w:ascii="Times New Roman" w:hAnsi="Times New Roman"/>
                      <w:color w:val="auto"/>
                      <w:szCs w:val="21"/>
                    </w:rPr>
                    <w:t>落砂废气</w:t>
                  </w:r>
                </w:p>
              </w:tc>
              <w:tc>
                <w:tcPr>
                  <w:tcW w:w="2160" w:type="dxa"/>
                  <w:noWrap/>
                  <w:vAlign w:val="center"/>
                </w:tcPr>
                <w:p w14:paraId="19FB7ED7">
                  <w:pPr>
                    <w:pStyle w:val="12"/>
                    <w:jc w:val="center"/>
                    <w:rPr>
                      <w:rFonts w:ascii="Times New Roman" w:hAnsi="Times New Roman"/>
                      <w:color w:val="auto"/>
                      <w:szCs w:val="21"/>
                    </w:rPr>
                  </w:pPr>
                  <w:r>
                    <w:rPr>
                      <w:rFonts w:hint="eastAsia" w:ascii="Times New Roman" w:hAnsi="Times New Roman"/>
                      <w:color w:val="auto"/>
                      <w:szCs w:val="21"/>
                    </w:rPr>
                    <w:t>布袋除尘装置+15m排气筒（DA00</w:t>
                  </w:r>
                  <w:r>
                    <w:rPr>
                      <w:rFonts w:hint="eastAsia" w:ascii="Times New Roman" w:hAnsi="Times New Roman"/>
                      <w:color w:val="auto"/>
                      <w:szCs w:val="21"/>
                      <w:lang w:val="en-US" w:eastAsia="zh-CN"/>
                    </w:rPr>
                    <w:t>3</w:t>
                  </w:r>
                  <w:r>
                    <w:rPr>
                      <w:rFonts w:hint="eastAsia" w:ascii="Times New Roman" w:hAnsi="Times New Roman"/>
                      <w:color w:val="auto"/>
                      <w:szCs w:val="21"/>
                    </w:rPr>
                    <w:t>）</w:t>
                  </w:r>
                </w:p>
              </w:tc>
              <w:tc>
                <w:tcPr>
                  <w:tcW w:w="2459" w:type="dxa"/>
                  <w:vMerge w:val="continue"/>
                  <w:noWrap/>
                  <w:vAlign w:val="center"/>
                </w:tcPr>
                <w:p w14:paraId="7F424AB8">
                  <w:pPr>
                    <w:pStyle w:val="12"/>
                    <w:jc w:val="center"/>
                    <w:rPr>
                      <w:rFonts w:ascii="Times New Roman" w:hAnsi="Times New Roman"/>
                      <w:color w:val="auto"/>
                      <w:szCs w:val="21"/>
                    </w:rPr>
                  </w:pPr>
                </w:p>
              </w:tc>
            </w:tr>
            <w:tr w14:paraId="25AF39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3" w:hRule="atLeast"/>
                <w:jc w:val="center"/>
              </w:trPr>
              <w:tc>
                <w:tcPr>
                  <w:tcW w:w="1222" w:type="dxa"/>
                  <w:vMerge w:val="continue"/>
                  <w:noWrap/>
                  <w:vAlign w:val="center"/>
                </w:tcPr>
                <w:p w14:paraId="511C451E">
                  <w:pPr>
                    <w:pStyle w:val="12"/>
                    <w:jc w:val="center"/>
                    <w:rPr>
                      <w:rFonts w:ascii="Times New Roman" w:hAnsi="Times New Roman"/>
                      <w:color w:val="auto"/>
                      <w:szCs w:val="21"/>
                    </w:rPr>
                  </w:pPr>
                </w:p>
              </w:tc>
              <w:tc>
                <w:tcPr>
                  <w:tcW w:w="630" w:type="dxa"/>
                  <w:vMerge w:val="continue"/>
                  <w:noWrap/>
                  <w:vAlign w:val="center"/>
                </w:tcPr>
                <w:p w14:paraId="467AABDD">
                  <w:pPr>
                    <w:pStyle w:val="12"/>
                    <w:jc w:val="center"/>
                    <w:rPr>
                      <w:rFonts w:ascii="Times New Roman" w:hAnsi="Times New Roman"/>
                      <w:color w:val="auto"/>
                      <w:szCs w:val="21"/>
                    </w:rPr>
                  </w:pPr>
                </w:p>
              </w:tc>
              <w:tc>
                <w:tcPr>
                  <w:tcW w:w="1827" w:type="dxa"/>
                  <w:noWrap/>
                  <w:vAlign w:val="center"/>
                </w:tcPr>
                <w:p w14:paraId="397886B0">
                  <w:pPr>
                    <w:pStyle w:val="12"/>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机加工废气</w:t>
                  </w:r>
                </w:p>
              </w:tc>
              <w:tc>
                <w:tcPr>
                  <w:tcW w:w="2160" w:type="dxa"/>
                  <w:noWrap/>
                  <w:vAlign w:val="center"/>
                </w:tcPr>
                <w:p w14:paraId="6994FD1F">
                  <w:pPr>
                    <w:pStyle w:val="12"/>
                    <w:jc w:val="center"/>
                    <w:rPr>
                      <w:rFonts w:hint="eastAsia" w:ascii="Times New Roman" w:hAnsi="Times New Roman"/>
                      <w:color w:val="auto"/>
                      <w:szCs w:val="21"/>
                    </w:rPr>
                  </w:pPr>
                  <w:r>
                    <w:rPr>
                      <w:rFonts w:hint="eastAsia" w:ascii="Times New Roman" w:hAnsi="Times New Roman" w:eastAsia="宋体" w:cs="Times New Roman"/>
                      <w:color w:val="auto"/>
                      <w:szCs w:val="21"/>
                      <w:lang w:val="en-US" w:eastAsia="zh-CN"/>
                    </w:rPr>
                    <w:t>无组织排放</w:t>
                  </w:r>
                </w:p>
              </w:tc>
              <w:tc>
                <w:tcPr>
                  <w:tcW w:w="2459" w:type="dxa"/>
                  <w:vMerge w:val="continue"/>
                  <w:noWrap/>
                  <w:vAlign w:val="center"/>
                </w:tcPr>
                <w:p w14:paraId="467429C0">
                  <w:pPr>
                    <w:pStyle w:val="12"/>
                    <w:jc w:val="center"/>
                    <w:rPr>
                      <w:rFonts w:ascii="Times New Roman" w:hAnsi="Times New Roman"/>
                      <w:color w:val="auto"/>
                      <w:szCs w:val="21"/>
                    </w:rPr>
                  </w:pPr>
                </w:p>
              </w:tc>
            </w:tr>
            <w:tr w14:paraId="797784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4" w:hRule="atLeast"/>
                <w:jc w:val="center"/>
              </w:trPr>
              <w:tc>
                <w:tcPr>
                  <w:tcW w:w="1222" w:type="dxa"/>
                  <w:vMerge w:val="continue"/>
                  <w:noWrap/>
                  <w:vAlign w:val="center"/>
                </w:tcPr>
                <w:p w14:paraId="4AD4DB40">
                  <w:pPr>
                    <w:pStyle w:val="12"/>
                    <w:jc w:val="center"/>
                    <w:rPr>
                      <w:rFonts w:ascii="Times New Roman" w:hAnsi="Times New Roman"/>
                      <w:color w:val="auto"/>
                      <w:szCs w:val="21"/>
                    </w:rPr>
                  </w:pPr>
                </w:p>
              </w:tc>
              <w:tc>
                <w:tcPr>
                  <w:tcW w:w="630" w:type="dxa"/>
                  <w:vMerge w:val="restart"/>
                  <w:noWrap/>
                  <w:vAlign w:val="center"/>
                </w:tcPr>
                <w:p w14:paraId="54F69DA1">
                  <w:pPr>
                    <w:pStyle w:val="12"/>
                    <w:jc w:val="center"/>
                    <w:rPr>
                      <w:rFonts w:ascii="Times New Roman" w:hAnsi="Times New Roman"/>
                      <w:color w:val="auto"/>
                      <w:szCs w:val="21"/>
                    </w:rPr>
                  </w:pPr>
                  <w:r>
                    <w:rPr>
                      <w:rFonts w:ascii="Times New Roman" w:hAnsi="Times New Roman"/>
                      <w:color w:val="auto"/>
                      <w:szCs w:val="21"/>
                    </w:rPr>
                    <w:t>废水</w:t>
                  </w:r>
                </w:p>
              </w:tc>
              <w:tc>
                <w:tcPr>
                  <w:tcW w:w="1827" w:type="dxa"/>
                  <w:noWrap/>
                  <w:vAlign w:val="center"/>
                </w:tcPr>
                <w:p w14:paraId="552E0206">
                  <w:pPr>
                    <w:pStyle w:val="12"/>
                    <w:jc w:val="center"/>
                    <w:rPr>
                      <w:rFonts w:ascii="Times New Roman" w:hAnsi="Times New Roman"/>
                      <w:color w:val="auto"/>
                      <w:szCs w:val="21"/>
                    </w:rPr>
                  </w:pPr>
                  <w:r>
                    <w:rPr>
                      <w:rFonts w:ascii="Times New Roman" w:hAnsi="Times New Roman"/>
                      <w:color w:val="auto"/>
                      <w:szCs w:val="21"/>
                    </w:rPr>
                    <w:t>生活污水</w:t>
                  </w:r>
                </w:p>
              </w:tc>
              <w:tc>
                <w:tcPr>
                  <w:tcW w:w="2160" w:type="dxa"/>
                  <w:noWrap/>
                  <w:vAlign w:val="center"/>
                </w:tcPr>
                <w:p w14:paraId="60378B8A">
                  <w:pPr>
                    <w:pStyle w:val="12"/>
                    <w:jc w:val="center"/>
                    <w:rPr>
                      <w:rFonts w:ascii="Times New Roman" w:hAnsi="Times New Roman"/>
                      <w:color w:val="auto"/>
                      <w:szCs w:val="21"/>
                    </w:rPr>
                  </w:pPr>
                  <w:r>
                    <w:rPr>
                      <w:rFonts w:hint="eastAsia" w:ascii="Times New Roman" w:hAnsi="Times New Roman"/>
                      <w:color w:val="auto"/>
                    </w:rPr>
                    <w:t>依托租赁方化粪池20m</w:t>
                  </w:r>
                  <w:r>
                    <w:rPr>
                      <w:rFonts w:hint="eastAsia" w:ascii="Times New Roman" w:hAnsi="Times New Roman"/>
                      <w:color w:val="auto"/>
                      <w:vertAlign w:val="superscript"/>
                    </w:rPr>
                    <w:t>3</w:t>
                  </w:r>
                </w:p>
              </w:tc>
              <w:tc>
                <w:tcPr>
                  <w:tcW w:w="2459" w:type="dxa"/>
                  <w:noWrap/>
                  <w:vAlign w:val="center"/>
                </w:tcPr>
                <w:p w14:paraId="63DD7A8F">
                  <w:pPr>
                    <w:pStyle w:val="12"/>
                    <w:jc w:val="center"/>
                    <w:rPr>
                      <w:rFonts w:hint="eastAsia" w:ascii="Times New Roman" w:hAnsi="Times New Roman" w:eastAsia="宋体"/>
                      <w:color w:val="auto"/>
                      <w:szCs w:val="21"/>
                      <w:lang w:eastAsia="zh-CN"/>
                    </w:rPr>
                  </w:pPr>
                  <w:r>
                    <w:rPr>
                      <w:rFonts w:ascii="Times New Roman" w:hAnsi="Times New Roman"/>
                      <w:color w:val="auto"/>
                      <w:szCs w:val="21"/>
                    </w:rPr>
                    <w:t>预处理后</w:t>
                  </w:r>
                  <w:r>
                    <w:rPr>
                      <w:rFonts w:hint="eastAsia" w:ascii="Times New Roman" w:hAnsi="Times New Roman"/>
                      <w:color w:val="auto"/>
                      <w:lang w:val="en-US" w:eastAsia="zh-CN"/>
                    </w:rPr>
                    <w:t>用作液态肥料</w:t>
                  </w:r>
                </w:p>
              </w:tc>
            </w:tr>
            <w:tr w14:paraId="251DC3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8" w:hRule="atLeast"/>
                <w:jc w:val="center"/>
              </w:trPr>
              <w:tc>
                <w:tcPr>
                  <w:tcW w:w="1222" w:type="dxa"/>
                  <w:vMerge w:val="continue"/>
                  <w:noWrap/>
                  <w:vAlign w:val="center"/>
                </w:tcPr>
                <w:p w14:paraId="6C4DEA94">
                  <w:pPr>
                    <w:pStyle w:val="12"/>
                    <w:jc w:val="center"/>
                    <w:rPr>
                      <w:rFonts w:ascii="Times New Roman" w:hAnsi="Times New Roman"/>
                      <w:color w:val="auto"/>
                      <w:szCs w:val="21"/>
                    </w:rPr>
                  </w:pPr>
                </w:p>
              </w:tc>
              <w:tc>
                <w:tcPr>
                  <w:tcW w:w="630" w:type="dxa"/>
                  <w:vMerge w:val="continue"/>
                  <w:noWrap/>
                  <w:vAlign w:val="center"/>
                </w:tcPr>
                <w:p w14:paraId="372F90E2">
                  <w:pPr>
                    <w:pStyle w:val="12"/>
                    <w:jc w:val="center"/>
                    <w:rPr>
                      <w:rFonts w:ascii="Times New Roman" w:hAnsi="Times New Roman"/>
                      <w:color w:val="auto"/>
                      <w:szCs w:val="21"/>
                    </w:rPr>
                  </w:pPr>
                </w:p>
              </w:tc>
              <w:tc>
                <w:tcPr>
                  <w:tcW w:w="1827" w:type="dxa"/>
                  <w:noWrap/>
                  <w:vAlign w:val="center"/>
                </w:tcPr>
                <w:p w14:paraId="31958290">
                  <w:pPr>
                    <w:pStyle w:val="12"/>
                    <w:jc w:val="center"/>
                    <w:rPr>
                      <w:rFonts w:ascii="Times New Roman" w:hAnsi="Times New Roman"/>
                      <w:color w:val="auto"/>
                      <w:szCs w:val="21"/>
                    </w:rPr>
                  </w:pPr>
                  <w:r>
                    <w:rPr>
                      <w:rFonts w:ascii="Times New Roman" w:hAnsi="Times New Roman"/>
                      <w:color w:val="auto"/>
                      <w:szCs w:val="21"/>
                    </w:rPr>
                    <w:t>雨污分流管网</w:t>
                  </w:r>
                </w:p>
              </w:tc>
              <w:tc>
                <w:tcPr>
                  <w:tcW w:w="2160" w:type="dxa"/>
                  <w:noWrap/>
                  <w:vAlign w:val="center"/>
                </w:tcPr>
                <w:p w14:paraId="7065AC0D">
                  <w:pPr>
                    <w:pStyle w:val="12"/>
                    <w:jc w:val="center"/>
                    <w:rPr>
                      <w:rFonts w:ascii="Times New Roman" w:hAnsi="Times New Roman"/>
                      <w:color w:val="auto"/>
                      <w:szCs w:val="21"/>
                    </w:rPr>
                  </w:pPr>
                  <w:r>
                    <w:rPr>
                      <w:rFonts w:ascii="Times New Roman" w:hAnsi="Times New Roman"/>
                      <w:color w:val="auto"/>
                      <w:szCs w:val="21"/>
                    </w:rPr>
                    <w:t>规范化设置</w:t>
                  </w:r>
                </w:p>
              </w:tc>
              <w:tc>
                <w:tcPr>
                  <w:tcW w:w="2459" w:type="dxa"/>
                  <w:noWrap/>
                  <w:vAlign w:val="center"/>
                </w:tcPr>
                <w:p w14:paraId="25EF7CC8">
                  <w:pPr>
                    <w:pStyle w:val="12"/>
                    <w:jc w:val="center"/>
                    <w:rPr>
                      <w:rFonts w:ascii="Times New Roman" w:hAnsi="Times New Roman"/>
                      <w:color w:val="auto"/>
                      <w:szCs w:val="21"/>
                    </w:rPr>
                  </w:pPr>
                  <w:r>
                    <w:rPr>
                      <w:rFonts w:ascii="Times New Roman" w:hAnsi="Times New Roman"/>
                      <w:color w:val="auto"/>
                      <w:szCs w:val="21"/>
                    </w:rPr>
                    <w:t>依托租赁方雨水排口</w:t>
                  </w:r>
                </w:p>
              </w:tc>
            </w:tr>
            <w:tr w14:paraId="3E9921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62" w:hRule="atLeast"/>
                <w:jc w:val="center"/>
              </w:trPr>
              <w:tc>
                <w:tcPr>
                  <w:tcW w:w="1222" w:type="dxa"/>
                  <w:vMerge w:val="continue"/>
                  <w:noWrap/>
                  <w:vAlign w:val="center"/>
                </w:tcPr>
                <w:p w14:paraId="073341B0">
                  <w:pPr>
                    <w:pStyle w:val="12"/>
                    <w:jc w:val="center"/>
                    <w:rPr>
                      <w:rFonts w:ascii="Times New Roman" w:hAnsi="Times New Roman"/>
                      <w:color w:val="auto"/>
                      <w:szCs w:val="21"/>
                    </w:rPr>
                  </w:pPr>
                </w:p>
              </w:tc>
              <w:tc>
                <w:tcPr>
                  <w:tcW w:w="2457" w:type="dxa"/>
                  <w:gridSpan w:val="2"/>
                  <w:noWrap/>
                  <w:vAlign w:val="center"/>
                </w:tcPr>
                <w:p w14:paraId="59AD3212">
                  <w:pPr>
                    <w:pStyle w:val="12"/>
                    <w:jc w:val="center"/>
                    <w:rPr>
                      <w:rFonts w:ascii="Times New Roman" w:hAnsi="Times New Roman"/>
                      <w:color w:val="auto"/>
                      <w:szCs w:val="21"/>
                    </w:rPr>
                  </w:pPr>
                  <w:r>
                    <w:rPr>
                      <w:rFonts w:ascii="Times New Roman" w:hAnsi="Times New Roman"/>
                      <w:color w:val="auto"/>
                      <w:szCs w:val="21"/>
                    </w:rPr>
                    <w:t>噪声治理</w:t>
                  </w:r>
                </w:p>
              </w:tc>
              <w:tc>
                <w:tcPr>
                  <w:tcW w:w="2160" w:type="dxa"/>
                  <w:noWrap/>
                  <w:vAlign w:val="center"/>
                </w:tcPr>
                <w:p w14:paraId="419C29E9">
                  <w:pPr>
                    <w:pStyle w:val="12"/>
                    <w:jc w:val="center"/>
                    <w:rPr>
                      <w:rFonts w:ascii="Times New Roman" w:hAnsi="Times New Roman"/>
                      <w:color w:val="auto"/>
                      <w:szCs w:val="21"/>
                    </w:rPr>
                  </w:pPr>
                  <w:r>
                    <w:rPr>
                      <w:rFonts w:ascii="Times New Roman" w:hAnsi="Times New Roman"/>
                      <w:color w:val="auto"/>
                      <w:szCs w:val="21"/>
                    </w:rPr>
                    <w:t>厂房隔声、减振、降噪</w:t>
                  </w:r>
                </w:p>
              </w:tc>
              <w:tc>
                <w:tcPr>
                  <w:tcW w:w="2459" w:type="dxa"/>
                  <w:noWrap/>
                  <w:vAlign w:val="center"/>
                </w:tcPr>
                <w:p w14:paraId="57F03ACD">
                  <w:pPr>
                    <w:pStyle w:val="12"/>
                    <w:jc w:val="center"/>
                    <w:rPr>
                      <w:rFonts w:ascii="Times New Roman" w:hAnsi="Times New Roman"/>
                      <w:color w:val="auto"/>
                      <w:szCs w:val="21"/>
                    </w:rPr>
                  </w:pPr>
                  <w:r>
                    <w:rPr>
                      <w:rFonts w:ascii="Times New Roman" w:hAnsi="Times New Roman"/>
                      <w:color w:val="auto"/>
                      <w:szCs w:val="21"/>
                    </w:rPr>
                    <w:t>厂界噪声满足《工业企业厂界环境噪声排放标准》（GB12348-2008）中的</w:t>
                  </w:r>
                  <w:r>
                    <w:rPr>
                      <w:rFonts w:hint="eastAsia" w:ascii="Times New Roman" w:hAnsi="Times New Roman"/>
                      <w:color w:val="auto"/>
                      <w:szCs w:val="21"/>
                      <w:lang w:val="en-US" w:eastAsia="zh-CN"/>
                    </w:rPr>
                    <w:t>2</w:t>
                  </w:r>
                  <w:r>
                    <w:rPr>
                      <w:rFonts w:ascii="Times New Roman" w:hAnsi="Times New Roman"/>
                      <w:color w:val="auto"/>
                      <w:szCs w:val="21"/>
                    </w:rPr>
                    <w:t>类标准</w:t>
                  </w:r>
                </w:p>
              </w:tc>
            </w:tr>
            <w:tr w14:paraId="421E9C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8" w:hRule="atLeast"/>
                <w:jc w:val="center"/>
              </w:trPr>
              <w:tc>
                <w:tcPr>
                  <w:tcW w:w="1222" w:type="dxa"/>
                  <w:vMerge w:val="continue"/>
                  <w:noWrap/>
                  <w:vAlign w:val="center"/>
                </w:tcPr>
                <w:p w14:paraId="44D310A1">
                  <w:pPr>
                    <w:pStyle w:val="12"/>
                    <w:jc w:val="center"/>
                    <w:rPr>
                      <w:rFonts w:ascii="Times New Roman" w:hAnsi="Times New Roman"/>
                      <w:color w:val="auto"/>
                      <w:szCs w:val="21"/>
                    </w:rPr>
                  </w:pPr>
                </w:p>
              </w:tc>
              <w:tc>
                <w:tcPr>
                  <w:tcW w:w="630" w:type="dxa"/>
                  <w:vMerge w:val="restart"/>
                  <w:noWrap/>
                  <w:vAlign w:val="center"/>
                </w:tcPr>
                <w:p w14:paraId="0F40A164">
                  <w:pPr>
                    <w:pStyle w:val="12"/>
                    <w:jc w:val="center"/>
                    <w:rPr>
                      <w:rFonts w:ascii="Times New Roman" w:hAnsi="Times New Roman"/>
                      <w:color w:val="auto"/>
                      <w:szCs w:val="21"/>
                    </w:rPr>
                  </w:pPr>
                  <w:r>
                    <w:rPr>
                      <w:rFonts w:ascii="Times New Roman" w:hAnsi="Times New Roman"/>
                      <w:color w:val="auto"/>
                      <w:szCs w:val="21"/>
                    </w:rPr>
                    <w:t>固废处理</w:t>
                  </w:r>
                </w:p>
              </w:tc>
              <w:tc>
                <w:tcPr>
                  <w:tcW w:w="1827" w:type="dxa"/>
                  <w:noWrap/>
                  <w:vAlign w:val="center"/>
                </w:tcPr>
                <w:p w14:paraId="2F09FEC9">
                  <w:pPr>
                    <w:pStyle w:val="12"/>
                    <w:jc w:val="center"/>
                    <w:rPr>
                      <w:rFonts w:ascii="Times New Roman" w:hAnsi="Times New Roman"/>
                      <w:color w:val="auto"/>
                    </w:rPr>
                  </w:pPr>
                  <w:r>
                    <w:rPr>
                      <w:rFonts w:hint="eastAsia" w:ascii="Times New Roman" w:hAnsi="Times New Roman"/>
                      <w:color w:val="auto"/>
                    </w:rPr>
                    <w:t>一般固废仓库</w:t>
                  </w:r>
                </w:p>
              </w:tc>
              <w:tc>
                <w:tcPr>
                  <w:tcW w:w="2160" w:type="dxa"/>
                  <w:noWrap/>
                  <w:vAlign w:val="center"/>
                </w:tcPr>
                <w:p w14:paraId="77DB324B">
                  <w:pPr>
                    <w:pStyle w:val="12"/>
                    <w:jc w:val="center"/>
                    <w:rPr>
                      <w:rFonts w:ascii="Times New Roman" w:hAnsi="Times New Roman"/>
                      <w:color w:val="auto"/>
                    </w:rPr>
                  </w:pPr>
                  <w:r>
                    <w:rPr>
                      <w:rFonts w:hint="eastAsia" w:ascii="Times New Roman" w:hAnsi="Times New Roman"/>
                      <w:color w:val="auto"/>
                    </w:rPr>
                    <w:t>50m</w:t>
                  </w:r>
                  <w:r>
                    <w:rPr>
                      <w:rFonts w:hint="eastAsia" w:ascii="Times New Roman" w:hAnsi="Times New Roman"/>
                      <w:color w:val="auto"/>
                      <w:vertAlign w:val="superscript"/>
                    </w:rPr>
                    <w:t>2</w:t>
                  </w:r>
                </w:p>
              </w:tc>
              <w:tc>
                <w:tcPr>
                  <w:tcW w:w="2459" w:type="dxa"/>
                  <w:noWrap/>
                  <w:vAlign w:val="center"/>
                </w:tcPr>
                <w:p w14:paraId="268FC882">
                  <w:pPr>
                    <w:pStyle w:val="12"/>
                    <w:jc w:val="center"/>
                    <w:rPr>
                      <w:rFonts w:ascii="Times New Roman" w:hAnsi="Times New Roman"/>
                      <w:color w:val="auto"/>
                    </w:rPr>
                  </w:pPr>
                  <w:r>
                    <w:rPr>
                      <w:rFonts w:hint="eastAsia" w:ascii="Times New Roman" w:hAnsi="Times New Roman"/>
                      <w:color w:val="auto"/>
                    </w:rPr>
                    <w:t>收集，外售综合利用</w:t>
                  </w:r>
                </w:p>
              </w:tc>
            </w:tr>
            <w:tr w14:paraId="7FCD04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222" w:type="dxa"/>
                  <w:vMerge w:val="continue"/>
                  <w:noWrap/>
                  <w:vAlign w:val="center"/>
                </w:tcPr>
                <w:p w14:paraId="0F37254B">
                  <w:pPr>
                    <w:pStyle w:val="12"/>
                    <w:jc w:val="center"/>
                    <w:rPr>
                      <w:rFonts w:ascii="Times New Roman" w:hAnsi="Times New Roman"/>
                      <w:color w:val="auto"/>
                      <w:szCs w:val="21"/>
                    </w:rPr>
                  </w:pPr>
                </w:p>
              </w:tc>
              <w:tc>
                <w:tcPr>
                  <w:tcW w:w="630" w:type="dxa"/>
                  <w:vMerge w:val="continue"/>
                  <w:noWrap/>
                  <w:vAlign w:val="center"/>
                </w:tcPr>
                <w:p w14:paraId="72DC17B2">
                  <w:pPr>
                    <w:pStyle w:val="12"/>
                    <w:jc w:val="center"/>
                    <w:rPr>
                      <w:rFonts w:ascii="Times New Roman" w:hAnsi="Times New Roman"/>
                      <w:color w:val="auto"/>
                      <w:szCs w:val="21"/>
                    </w:rPr>
                  </w:pPr>
                </w:p>
              </w:tc>
              <w:tc>
                <w:tcPr>
                  <w:tcW w:w="1827" w:type="dxa"/>
                  <w:noWrap/>
                  <w:vAlign w:val="center"/>
                </w:tcPr>
                <w:p w14:paraId="0AEF32A2">
                  <w:pPr>
                    <w:pStyle w:val="12"/>
                    <w:jc w:val="center"/>
                    <w:rPr>
                      <w:rFonts w:ascii="Times New Roman" w:hAnsi="Times New Roman"/>
                      <w:color w:val="auto"/>
                    </w:rPr>
                  </w:pPr>
                  <w:r>
                    <w:rPr>
                      <w:rFonts w:hint="eastAsia" w:ascii="Times New Roman" w:hAnsi="Times New Roman"/>
                      <w:color w:val="auto"/>
                    </w:rPr>
                    <w:t>危险废物仓库</w:t>
                  </w:r>
                </w:p>
              </w:tc>
              <w:tc>
                <w:tcPr>
                  <w:tcW w:w="2160" w:type="dxa"/>
                  <w:noWrap/>
                  <w:vAlign w:val="center"/>
                </w:tcPr>
                <w:p w14:paraId="55B07577">
                  <w:pPr>
                    <w:pStyle w:val="12"/>
                    <w:jc w:val="center"/>
                    <w:rPr>
                      <w:rFonts w:ascii="Times New Roman" w:hAnsi="Times New Roman"/>
                      <w:color w:val="auto"/>
                    </w:rPr>
                  </w:pPr>
                  <w:r>
                    <w:rPr>
                      <w:rFonts w:hint="eastAsia" w:ascii="Times New Roman" w:hAnsi="Times New Roman"/>
                      <w:color w:val="auto"/>
                    </w:rPr>
                    <w:t xml:space="preserve"> 20m</w:t>
                  </w:r>
                  <w:r>
                    <w:rPr>
                      <w:rFonts w:hint="eastAsia" w:ascii="Times New Roman" w:hAnsi="Times New Roman"/>
                      <w:color w:val="auto"/>
                      <w:vertAlign w:val="superscript"/>
                    </w:rPr>
                    <w:t>2</w:t>
                  </w:r>
                </w:p>
              </w:tc>
              <w:tc>
                <w:tcPr>
                  <w:tcW w:w="2459" w:type="dxa"/>
                  <w:noWrap/>
                  <w:vAlign w:val="center"/>
                </w:tcPr>
                <w:p w14:paraId="6C8AA4A6">
                  <w:pPr>
                    <w:pStyle w:val="12"/>
                    <w:jc w:val="center"/>
                    <w:rPr>
                      <w:rFonts w:hint="eastAsia" w:ascii="Times New Roman" w:hAnsi="Times New Roman"/>
                      <w:color w:val="auto"/>
                    </w:rPr>
                  </w:pPr>
                  <w:r>
                    <w:rPr>
                      <w:rFonts w:hint="eastAsia" w:ascii="Times New Roman" w:hAnsi="Times New Roman"/>
                      <w:color w:val="auto"/>
                    </w:rPr>
                    <w:t>收集暂存，委托有资质单位处置</w:t>
                  </w:r>
                </w:p>
              </w:tc>
            </w:tr>
            <w:tr w14:paraId="5427C6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0" w:hRule="atLeast"/>
                <w:jc w:val="center"/>
              </w:trPr>
              <w:tc>
                <w:tcPr>
                  <w:tcW w:w="1222" w:type="dxa"/>
                  <w:vMerge w:val="continue"/>
                  <w:noWrap/>
                  <w:vAlign w:val="center"/>
                </w:tcPr>
                <w:p w14:paraId="6684C4EE">
                  <w:pPr>
                    <w:pStyle w:val="12"/>
                    <w:jc w:val="center"/>
                    <w:rPr>
                      <w:rFonts w:ascii="Times New Roman" w:hAnsi="Times New Roman"/>
                      <w:color w:val="auto"/>
                      <w:szCs w:val="21"/>
                    </w:rPr>
                  </w:pPr>
                </w:p>
              </w:tc>
              <w:tc>
                <w:tcPr>
                  <w:tcW w:w="2457" w:type="dxa"/>
                  <w:gridSpan w:val="2"/>
                  <w:noWrap/>
                  <w:vAlign w:val="center"/>
                </w:tcPr>
                <w:p w14:paraId="4D3B6F52">
                  <w:pPr>
                    <w:pStyle w:val="12"/>
                    <w:jc w:val="center"/>
                    <w:rPr>
                      <w:rFonts w:ascii="Times New Roman" w:hAnsi="Times New Roman"/>
                      <w:color w:val="auto"/>
                      <w:szCs w:val="21"/>
                    </w:rPr>
                  </w:pPr>
                  <w:r>
                    <w:rPr>
                      <w:rFonts w:hint="eastAsia" w:ascii="Times New Roman" w:hAnsi="Times New Roman"/>
                      <w:color w:val="auto"/>
                      <w:szCs w:val="21"/>
                    </w:rPr>
                    <w:t>应急设施</w:t>
                  </w:r>
                </w:p>
              </w:tc>
              <w:tc>
                <w:tcPr>
                  <w:tcW w:w="2160" w:type="dxa"/>
                  <w:noWrap/>
                  <w:vAlign w:val="center"/>
                </w:tcPr>
                <w:p w14:paraId="1925A70D">
                  <w:pPr>
                    <w:pStyle w:val="12"/>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依托租赁方</w:t>
                  </w:r>
                </w:p>
                <w:p w14:paraId="2A794A18">
                  <w:pPr>
                    <w:pStyle w:val="12"/>
                    <w:jc w:val="center"/>
                    <w:rPr>
                      <w:rFonts w:ascii="Times New Roman" w:hAnsi="Times New Roman"/>
                      <w:color w:val="auto"/>
                      <w:szCs w:val="21"/>
                    </w:rPr>
                  </w:pPr>
                  <w:r>
                    <w:rPr>
                      <w:rFonts w:hint="eastAsia" w:ascii="Times New Roman" w:hAnsi="Times New Roman"/>
                      <w:color w:val="auto"/>
                      <w:szCs w:val="21"/>
                    </w:rPr>
                    <w:t>事故池</w:t>
                  </w:r>
                  <w:r>
                    <w:rPr>
                      <w:rFonts w:hint="eastAsia" w:ascii="Times New Roman" w:hAnsi="Times New Roman"/>
                      <w:color w:val="auto"/>
                      <w:szCs w:val="21"/>
                      <w:lang w:val="en-US" w:eastAsia="zh-CN"/>
                    </w:rPr>
                    <w:t>140</w:t>
                  </w:r>
                  <w:r>
                    <w:rPr>
                      <w:rFonts w:hint="eastAsia" w:ascii="Times New Roman" w:hAnsi="Times New Roman"/>
                      <w:color w:val="auto"/>
                      <w:szCs w:val="21"/>
                    </w:rPr>
                    <w:t>m</w:t>
                  </w:r>
                  <w:r>
                    <w:rPr>
                      <w:rFonts w:hint="eastAsia" w:ascii="Times New Roman" w:hAnsi="Times New Roman"/>
                      <w:color w:val="auto"/>
                      <w:szCs w:val="21"/>
                      <w:vertAlign w:val="superscript"/>
                    </w:rPr>
                    <w:t>3</w:t>
                  </w:r>
                </w:p>
              </w:tc>
              <w:tc>
                <w:tcPr>
                  <w:tcW w:w="2459" w:type="dxa"/>
                  <w:noWrap/>
                  <w:vAlign w:val="center"/>
                </w:tcPr>
                <w:p w14:paraId="5805D8E1">
                  <w:pPr>
                    <w:pStyle w:val="12"/>
                    <w:jc w:val="center"/>
                    <w:rPr>
                      <w:rFonts w:hint="eastAsia" w:ascii="Times New Roman" w:hAnsi="Times New Roman"/>
                      <w:color w:val="auto"/>
                    </w:rPr>
                  </w:pPr>
                  <w:r>
                    <w:rPr>
                      <w:rFonts w:hint="eastAsia" w:ascii="Times New Roman" w:hAnsi="Times New Roman"/>
                      <w:color w:val="auto"/>
                    </w:rPr>
                    <w:t>暂存事故废水</w:t>
                  </w:r>
                </w:p>
              </w:tc>
            </w:tr>
          </w:tbl>
          <w:p w14:paraId="58954AC8">
            <w:pPr>
              <w:keepNext w:val="0"/>
              <w:keepLines w:val="0"/>
              <w:pageBreakBefore w:val="0"/>
              <w:kinsoku/>
              <w:wordWrap/>
              <w:overflowPunct/>
              <w:topLinePunct w:val="0"/>
              <w:autoSpaceDE/>
              <w:autoSpaceDN/>
              <w:bidi w:val="0"/>
              <w:adjustRightInd/>
              <w:snapToGrid/>
              <w:spacing w:line="360" w:lineRule="auto"/>
              <w:ind w:firstLine="422"/>
              <w:textAlignment w:val="auto"/>
              <w:rPr>
                <w:b/>
                <w:color w:val="auto"/>
                <w:kern w:val="0"/>
                <w:sz w:val="21"/>
                <w:szCs w:val="21"/>
              </w:rPr>
            </w:pPr>
            <w:r>
              <w:rPr>
                <w:rFonts w:hint="eastAsia"/>
                <w:b/>
                <w:color w:val="auto"/>
                <w:kern w:val="0"/>
                <w:sz w:val="21"/>
                <w:szCs w:val="21"/>
                <w:lang w:val="en-US" w:eastAsia="zh-CN"/>
              </w:rPr>
              <w:t>2.2</w:t>
            </w:r>
            <w:r>
              <w:rPr>
                <w:rFonts w:hint="eastAsia"/>
                <w:b/>
                <w:color w:val="auto"/>
                <w:kern w:val="0"/>
                <w:sz w:val="21"/>
                <w:szCs w:val="21"/>
              </w:rPr>
              <w:t>产品方案</w:t>
            </w:r>
          </w:p>
          <w:p w14:paraId="2FFCD92D">
            <w:pPr>
              <w:spacing w:line="460" w:lineRule="exact"/>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3</w:t>
            </w:r>
            <w:r>
              <w:rPr>
                <w:b/>
                <w:bCs/>
                <w:color w:val="auto"/>
                <w:sz w:val="21"/>
                <w:szCs w:val="21"/>
              </w:rPr>
              <w:t xml:space="preserve"> </w:t>
            </w:r>
            <w:r>
              <w:rPr>
                <w:rFonts w:hint="eastAsia"/>
                <w:b/>
                <w:bCs/>
                <w:color w:val="auto"/>
                <w:sz w:val="21"/>
                <w:szCs w:val="21"/>
              </w:rPr>
              <w:t>建设</w:t>
            </w:r>
            <w:r>
              <w:rPr>
                <w:b/>
                <w:bCs/>
                <w:color w:val="auto"/>
                <w:sz w:val="21"/>
                <w:szCs w:val="21"/>
              </w:rPr>
              <w:t>项目产品方案</w:t>
            </w:r>
            <w:r>
              <w:rPr>
                <w:rFonts w:hint="eastAsia"/>
                <w:b/>
                <w:bCs/>
                <w:color w:val="auto"/>
                <w:sz w:val="21"/>
                <w:szCs w:val="21"/>
              </w:rPr>
              <w:t>一览表</w:t>
            </w:r>
          </w:p>
          <w:tbl>
            <w:tblPr>
              <w:tblStyle w:val="25"/>
              <w:tblW w:w="84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455"/>
              <w:gridCol w:w="2130"/>
              <w:gridCol w:w="1125"/>
              <w:gridCol w:w="1375"/>
              <w:gridCol w:w="996"/>
            </w:tblGrid>
            <w:tr w14:paraId="4C2F5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87" w:hRule="atLeast"/>
                <w:jc w:val="center"/>
              </w:trPr>
              <w:tc>
                <w:tcPr>
                  <w:tcW w:w="823" w:type="pct"/>
                  <w:noWrap w:val="0"/>
                  <w:vAlign w:val="center"/>
                </w:tcPr>
                <w:p w14:paraId="2AEE4ED5">
                  <w:pPr>
                    <w:pStyle w:val="43"/>
                    <w:rPr>
                      <w:b/>
                      <w:color w:val="auto"/>
                      <w:lang w:val="en-US" w:eastAsia="zh-CN"/>
                    </w:rPr>
                  </w:pPr>
                  <w:r>
                    <w:rPr>
                      <w:b/>
                      <w:color w:val="auto"/>
                      <w:lang w:val="en-US" w:eastAsia="zh-CN"/>
                    </w:rPr>
                    <w:t>工程名称（车间、生产装置或生产线）</w:t>
                  </w:r>
                </w:p>
              </w:tc>
              <w:tc>
                <w:tcPr>
                  <w:tcW w:w="858" w:type="pct"/>
                  <w:noWrap w:val="0"/>
                  <w:vAlign w:val="center"/>
                </w:tcPr>
                <w:p w14:paraId="42645174">
                  <w:pPr>
                    <w:pStyle w:val="43"/>
                    <w:rPr>
                      <w:b/>
                      <w:color w:val="auto"/>
                      <w:lang w:val="en-US" w:eastAsia="zh-CN"/>
                    </w:rPr>
                  </w:pPr>
                  <w:r>
                    <w:rPr>
                      <w:b/>
                      <w:color w:val="auto"/>
                      <w:lang w:val="en-US" w:eastAsia="zh-CN"/>
                    </w:rPr>
                    <w:t>产品</w:t>
                  </w:r>
                </w:p>
                <w:p w14:paraId="4E2F61F1">
                  <w:pPr>
                    <w:pStyle w:val="43"/>
                    <w:rPr>
                      <w:b/>
                      <w:color w:val="auto"/>
                      <w:lang w:val="en-US" w:eastAsia="zh-CN"/>
                    </w:rPr>
                  </w:pPr>
                  <w:r>
                    <w:rPr>
                      <w:b/>
                      <w:color w:val="auto"/>
                      <w:lang w:val="en-US" w:eastAsia="zh-CN"/>
                    </w:rPr>
                    <w:t>名称</w:t>
                  </w:r>
                </w:p>
              </w:tc>
              <w:tc>
                <w:tcPr>
                  <w:tcW w:w="1256" w:type="pct"/>
                  <w:noWrap w:val="0"/>
                  <w:vAlign w:val="center"/>
                </w:tcPr>
                <w:p w14:paraId="76CCB05B">
                  <w:pPr>
                    <w:pStyle w:val="43"/>
                    <w:rPr>
                      <w:rFonts w:hint="eastAsia"/>
                      <w:b/>
                      <w:color w:val="auto"/>
                      <w:lang w:val="en-US" w:eastAsia="zh-CN"/>
                    </w:rPr>
                  </w:pPr>
                  <w:r>
                    <w:rPr>
                      <w:rFonts w:hint="eastAsia"/>
                      <w:b/>
                      <w:color w:val="auto"/>
                      <w:lang w:val="en-US" w:eastAsia="zh-CN"/>
                    </w:rPr>
                    <w:t>规格</w:t>
                  </w:r>
                </w:p>
              </w:tc>
              <w:tc>
                <w:tcPr>
                  <w:tcW w:w="1474" w:type="pct"/>
                  <w:gridSpan w:val="2"/>
                  <w:noWrap w:val="0"/>
                  <w:vAlign w:val="center"/>
                </w:tcPr>
                <w:p w14:paraId="724B0F99">
                  <w:pPr>
                    <w:pStyle w:val="43"/>
                    <w:rPr>
                      <w:b/>
                      <w:color w:val="auto"/>
                      <w:lang w:val="en-US" w:eastAsia="zh-CN"/>
                    </w:rPr>
                  </w:pPr>
                  <w:r>
                    <w:rPr>
                      <w:b/>
                      <w:color w:val="auto"/>
                      <w:lang w:val="en-US" w:eastAsia="zh-CN"/>
                    </w:rPr>
                    <w:t>设计</w:t>
                  </w:r>
                </w:p>
                <w:p w14:paraId="7B6B6B2F">
                  <w:pPr>
                    <w:pStyle w:val="43"/>
                    <w:rPr>
                      <w:b/>
                      <w:color w:val="auto"/>
                      <w:lang w:val="en-US" w:eastAsia="zh-CN"/>
                    </w:rPr>
                  </w:pPr>
                  <w:r>
                    <w:rPr>
                      <w:b/>
                      <w:color w:val="auto"/>
                      <w:lang w:val="en-US" w:eastAsia="zh-CN"/>
                    </w:rPr>
                    <w:t>规模</w:t>
                  </w:r>
                </w:p>
              </w:tc>
              <w:tc>
                <w:tcPr>
                  <w:tcW w:w="587" w:type="pct"/>
                  <w:noWrap w:val="0"/>
                  <w:vAlign w:val="center"/>
                </w:tcPr>
                <w:p w14:paraId="7084C8A0">
                  <w:pPr>
                    <w:pStyle w:val="43"/>
                    <w:rPr>
                      <w:b/>
                      <w:color w:val="auto"/>
                      <w:lang w:val="en-US" w:eastAsia="zh-CN"/>
                    </w:rPr>
                  </w:pPr>
                  <w:r>
                    <w:rPr>
                      <w:b/>
                      <w:color w:val="auto"/>
                      <w:lang w:val="en-US" w:eastAsia="zh-CN"/>
                    </w:rPr>
                    <w:t>年运行时数</w:t>
                  </w:r>
                </w:p>
              </w:tc>
            </w:tr>
            <w:tr w14:paraId="69804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823" w:type="pct"/>
                  <w:vMerge w:val="restart"/>
                  <w:noWrap w:val="0"/>
                  <w:vAlign w:val="center"/>
                </w:tcPr>
                <w:p w14:paraId="21A1B8D6">
                  <w:pPr>
                    <w:jc w:val="center"/>
                    <w:rPr>
                      <w:rFonts w:hint="eastAsia" w:hAnsi="宋体"/>
                      <w:color w:val="auto"/>
                      <w:kern w:val="0"/>
                      <w:szCs w:val="21"/>
                      <w:lang w:val="en-US" w:eastAsia="zh-CN"/>
                    </w:rPr>
                  </w:pPr>
                  <w:r>
                    <w:rPr>
                      <w:rFonts w:hint="eastAsia"/>
                      <w:color w:val="auto"/>
                    </w:rPr>
                    <w:t>铝</w:t>
                  </w:r>
                  <w:r>
                    <w:rPr>
                      <w:rFonts w:hint="eastAsia"/>
                      <w:color w:val="auto"/>
                      <w:lang w:val="en-US" w:eastAsia="zh-CN"/>
                    </w:rPr>
                    <w:t>合金铸件</w:t>
                  </w:r>
                  <w:r>
                    <w:rPr>
                      <w:rFonts w:hint="eastAsia" w:ascii="Times New Roman" w:hAnsi="Times New Roman" w:eastAsia="宋体" w:cs="Times New Roman"/>
                      <w:color w:val="auto"/>
                      <w:szCs w:val="21"/>
                      <w:lang w:val="en-US" w:eastAsia="zh-CN"/>
                    </w:rPr>
                    <w:t>生产线</w:t>
                  </w:r>
                </w:p>
              </w:tc>
              <w:tc>
                <w:tcPr>
                  <w:tcW w:w="858" w:type="pct"/>
                  <w:noWrap w:val="0"/>
                  <w:vAlign w:val="center"/>
                </w:tcPr>
                <w:p w14:paraId="62642CDF">
                  <w:pPr>
                    <w:jc w:val="center"/>
                    <w:rPr>
                      <w:rFonts w:hint="eastAsia"/>
                      <w:color w:val="auto"/>
                      <w:szCs w:val="21"/>
                      <w:lang w:val="en-US" w:eastAsia="zh-CN"/>
                    </w:rPr>
                  </w:pPr>
                  <w:r>
                    <w:rPr>
                      <w:rFonts w:hint="eastAsia"/>
                      <w:color w:val="auto"/>
                    </w:rPr>
                    <w:t>高压电气导体</w:t>
                  </w:r>
                </w:p>
              </w:tc>
              <w:tc>
                <w:tcPr>
                  <w:tcW w:w="1256" w:type="pct"/>
                  <w:vMerge w:val="restart"/>
                  <w:noWrap w:val="0"/>
                  <w:vAlign w:val="center"/>
                </w:tcPr>
                <w:p w14:paraId="5B74872C">
                  <w:pPr>
                    <w:jc w:val="center"/>
                    <w:rPr>
                      <w:rFonts w:hint="eastAsia"/>
                      <w:color w:val="auto"/>
                    </w:rPr>
                  </w:pPr>
                  <w:r>
                    <w:rPr>
                      <w:rFonts w:hint="eastAsia"/>
                      <w:b w:val="0"/>
                      <w:bCs/>
                      <w:color w:val="auto"/>
                      <w:sz w:val="21"/>
                      <w:szCs w:val="21"/>
                      <w:lang w:val="en-US" w:eastAsia="zh-CN"/>
                    </w:rPr>
                    <w:t>按订单定制，非标，本项目出售的铸件单件重量在0.1t至0.5t之间</w:t>
                  </w:r>
                </w:p>
              </w:tc>
              <w:tc>
                <w:tcPr>
                  <w:tcW w:w="663" w:type="pct"/>
                  <w:noWrap w:val="0"/>
                  <w:vAlign w:val="center"/>
                </w:tcPr>
                <w:p w14:paraId="72172197">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1500t</w:t>
                  </w:r>
                </w:p>
              </w:tc>
              <w:tc>
                <w:tcPr>
                  <w:tcW w:w="811" w:type="pct"/>
                  <w:vMerge w:val="restart"/>
                  <w:noWrap w:val="0"/>
                  <w:vAlign w:val="center"/>
                </w:tcPr>
                <w:p w14:paraId="5083F774">
                  <w:pPr>
                    <w:jc w:val="center"/>
                    <w:rPr>
                      <w:rFonts w:hint="eastAsia" w:cs="Times New Roman"/>
                      <w:color w:val="auto"/>
                      <w:szCs w:val="21"/>
                      <w:lang w:val="en-US" w:eastAsia="zh-CN"/>
                    </w:rPr>
                  </w:pPr>
                  <w:r>
                    <w:rPr>
                      <w:rFonts w:hint="eastAsia" w:cs="Times New Roman"/>
                      <w:color w:val="auto"/>
                      <w:szCs w:val="21"/>
                      <w:lang w:val="en-US" w:eastAsia="zh-CN"/>
                    </w:rPr>
                    <w:t>3000t</w:t>
                  </w:r>
                </w:p>
                <w:p w14:paraId="3817A501">
                  <w:pPr>
                    <w:jc w:val="center"/>
                    <w:rPr>
                      <w:rFonts w:hint="eastAsia" w:cs="Times New Roman"/>
                      <w:color w:val="auto"/>
                      <w:szCs w:val="21"/>
                      <w:lang w:val="en-US" w:eastAsia="zh-CN"/>
                    </w:rPr>
                  </w:pPr>
                  <w:r>
                    <w:rPr>
                      <w:rFonts w:hint="eastAsia" w:cs="Times New Roman"/>
                      <w:color w:val="auto"/>
                      <w:szCs w:val="21"/>
                      <w:lang w:val="en-US" w:eastAsia="zh-CN"/>
                    </w:rPr>
                    <w:t>（10000件）</w:t>
                  </w:r>
                </w:p>
              </w:tc>
              <w:tc>
                <w:tcPr>
                  <w:tcW w:w="587" w:type="pct"/>
                  <w:vMerge w:val="restart"/>
                  <w:noWrap w:val="0"/>
                  <w:vAlign w:val="center"/>
                </w:tcPr>
                <w:p w14:paraId="17AD03E1">
                  <w:pPr>
                    <w:pStyle w:val="43"/>
                    <w:rPr>
                      <w:color w:val="auto"/>
                      <w:lang w:val="en-US" w:eastAsia="zh-CN"/>
                    </w:rPr>
                  </w:pPr>
                  <w:r>
                    <w:rPr>
                      <w:rFonts w:hint="eastAsia"/>
                      <w:bCs/>
                      <w:color w:val="auto"/>
                      <w:lang w:val="en-US" w:eastAsia="zh-CN"/>
                    </w:rPr>
                    <w:t>4800</w:t>
                  </w:r>
                  <w:r>
                    <w:rPr>
                      <w:bCs/>
                      <w:color w:val="auto"/>
                      <w:lang w:val="en-US" w:eastAsia="zh-CN"/>
                    </w:rPr>
                    <w:t>h</w:t>
                  </w:r>
                  <w:r>
                    <w:rPr>
                      <w:rFonts w:hint="eastAsia"/>
                      <w:bCs/>
                      <w:color w:val="auto"/>
                      <w:lang w:val="en-US" w:eastAsia="zh-CN"/>
                    </w:rPr>
                    <w:t>（</w:t>
                  </w:r>
                  <w:r>
                    <w:rPr>
                      <w:color w:val="auto"/>
                    </w:rPr>
                    <w:t>电炉有效运行时间</w:t>
                  </w:r>
                  <w:r>
                    <w:rPr>
                      <w:rFonts w:hint="eastAsia"/>
                      <w:color w:val="auto"/>
                      <w:lang w:val="en-US" w:eastAsia="zh-CN"/>
                    </w:rPr>
                    <w:t>5010</w:t>
                  </w:r>
                  <w:r>
                    <w:rPr>
                      <w:color w:val="auto"/>
                    </w:rPr>
                    <w:t>h</w:t>
                  </w:r>
                  <w:r>
                    <w:rPr>
                      <w:rFonts w:hint="eastAsia"/>
                      <w:bCs/>
                      <w:color w:val="auto"/>
                      <w:lang w:val="en-US" w:eastAsia="zh-CN"/>
                    </w:rPr>
                    <w:t>）</w:t>
                  </w:r>
                </w:p>
              </w:tc>
            </w:tr>
            <w:tr w14:paraId="6632E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823" w:type="pct"/>
                  <w:vMerge w:val="continue"/>
                  <w:noWrap w:val="0"/>
                  <w:vAlign w:val="center"/>
                </w:tcPr>
                <w:p w14:paraId="534EF845">
                  <w:pPr>
                    <w:jc w:val="center"/>
                    <w:rPr>
                      <w:color w:val="auto"/>
                    </w:rPr>
                  </w:pPr>
                </w:p>
              </w:tc>
              <w:tc>
                <w:tcPr>
                  <w:tcW w:w="858" w:type="pct"/>
                  <w:noWrap w:val="0"/>
                  <w:vAlign w:val="center"/>
                </w:tcPr>
                <w:p w14:paraId="38777810">
                  <w:pPr>
                    <w:jc w:val="center"/>
                    <w:rPr>
                      <w:rFonts w:hint="eastAsia"/>
                      <w:color w:val="auto"/>
                    </w:rPr>
                  </w:pPr>
                  <w:r>
                    <w:rPr>
                      <w:rFonts w:hint="eastAsia"/>
                      <w:color w:val="auto"/>
                    </w:rPr>
                    <w:t>高压电气基座</w:t>
                  </w:r>
                </w:p>
              </w:tc>
              <w:tc>
                <w:tcPr>
                  <w:tcW w:w="1256" w:type="pct"/>
                  <w:vMerge w:val="continue"/>
                  <w:noWrap w:val="0"/>
                  <w:vAlign w:val="center"/>
                </w:tcPr>
                <w:p w14:paraId="6CAF3315">
                  <w:pPr>
                    <w:jc w:val="center"/>
                    <w:rPr>
                      <w:rFonts w:hint="eastAsia"/>
                      <w:color w:val="auto"/>
                    </w:rPr>
                  </w:pPr>
                </w:p>
              </w:tc>
              <w:tc>
                <w:tcPr>
                  <w:tcW w:w="663" w:type="pct"/>
                  <w:noWrap w:val="0"/>
                  <w:vAlign w:val="center"/>
                </w:tcPr>
                <w:p w14:paraId="0E7577DF">
                  <w:pPr>
                    <w:jc w:val="center"/>
                    <w:rPr>
                      <w:rFonts w:hint="default" w:eastAsia="宋体"/>
                      <w:color w:val="auto"/>
                      <w:lang w:val="en-US" w:eastAsia="zh-CN"/>
                    </w:rPr>
                  </w:pPr>
                  <w:r>
                    <w:rPr>
                      <w:rFonts w:hint="eastAsia"/>
                      <w:color w:val="auto"/>
                      <w:lang w:val="en-US" w:eastAsia="zh-CN"/>
                    </w:rPr>
                    <w:t>600t</w:t>
                  </w:r>
                </w:p>
              </w:tc>
              <w:tc>
                <w:tcPr>
                  <w:tcW w:w="811" w:type="pct"/>
                  <w:vMerge w:val="continue"/>
                  <w:noWrap w:val="0"/>
                  <w:vAlign w:val="center"/>
                </w:tcPr>
                <w:p w14:paraId="3CB7B326">
                  <w:pPr>
                    <w:jc w:val="center"/>
                    <w:rPr>
                      <w:rFonts w:hint="eastAsia"/>
                      <w:color w:val="auto"/>
                    </w:rPr>
                  </w:pPr>
                </w:p>
              </w:tc>
              <w:tc>
                <w:tcPr>
                  <w:tcW w:w="587" w:type="pct"/>
                  <w:vMerge w:val="continue"/>
                  <w:noWrap w:val="0"/>
                  <w:vAlign w:val="center"/>
                </w:tcPr>
                <w:p w14:paraId="7305A3F1">
                  <w:pPr>
                    <w:jc w:val="center"/>
                    <w:rPr>
                      <w:rFonts w:hint="eastAsia"/>
                      <w:color w:val="auto"/>
                    </w:rPr>
                  </w:pPr>
                </w:p>
              </w:tc>
            </w:tr>
            <w:tr w14:paraId="0F74B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823" w:type="pct"/>
                  <w:vMerge w:val="continue"/>
                  <w:noWrap w:val="0"/>
                  <w:vAlign w:val="center"/>
                </w:tcPr>
                <w:p w14:paraId="3BA801A9">
                  <w:pPr>
                    <w:jc w:val="center"/>
                    <w:rPr>
                      <w:rFonts w:hint="eastAsia"/>
                      <w:color w:val="auto"/>
                    </w:rPr>
                  </w:pPr>
                </w:p>
              </w:tc>
              <w:tc>
                <w:tcPr>
                  <w:tcW w:w="858" w:type="pct"/>
                  <w:noWrap w:val="0"/>
                  <w:vAlign w:val="center"/>
                </w:tcPr>
                <w:p w14:paraId="1EBF8687">
                  <w:pPr>
                    <w:jc w:val="center"/>
                    <w:rPr>
                      <w:rFonts w:hint="eastAsia"/>
                      <w:color w:val="auto"/>
                    </w:rPr>
                  </w:pPr>
                  <w:r>
                    <w:rPr>
                      <w:rFonts w:hint="eastAsia"/>
                      <w:color w:val="auto"/>
                    </w:rPr>
                    <w:t>高压电气结构件</w:t>
                  </w:r>
                </w:p>
              </w:tc>
              <w:tc>
                <w:tcPr>
                  <w:tcW w:w="1256" w:type="pct"/>
                  <w:vMerge w:val="continue"/>
                  <w:noWrap w:val="0"/>
                  <w:vAlign w:val="center"/>
                </w:tcPr>
                <w:p w14:paraId="46C6610D">
                  <w:pPr>
                    <w:jc w:val="center"/>
                    <w:rPr>
                      <w:rFonts w:hint="eastAsia"/>
                      <w:color w:val="auto"/>
                    </w:rPr>
                  </w:pPr>
                </w:p>
              </w:tc>
              <w:tc>
                <w:tcPr>
                  <w:tcW w:w="663" w:type="pct"/>
                  <w:noWrap w:val="0"/>
                  <w:vAlign w:val="center"/>
                </w:tcPr>
                <w:p w14:paraId="24F5C296">
                  <w:pPr>
                    <w:jc w:val="center"/>
                    <w:rPr>
                      <w:rFonts w:hint="default" w:eastAsia="宋体"/>
                      <w:color w:val="auto"/>
                      <w:lang w:val="en-US" w:eastAsia="zh-CN"/>
                    </w:rPr>
                  </w:pPr>
                  <w:r>
                    <w:rPr>
                      <w:rFonts w:hint="eastAsia"/>
                      <w:color w:val="auto"/>
                      <w:lang w:val="en-US" w:eastAsia="zh-CN"/>
                    </w:rPr>
                    <w:t>600t</w:t>
                  </w:r>
                </w:p>
              </w:tc>
              <w:tc>
                <w:tcPr>
                  <w:tcW w:w="811" w:type="pct"/>
                  <w:vMerge w:val="continue"/>
                  <w:noWrap w:val="0"/>
                  <w:vAlign w:val="center"/>
                </w:tcPr>
                <w:p w14:paraId="0565D4F4">
                  <w:pPr>
                    <w:jc w:val="center"/>
                    <w:rPr>
                      <w:rFonts w:hint="eastAsia"/>
                      <w:color w:val="auto"/>
                    </w:rPr>
                  </w:pPr>
                </w:p>
              </w:tc>
              <w:tc>
                <w:tcPr>
                  <w:tcW w:w="587" w:type="pct"/>
                  <w:vMerge w:val="continue"/>
                  <w:noWrap w:val="0"/>
                  <w:vAlign w:val="center"/>
                </w:tcPr>
                <w:p w14:paraId="65D20FC3">
                  <w:pPr>
                    <w:jc w:val="center"/>
                    <w:rPr>
                      <w:rFonts w:hint="eastAsia"/>
                      <w:color w:val="auto"/>
                    </w:rPr>
                  </w:pPr>
                </w:p>
              </w:tc>
            </w:tr>
            <w:tr w14:paraId="1D9C3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823" w:type="pct"/>
                  <w:vMerge w:val="continue"/>
                  <w:noWrap w:val="0"/>
                  <w:vAlign w:val="center"/>
                </w:tcPr>
                <w:p w14:paraId="511587FC">
                  <w:pPr>
                    <w:jc w:val="center"/>
                    <w:rPr>
                      <w:rFonts w:hint="eastAsia"/>
                      <w:color w:val="auto"/>
                    </w:rPr>
                  </w:pPr>
                </w:p>
              </w:tc>
              <w:tc>
                <w:tcPr>
                  <w:tcW w:w="858" w:type="pct"/>
                  <w:noWrap w:val="0"/>
                  <w:vAlign w:val="center"/>
                </w:tcPr>
                <w:p w14:paraId="300F4A00">
                  <w:pPr>
                    <w:jc w:val="center"/>
                    <w:rPr>
                      <w:rFonts w:hint="eastAsia"/>
                      <w:color w:val="auto"/>
                    </w:rPr>
                  </w:pPr>
                  <w:r>
                    <w:rPr>
                      <w:rFonts w:hint="eastAsia"/>
                      <w:color w:val="auto"/>
                    </w:rPr>
                    <w:t>汽车底盘支架</w:t>
                  </w:r>
                </w:p>
              </w:tc>
              <w:tc>
                <w:tcPr>
                  <w:tcW w:w="1256" w:type="pct"/>
                  <w:vMerge w:val="continue"/>
                  <w:noWrap w:val="0"/>
                  <w:vAlign w:val="center"/>
                </w:tcPr>
                <w:p w14:paraId="4222DE38">
                  <w:pPr>
                    <w:jc w:val="center"/>
                    <w:rPr>
                      <w:rFonts w:hint="eastAsia"/>
                      <w:color w:val="auto"/>
                    </w:rPr>
                  </w:pPr>
                </w:p>
              </w:tc>
              <w:tc>
                <w:tcPr>
                  <w:tcW w:w="663" w:type="pct"/>
                  <w:noWrap w:val="0"/>
                  <w:vAlign w:val="center"/>
                </w:tcPr>
                <w:p w14:paraId="0AD1CB0E">
                  <w:pPr>
                    <w:jc w:val="center"/>
                    <w:rPr>
                      <w:rFonts w:hint="default" w:eastAsia="宋体"/>
                      <w:color w:val="auto"/>
                      <w:lang w:val="en-US" w:eastAsia="zh-CN"/>
                    </w:rPr>
                  </w:pPr>
                  <w:r>
                    <w:rPr>
                      <w:rFonts w:hint="eastAsia"/>
                      <w:color w:val="auto"/>
                      <w:lang w:val="en-US" w:eastAsia="zh-CN"/>
                    </w:rPr>
                    <w:t>300t</w:t>
                  </w:r>
                </w:p>
              </w:tc>
              <w:tc>
                <w:tcPr>
                  <w:tcW w:w="811" w:type="pct"/>
                  <w:vMerge w:val="continue"/>
                  <w:noWrap w:val="0"/>
                  <w:vAlign w:val="center"/>
                </w:tcPr>
                <w:p w14:paraId="7449EC35">
                  <w:pPr>
                    <w:jc w:val="center"/>
                    <w:rPr>
                      <w:rFonts w:hint="eastAsia"/>
                      <w:color w:val="auto"/>
                    </w:rPr>
                  </w:pPr>
                </w:p>
              </w:tc>
              <w:tc>
                <w:tcPr>
                  <w:tcW w:w="587" w:type="pct"/>
                  <w:vMerge w:val="continue"/>
                  <w:noWrap w:val="0"/>
                  <w:vAlign w:val="center"/>
                </w:tcPr>
                <w:p w14:paraId="2F6BF68C">
                  <w:pPr>
                    <w:jc w:val="center"/>
                    <w:rPr>
                      <w:rFonts w:hint="eastAsia"/>
                      <w:color w:val="auto"/>
                    </w:rPr>
                  </w:pPr>
                </w:p>
              </w:tc>
            </w:tr>
          </w:tbl>
          <w:p w14:paraId="147BCEE2">
            <w:pPr>
              <w:keepNext w:val="0"/>
              <w:keepLines w:val="0"/>
              <w:pageBreakBefore w:val="0"/>
              <w:widowControl w:val="0"/>
              <w:kinsoku/>
              <w:wordWrap/>
              <w:overflowPunct/>
              <w:topLinePunct w:val="0"/>
              <w:autoSpaceDE/>
              <w:autoSpaceDN/>
              <w:bidi w:val="0"/>
              <w:spacing w:line="360" w:lineRule="auto"/>
              <w:ind w:firstLine="422" w:firstLineChars="200"/>
              <w:rPr>
                <w:rFonts w:hint="default"/>
                <w:b/>
                <w:color w:val="auto"/>
                <w:sz w:val="21"/>
                <w:szCs w:val="21"/>
                <w:lang w:val="en-US" w:eastAsia="zh-CN"/>
              </w:rPr>
            </w:pPr>
            <w:r>
              <w:rPr>
                <w:rFonts w:hint="eastAsia"/>
                <w:b/>
                <w:color w:val="auto"/>
                <w:sz w:val="21"/>
                <w:szCs w:val="21"/>
                <w:lang w:val="en-US" w:eastAsia="zh-CN"/>
              </w:rPr>
              <w:t>注</w:t>
            </w:r>
            <w:r>
              <w:rPr>
                <w:rFonts w:hint="eastAsia"/>
                <w:b/>
                <w:bCs w:val="0"/>
                <w:color w:val="auto"/>
                <w:sz w:val="21"/>
                <w:szCs w:val="21"/>
                <w:lang w:val="en-US" w:eastAsia="zh-CN"/>
              </w:rPr>
              <w:t>：铸件单件重量在0.1t至0.5t之间，</w:t>
            </w:r>
            <w:r>
              <w:rPr>
                <w:rFonts w:hint="eastAsia" w:cs="Times New Roman"/>
                <w:b/>
                <w:bCs w:val="0"/>
                <w:color w:val="auto"/>
                <w:szCs w:val="21"/>
                <w:lang w:val="en-US" w:eastAsia="zh-CN"/>
              </w:rPr>
              <w:t>取中间值0.3t，经计算铸件大约10000件。</w:t>
            </w:r>
          </w:p>
          <w:p w14:paraId="6D95A80D">
            <w:pPr>
              <w:keepNext w:val="0"/>
              <w:keepLines w:val="0"/>
              <w:pageBreakBefore w:val="0"/>
              <w:widowControl w:val="0"/>
              <w:kinsoku/>
              <w:wordWrap/>
              <w:overflowPunct/>
              <w:topLinePunct w:val="0"/>
              <w:autoSpaceDE/>
              <w:autoSpaceDN/>
              <w:bidi w:val="0"/>
              <w:spacing w:line="360" w:lineRule="auto"/>
              <w:rPr>
                <w:rFonts w:hint="eastAsia"/>
                <w:b/>
                <w:color w:val="auto"/>
                <w:sz w:val="21"/>
                <w:szCs w:val="21"/>
                <w:lang w:val="en-US" w:eastAsia="zh-CN"/>
              </w:rPr>
            </w:pPr>
          </w:p>
          <w:p w14:paraId="752416D2">
            <w:pPr>
              <w:keepNext w:val="0"/>
              <w:keepLines w:val="0"/>
              <w:pageBreakBefore w:val="0"/>
              <w:widowControl w:val="0"/>
              <w:kinsoku/>
              <w:wordWrap/>
              <w:overflowPunct/>
              <w:topLinePunct w:val="0"/>
              <w:autoSpaceDE/>
              <w:autoSpaceDN/>
              <w:bidi w:val="0"/>
              <w:spacing w:line="360" w:lineRule="auto"/>
              <w:ind w:firstLine="422" w:firstLineChars="200"/>
              <w:rPr>
                <w:rFonts w:hint="eastAsia"/>
                <w:b/>
                <w:color w:val="auto"/>
                <w:sz w:val="21"/>
                <w:szCs w:val="21"/>
                <w:lang w:val="en-US" w:eastAsia="zh-CN"/>
              </w:rPr>
            </w:pPr>
          </w:p>
          <w:p w14:paraId="3372B423">
            <w:pPr>
              <w:keepNext w:val="0"/>
              <w:keepLines w:val="0"/>
              <w:pageBreakBefore w:val="0"/>
              <w:widowControl w:val="0"/>
              <w:kinsoku/>
              <w:wordWrap/>
              <w:overflowPunct/>
              <w:topLinePunct w:val="0"/>
              <w:autoSpaceDE/>
              <w:autoSpaceDN/>
              <w:bidi w:val="0"/>
              <w:spacing w:line="360" w:lineRule="auto"/>
              <w:ind w:firstLine="422" w:firstLineChars="200"/>
              <w:rPr>
                <w:b/>
                <w:color w:val="auto"/>
                <w:sz w:val="21"/>
                <w:szCs w:val="21"/>
              </w:rPr>
            </w:pPr>
            <w:r>
              <w:rPr>
                <w:rFonts w:hint="eastAsia"/>
                <w:b/>
                <w:color w:val="auto"/>
                <w:sz w:val="21"/>
                <w:szCs w:val="21"/>
                <w:lang w:val="en-US" w:eastAsia="zh-CN"/>
              </w:rPr>
              <w:t>2.3</w:t>
            </w:r>
            <w:r>
              <w:rPr>
                <w:b/>
                <w:color w:val="auto"/>
                <w:sz w:val="21"/>
                <w:szCs w:val="21"/>
              </w:rPr>
              <w:t>主要生产设备</w:t>
            </w:r>
          </w:p>
          <w:p w14:paraId="71AC9BAE">
            <w:pPr>
              <w:keepNext w:val="0"/>
              <w:keepLines w:val="0"/>
              <w:pageBreakBefore w:val="0"/>
              <w:widowControl w:val="0"/>
              <w:kinsoku/>
              <w:wordWrap/>
              <w:overflowPunct/>
              <w:topLinePunct w:val="0"/>
              <w:autoSpaceDE/>
              <w:autoSpaceDN/>
              <w:bidi w:val="0"/>
              <w:spacing w:line="360" w:lineRule="auto"/>
              <w:ind w:firstLine="420"/>
              <w:rPr>
                <w:rFonts w:hAnsi="宋体"/>
                <w:b/>
                <w:bCs/>
                <w:color w:val="auto"/>
                <w:sz w:val="21"/>
                <w:szCs w:val="21"/>
              </w:rPr>
            </w:pPr>
            <w:r>
              <w:rPr>
                <w:rFonts w:hint="eastAsia" w:hAnsi="宋体"/>
                <w:color w:val="auto"/>
                <w:sz w:val="21"/>
                <w:szCs w:val="21"/>
              </w:rPr>
              <w:t>本项目主要生产设备一览表见表2-4。</w:t>
            </w:r>
          </w:p>
          <w:p w14:paraId="783C8C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b/>
                <w:bCs/>
                <w:color w:val="auto"/>
                <w:sz w:val="21"/>
                <w:szCs w:val="21"/>
              </w:rPr>
            </w:pPr>
            <w:r>
              <w:rPr>
                <w:rFonts w:hAnsi="宋体"/>
                <w:b/>
                <w:bCs/>
                <w:color w:val="auto"/>
                <w:sz w:val="21"/>
                <w:szCs w:val="21"/>
              </w:rPr>
              <w:t>表</w:t>
            </w:r>
            <w:r>
              <w:rPr>
                <w:rFonts w:hint="eastAsia"/>
                <w:b/>
                <w:bCs/>
                <w:color w:val="auto"/>
                <w:sz w:val="21"/>
                <w:szCs w:val="21"/>
              </w:rPr>
              <w:t>2</w:t>
            </w:r>
            <w:r>
              <w:rPr>
                <w:b/>
                <w:bCs/>
                <w:color w:val="auto"/>
                <w:sz w:val="21"/>
                <w:szCs w:val="21"/>
              </w:rPr>
              <w:t>-</w:t>
            </w:r>
            <w:r>
              <w:rPr>
                <w:rFonts w:hint="eastAsia"/>
                <w:b/>
                <w:bCs/>
                <w:color w:val="auto"/>
                <w:sz w:val="21"/>
                <w:szCs w:val="21"/>
              </w:rPr>
              <w:t xml:space="preserve">4  </w:t>
            </w:r>
            <w:r>
              <w:rPr>
                <w:rFonts w:hint="eastAsia" w:hAnsi="宋体"/>
                <w:b/>
                <w:bCs/>
                <w:color w:val="auto"/>
                <w:sz w:val="21"/>
                <w:szCs w:val="21"/>
              </w:rPr>
              <w:t>本项目主要生产设备一览表</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741"/>
              <w:gridCol w:w="1492"/>
              <w:gridCol w:w="2104"/>
              <w:gridCol w:w="1678"/>
              <w:gridCol w:w="1678"/>
            </w:tblGrid>
            <w:tr w14:paraId="2982B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42" w:hRule="atLeast"/>
                <w:jc w:val="center"/>
              </w:trPr>
              <w:tc>
                <w:tcPr>
                  <w:tcW w:w="397" w:type="pct"/>
                  <w:noWrap w:val="0"/>
                  <w:vAlign w:val="center"/>
                </w:tcPr>
                <w:p w14:paraId="4B2442E0">
                  <w:pPr>
                    <w:pStyle w:val="43"/>
                    <w:keepNext w:val="0"/>
                    <w:keepLines w:val="0"/>
                    <w:pageBreakBefore w:val="0"/>
                    <w:widowControl w:val="0"/>
                    <w:kinsoku/>
                    <w:wordWrap/>
                    <w:overflowPunct/>
                    <w:topLinePunct w:val="0"/>
                    <w:autoSpaceDE/>
                    <w:autoSpaceDN/>
                    <w:bidi w:val="0"/>
                    <w:spacing w:line="240" w:lineRule="auto"/>
                    <w:rPr>
                      <w:b/>
                      <w:color w:val="auto"/>
                      <w:lang w:val="en-US" w:eastAsia="zh-CN"/>
                    </w:rPr>
                  </w:pPr>
                  <w:r>
                    <w:rPr>
                      <w:b/>
                      <w:color w:val="auto"/>
                      <w:lang w:val="en-US" w:eastAsia="zh-CN"/>
                    </w:rPr>
                    <w:t>序号</w:t>
                  </w:r>
                </w:p>
              </w:tc>
              <w:tc>
                <w:tcPr>
                  <w:tcW w:w="1335" w:type="pct"/>
                  <w:gridSpan w:val="2"/>
                  <w:noWrap w:val="0"/>
                  <w:vAlign w:val="center"/>
                </w:tcPr>
                <w:p w14:paraId="4FCCA319">
                  <w:pPr>
                    <w:pStyle w:val="43"/>
                    <w:keepNext w:val="0"/>
                    <w:keepLines w:val="0"/>
                    <w:pageBreakBefore w:val="0"/>
                    <w:widowControl w:val="0"/>
                    <w:kinsoku/>
                    <w:wordWrap/>
                    <w:overflowPunct/>
                    <w:topLinePunct w:val="0"/>
                    <w:autoSpaceDE/>
                    <w:autoSpaceDN/>
                    <w:bidi w:val="0"/>
                    <w:spacing w:line="240" w:lineRule="auto"/>
                    <w:rPr>
                      <w:b/>
                      <w:color w:val="auto"/>
                      <w:lang w:val="en-US" w:eastAsia="zh-CN"/>
                    </w:rPr>
                  </w:pPr>
                  <w:r>
                    <w:rPr>
                      <w:b/>
                      <w:color w:val="auto"/>
                      <w:lang w:val="en-US" w:eastAsia="zh-CN"/>
                    </w:rPr>
                    <w:t>设备名称</w:t>
                  </w:r>
                </w:p>
              </w:tc>
              <w:tc>
                <w:tcPr>
                  <w:tcW w:w="1258" w:type="pct"/>
                  <w:noWrap w:val="0"/>
                  <w:vAlign w:val="center"/>
                </w:tcPr>
                <w:p w14:paraId="579C7931">
                  <w:pPr>
                    <w:pStyle w:val="43"/>
                    <w:keepNext w:val="0"/>
                    <w:keepLines w:val="0"/>
                    <w:pageBreakBefore w:val="0"/>
                    <w:widowControl w:val="0"/>
                    <w:kinsoku/>
                    <w:wordWrap/>
                    <w:overflowPunct/>
                    <w:topLinePunct w:val="0"/>
                    <w:autoSpaceDE/>
                    <w:autoSpaceDN/>
                    <w:bidi w:val="0"/>
                    <w:spacing w:line="240" w:lineRule="auto"/>
                    <w:rPr>
                      <w:b/>
                      <w:color w:val="auto"/>
                      <w:lang w:val="en-US" w:eastAsia="zh-CN"/>
                    </w:rPr>
                  </w:pPr>
                  <w:r>
                    <w:rPr>
                      <w:b/>
                      <w:color w:val="auto"/>
                      <w:lang w:val="en-US" w:eastAsia="zh-CN"/>
                    </w:rPr>
                    <w:t>规格及型号</w:t>
                  </w:r>
                </w:p>
              </w:tc>
              <w:tc>
                <w:tcPr>
                  <w:tcW w:w="1003" w:type="pct"/>
                  <w:noWrap w:val="0"/>
                  <w:vAlign w:val="center"/>
                </w:tcPr>
                <w:p w14:paraId="16ED0004">
                  <w:pPr>
                    <w:pStyle w:val="43"/>
                    <w:keepNext w:val="0"/>
                    <w:keepLines w:val="0"/>
                    <w:pageBreakBefore w:val="0"/>
                    <w:widowControl w:val="0"/>
                    <w:kinsoku/>
                    <w:wordWrap/>
                    <w:overflowPunct/>
                    <w:topLinePunct w:val="0"/>
                    <w:autoSpaceDE/>
                    <w:autoSpaceDN/>
                    <w:bidi w:val="0"/>
                    <w:spacing w:line="240" w:lineRule="auto"/>
                    <w:rPr>
                      <w:b/>
                      <w:color w:val="auto"/>
                      <w:lang w:val="en-US" w:eastAsia="zh-CN"/>
                    </w:rPr>
                  </w:pPr>
                  <w:r>
                    <w:rPr>
                      <w:b/>
                      <w:color w:val="auto"/>
                      <w:lang w:val="en-US" w:eastAsia="zh-CN"/>
                    </w:rPr>
                    <w:t>数量（台/套）</w:t>
                  </w:r>
                </w:p>
              </w:tc>
              <w:tc>
                <w:tcPr>
                  <w:tcW w:w="1003" w:type="pct"/>
                  <w:noWrap w:val="0"/>
                  <w:vAlign w:val="center"/>
                </w:tcPr>
                <w:p w14:paraId="76FFD96E">
                  <w:pPr>
                    <w:pStyle w:val="43"/>
                    <w:keepNext w:val="0"/>
                    <w:keepLines w:val="0"/>
                    <w:pageBreakBefore w:val="0"/>
                    <w:widowControl w:val="0"/>
                    <w:kinsoku/>
                    <w:wordWrap/>
                    <w:overflowPunct/>
                    <w:topLinePunct w:val="0"/>
                    <w:autoSpaceDE/>
                    <w:autoSpaceDN/>
                    <w:bidi w:val="0"/>
                    <w:spacing w:line="240" w:lineRule="auto"/>
                    <w:rPr>
                      <w:rFonts w:hint="default"/>
                      <w:b/>
                      <w:color w:val="auto"/>
                      <w:lang w:val="en-US" w:eastAsia="zh-CN"/>
                    </w:rPr>
                  </w:pPr>
                  <w:r>
                    <w:rPr>
                      <w:rFonts w:hint="eastAsia"/>
                      <w:b/>
                      <w:color w:val="auto"/>
                      <w:lang w:val="en-US" w:eastAsia="zh-CN"/>
                    </w:rPr>
                    <w:t>备注</w:t>
                  </w:r>
                </w:p>
              </w:tc>
            </w:tr>
            <w:tr w14:paraId="3B871D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18" w:hRule="atLeast"/>
                <w:jc w:val="center"/>
              </w:trPr>
              <w:tc>
                <w:tcPr>
                  <w:tcW w:w="397" w:type="pct"/>
                  <w:noWrap w:val="0"/>
                  <w:vAlign w:val="center"/>
                </w:tcPr>
                <w:p w14:paraId="4FD775B7">
                  <w:pPr>
                    <w:pStyle w:val="43"/>
                    <w:keepNext w:val="0"/>
                    <w:keepLines w:val="0"/>
                    <w:pageBreakBefore w:val="0"/>
                    <w:widowControl w:val="0"/>
                    <w:kinsoku/>
                    <w:wordWrap/>
                    <w:overflowPunct/>
                    <w:topLinePunct w:val="0"/>
                    <w:autoSpaceDE/>
                    <w:autoSpaceDN/>
                    <w:bidi w:val="0"/>
                    <w:spacing w:line="240" w:lineRule="auto"/>
                    <w:rPr>
                      <w:color w:val="auto"/>
                      <w:lang w:val="en-US" w:eastAsia="zh-CN"/>
                    </w:rPr>
                  </w:pPr>
                  <w:r>
                    <w:rPr>
                      <w:color w:val="auto"/>
                      <w:lang w:val="en-US" w:eastAsia="zh-CN"/>
                    </w:rPr>
                    <w:t>1</w:t>
                  </w:r>
                </w:p>
              </w:tc>
              <w:tc>
                <w:tcPr>
                  <w:tcW w:w="1335" w:type="pct"/>
                  <w:gridSpan w:val="2"/>
                  <w:noWrap w:val="0"/>
                  <w:vAlign w:val="center"/>
                </w:tcPr>
                <w:p w14:paraId="7D3B9D2B">
                  <w:pPr>
                    <w:jc w:val="center"/>
                    <w:rPr>
                      <w:color w:val="auto"/>
                      <w:lang w:val="en-US" w:eastAsia="zh-CN"/>
                    </w:rPr>
                  </w:pPr>
                  <w:r>
                    <w:rPr>
                      <w:rFonts w:hint="eastAsia"/>
                      <w:color w:val="auto"/>
                      <w:szCs w:val="21"/>
                    </w:rPr>
                    <w:t>电坩埚熔化炉</w:t>
                  </w:r>
                </w:p>
              </w:tc>
              <w:tc>
                <w:tcPr>
                  <w:tcW w:w="1258" w:type="pct"/>
                  <w:noWrap w:val="0"/>
                  <w:vAlign w:val="center"/>
                </w:tcPr>
                <w:p w14:paraId="21F9CE37">
                  <w:pPr>
                    <w:jc w:val="center"/>
                    <w:rPr>
                      <w:rFonts w:hint="eastAsia" w:eastAsia="等线"/>
                      <w:color w:val="auto"/>
                      <w:lang w:val="en-US" w:eastAsia="zh-CN"/>
                    </w:rPr>
                  </w:pPr>
                  <w:r>
                    <w:rPr>
                      <w:rFonts w:hint="eastAsia" w:ascii="Arial" w:hAnsi="Arial" w:eastAsia="等线" w:cs="Arial"/>
                      <w:color w:val="auto"/>
                      <w:szCs w:val="21"/>
                      <w:lang w:val="en-US" w:eastAsia="zh-CN"/>
                    </w:rPr>
                    <w:t>10</w:t>
                  </w:r>
                  <w:r>
                    <w:rPr>
                      <w:rFonts w:ascii="Arial" w:hAnsi="Arial" w:eastAsia="等线" w:cs="Arial"/>
                      <w:color w:val="auto"/>
                      <w:szCs w:val="21"/>
                    </w:rPr>
                    <w:t>00KG/H</w:t>
                  </w:r>
                  <w:r>
                    <w:rPr>
                      <w:rFonts w:hint="eastAsia" w:ascii="Arial" w:hAnsi="Arial" w:eastAsia="等线" w:cs="Arial"/>
                      <w:color w:val="auto"/>
                      <w:szCs w:val="21"/>
                      <w:lang w:val="en-US" w:eastAsia="zh-CN"/>
                    </w:rPr>
                    <w:t>/500kw</w:t>
                  </w:r>
                </w:p>
              </w:tc>
              <w:tc>
                <w:tcPr>
                  <w:tcW w:w="1003" w:type="pct"/>
                  <w:noWrap w:val="0"/>
                  <w:vAlign w:val="center"/>
                </w:tcPr>
                <w:p w14:paraId="793B5F75">
                  <w:pPr>
                    <w:keepNext w:val="0"/>
                    <w:keepLines w:val="0"/>
                    <w:pageBreakBefore w:val="0"/>
                    <w:widowControl w:val="0"/>
                    <w:kinsoku/>
                    <w:wordWrap/>
                    <w:overflowPunct/>
                    <w:topLinePunct w:val="0"/>
                    <w:autoSpaceDE/>
                    <w:autoSpaceDN/>
                    <w:bidi w:val="0"/>
                    <w:spacing w:line="240" w:lineRule="auto"/>
                    <w:jc w:val="center"/>
                    <w:rPr>
                      <w:color w:val="auto"/>
                      <w:lang w:val="en-US" w:eastAsia="zh-CN"/>
                    </w:rPr>
                  </w:pPr>
                  <w:r>
                    <w:rPr>
                      <w:rFonts w:hint="eastAsia" w:cs="Times New Roman"/>
                      <w:color w:val="auto"/>
                      <w:szCs w:val="21"/>
                      <w:lang w:val="en-US" w:eastAsia="zh-CN"/>
                    </w:rPr>
                    <w:t>1</w:t>
                  </w:r>
                </w:p>
              </w:tc>
              <w:tc>
                <w:tcPr>
                  <w:tcW w:w="1003" w:type="pct"/>
                  <w:noWrap w:val="0"/>
                  <w:vAlign w:val="center"/>
                </w:tcPr>
                <w:p w14:paraId="052087F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60801D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18" w:hRule="atLeast"/>
                <w:jc w:val="center"/>
              </w:trPr>
              <w:tc>
                <w:tcPr>
                  <w:tcW w:w="397" w:type="pct"/>
                  <w:noWrap w:val="0"/>
                  <w:vAlign w:val="center"/>
                </w:tcPr>
                <w:p w14:paraId="6A1C4DDE">
                  <w:pPr>
                    <w:pStyle w:val="43"/>
                    <w:keepNext w:val="0"/>
                    <w:keepLines w:val="0"/>
                    <w:pageBreakBefore w:val="0"/>
                    <w:widowControl w:val="0"/>
                    <w:kinsoku/>
                    <w:wordWrap/>
                    <w:overflowPunct/>
                    <w:topLinePunct w:val="0"/>
                    <w:autoSpaceDE/>
                    <w:autoSpaceDN/>
                    <w:bidi w:val="0"/>
                    <w:spacing w:line="240" w:lineRule="auto"/>
                    <w:rPr>
                      <w:color w:val="auto"/>
                      <w:lang w:val="en-US" w:eastAsia="zh-CN"/>
                    </w:rPr>
                  </w:pPr>
                  <w:r>
                    <w:rPr>
                      <w:color w:val="auto"/>
                      <w:lang w:val="en-US" w:eastAsia="zh-CN"/>
                    </w:rPr>
                    <w:t>2</w:t>
                  </w:r>
                </w:p>
              </w:tc>
              <w:tc>
                <w:tcPr>
                  <w:tcW w:w="1335" w:type="pct"/>
                  <w:gridSpan w:val="2"/>
                  <w:noWrap w:val="0"/>
                  <w:vAlign w:val="center"/>
                </w:tcPr>
                <w:p w14:paraId="6F6BF04A">
                  <w:pPr>
                    <w:jc w:val="center"/>
                    <w:rPr>
                      <w:color w:val="auto"/>
                      <w:lang w:val="en-US" w:eastAsia="zh-CN"/>
                    </w:rPr>
                  </w:pPr>
                  <w:r>
                    <w:rPr>
                      <w:rFonts w:hint="eastAsia"/>
                      <w:color w:val="auto"/>
                      <w:szCs w:val="21"/>
                    </w:rPr>
                    <w:t>电坩埚保温炉</w:t>
                  </w:r>
                </w:p>
              </w:tc>
              <w:tc>
                <w:tcPr>
                  <w:tcW w:w="1258" w:type="pct"/>
                  <w:noWrap w:val="0"/>
                  <w:vAlign w:val="center"/>
                </w:tcPr>
                <w:p w14:paraId="0921ED32">
                  <w:pPr>
                    <w:jc w:val="center"/>
                    <w:rPr>
                      <w:color w:val="auto"/>
                      <w:lang w:val="en-US" w:eastAsia="zh-CN"/>
                    </w:rPr>
                  </w:pPr>
                  <w:r>
                    <w:rPr>
                      <w:rFonts w:ascii="Arial" w:hAnsi="Arial" w:eastAsia="等线" w:cs="Arial"/>
                      <w:color w:val="auto"/>
                      <w:szCs w:val="21"/>
                    </w:rPr>
                    <w:t>800KG</w:t>
                  </w:r>
                  <w:r>
                    <w:rPr>
                      <w:rFonts w:hint="eastAsia" w:ascii="Arial" w:hAnsi="Arial" w:eastAsia="等线" w:cs="Arial"/>
                      <w:color w:val="auto"/>
                      <w:szCs w:val="21"/>
                      <w:lang w:val="en-US" w:eastAsia="zh-CN"/>
                    </w:rPr>
                    <w:t>/300kw</w:t>
                  </w:r>
                </w:p>
              </w:tc>
              <w:tc>
                <w:tcPr>
                  <w:tcW w:w="1003" w:type="pct"/>
                  <w:noWrap w:val="0"/>
                  <w:vAlign w:val="center"/>
                </w:tcPr>
                <w:p w14:paraId="31E1D779">
                  <w:pPr>
                    <w:keepNext w:val="0"/>
                    <w:keepLines w:val="0"/>
                    <w:pageBreakBefore w:val="0"/>
                    <w:widowControl w:val="0"/>
                    <w:kinsoku/>
                    <w:wordWrap/>
                    <w:overflowPunct/>
                    <w:topLinePunct w:val="0"/>
                    <w:autoSpaceDE/>
                    <w:autoSpaceDN/>
                    <w:bidi w:val="0"/>
                    <w:spacing w:line="240" w:lineRule="auto"/>
                    <w:jc w:val="center"/>
                    <w:rPr>
                      <w:rFonts w:hint="eastAsia"/>
                      <w:color w:val="auto"/>
                      <w:lang w:val="en-US" w:eastAsia="zh-CN"/>
                    </w:rPr>
                  </w:pPr>
                  <w:r>
                    <w:rPr>
                      <w:rFonts w:hint="eastAsia" w:cs="Times New Roman"/>
                      <w:color w:val="auto"/>
                      <w:szCs w:val="21"/>
                      <w:lang w:val="en-US" w:eastAsia="zh-CN"/>
                    </w:rPr>
                    <w:t>2</w:t>
                  </w:r>
                </w:p>
              </w:tc>
              <w:tc>
                <w:tcPr>
                  <w:tcW w:w="1003" w:type="pct"/>
                  <w:noWrap w:val="0"/>
                  <w:vAlign w:val="center"/>
                </w:tcPr>
                <w:p w14:paraId="35C7D9C6">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5AC3D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18" w:hRule="atLeast"/>
                <w:jc w:val="center"/>
              </w:trPr>
              <w:tc>
                <w:tcPr>
                  <w:tcW w:w="397" w:type="pct"/>
                  <w:noWrap w:val="0"/>
                  <w:vAlign w:val="center"/>
                </w:tcPr>
                <w:p w14:paraId="4367A368">
                  <w:pPr>
                    <w:pStyle w:val="43"/>
                    <w:keepNext w:val="0"/>
                    <w:keepLines w:val="0"/>
                    <w:pageBreakBefore w:val="0"/>
                    <w:widowControl w:val="0"/>
                    <w:kinsoku/>
                    <w:wordWrap/>
                    <w:overflowPunct/>
                    <w:topLinePunct w:val="0"/>
                    <w:autoSpaceDE/>
                    <w:autoSpaceDN/>
                    <w:bidi w:val="0"/>
                    <w:spacing w:line="240" w:lineRule="auto"/>
                    <w:rPr>
                      <w:color w:val="auto"/>
                      <w:lang w:val="en-US" w:eastAsia="zh-CN"/>
                    </w:rPr>
                  </w:pPr>
                  <w:r>
                    <w:rPr>
                      <w:color w:val="auto"/>
                      <w:lang w:val="en-US" w:eastAsia="zh-CN"/>
                    </w:rPr>
                    <w:t>3</w:t>
                  </w:r>
                </w:p>
              </w:tc>
              <w:tc>
                <w:tcPr>
                  <w:tcW w:w="1335" w:type="pct"/>
                  <w:gridSpan w:val="2"/>
                  <w:noWrap w:val="0"/>
                  <w:vAlign w:val="center"/>
                </w:tcPr>
                <w:p w14:paraId="4C20B7E8">
                  <w:pPr>
                    <w:jc w:val="center"/>
                    <w:rPr>
                      <w:color w:val="auto"/>
                      <w:lang w:val="en-US" w:eastAsia="zh-CN"/>
                    </w:rPr>
                  </w:pPr>
                  <w:r>
                    <w:rPr>
                      <w:rFonts w:hint="eastAsia"/>
                      <w:color w:val="auto"/>
                      <w:szCs w:val="21"/>
                    </w:rPr>
                    <w:t>旋转除气机</w:t>
                  </w:r>
                </w:p>
              </w:tc>
              <w:tc>
                <w:tcPr>
                  <w:tcW w:w="1258" w:type="pct"/>
                  <w:noWrap w:val="0"/>
                  <w:vAlign w:val="center"/>
                </w:tcPr>
                <w:p w14:paraId="6BDA167C">
                  <w:pPr>
                    <w:jc w:val="center"/>
                    <w:rPr>
                      <w:color w:val="auto"/>
                      <w:lang w:val="en-US" w:eastAsia="zh-CN"/>
                    </w:rPr>
                  </w:pPr>
                  <w:r>
                    <w:rPr>
                      <w:rFonts w:hint="eastAsia" w:ascii="Arial" w:hAnsi="Arial" w:eastAsia="等线" w:cs="Arial"/>
                      <w:color w:val="auto"/>
                      <w:szCs w:val="21"/>
                      <w:lang w:val="en-US" w:eastAsia="zh-CN"/>
                    </w:rPr>
                    <w:t>2.5kw</w:t>
                  </w:r>
                </w:p>
              </w:tc>
              <w:tc>
                <w:tcPr>
                  <w:tcW w:w="1003" w:type="pct"/>
                  <w:noWrap w:val="0"/>
                  <w:vAlign w:val="center"/>
                </w:tcPr>
                <w:p w14:paraId="67133385">
                  <w:pPr>
                    <w:keepNext w:val="0"/>
                    <w:keepLines w:val="0"/>
                    <w:pageBreakBefore w:val="0"/>
                    <w:widowControl w:val="0"/>
                    <w:kinsoku/>
                    <w:wordWrap/>
                    <w:overflowPunct/>
                    <w:topLinePunct w:val="0"/>
                    <w:autoSpaceDE/>
                    <w:autoSpaceDN/>
                    <w:bidi w:val="0"/>
                    <w:spacing w:line="240" w:lineRule="auto"/>
                    <w:jc w:val="center"/>
                    <w:rPr>
                      <w:rFonts w:hint="default"/>
                      <w:color w:val="auto"/>
                      <w:lang w:val="en-US" w:eastAsia="zh-CN"/>
                    </w:rPr>
                  </w:pPr>
                  <w:r>
                    <w:rPr>
                      <w:rFonts w:hint="eastAsia"/>
                      <w:color w:val="auto"/>
                      <w:lang w:val="en-US" w:eastAsia="zh-CN"/>
                    </w:rPr>
                    <w:t>1</w:t>
                  </w:r>
                </w:p>
              </w:tc>
              <w:tc>
                <w:tcPr>
                  <w:tcW w:w="1003" w:type="pct"/>
                  <w:noWrap w:val="0"/>
                  <w:vAlign w:val="center"/>
                </w:tcPr>
                <w:p w14:paraId="3259A4DC">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45ED52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1" w:hRule="atLeast"/>
                <w:jc w:val="center"/>
              </w:trPr>
              <w:tc>
                <w:tcPr>
                  <w:tcW w:w="397" w:type="pct"/>
                  <w:noWrap w:val="0"/>
                  <w:vAlign w:val="center"/>
                </w:tcPr>
                <w:p w14:paraId="17ECCFDD">
                  <w:pPr>
                    <w:pStyle w:val="43"/>
                    <w:keepNext w:val="0"/>
                    <w:keepLines w:val="0"/>
                    <w:pageBreakBefore w:val="0"/>
                    <w:widowControl w:val="0"/>
                    <w:kinsoku/>
                    <w:wordWrap/>
                    <w:overflowPunct/>
                    <w:topLinePunct w:val="0"/>
                    <w:autoSpaceDE/>
                    <w:autoSpaceDN/>
                    <w:bidi w:val="0"/>
                    <w:spacing w:line="240" w:lineRule="auto"/>
                    <w:rPr>
                      <w:color w:val="auto"/>
                      <w:lang w:val="en-US" w:eastAsia="zh-CN"/>
                    </w:rPr>
                  </w:pPr>
                  <w:r>
                    <w:rPr>
                      <w:color w:val="auto"/>
                      <w:lang w:val="en-US" w:eastAsia="zh-CN"/>
                    </w:rPr>
                    <w:t>4</w:t>
                  </w:r>
                </w:p>
              </w:tc>
              <w:tc>
                <w:tcPr>
                  <w:tcW w:w="1335" w:type="pct"/>
                  <w:gridSpan w:val="2"/>
                  <w:noWrap w:val="0"/>
                  <w:vAlign w:val="center"/>
                </w:tcPr>
                <w:p w14:paraId="253B0DFB">
                  <w:pPr>
                    <w:jc w:val="center"/>
                    <w:rPr>
                      <w:color w:val="auto"/>
                      <w:lang w:val="en-US" w:eastAsia="zh-CN"/>
                    </w:rPr>
                  </w:pPr>
                  <w:r>
                    <w:rPr>
                      <w:rFonts w:hint="eastAsia"/>
                      <w:color w:val="auto"/>
                      <w:szCs w:val="21"/>
                    </w:rPr>
                    <w:t>覆膜砂制芯机</w:t>
                  </w:r>
                </w:p>
              </w:tc>
              <w:tc>
                <w:tcPr>
                  <w:tcW w:w="1258" w:type="pct"/>
                  <w:noWrap w:val="0"/>
                  <w:vAlign w:val="center"/>
                </w:tcPr>
                <w:p w14:paraId="18A31782">
                  <w:pPr>
                    <w:jc w:val="center"/>
                    <w:rPr>
                      <w:rFonts w:hint="eastAsia" w:eastAsia="等线"/>
                      <w:color w:val="auto"/>
                      <w:lang w:val="en-US" w:eastAsia="zh-CN"/>
                    </w:rPr>
                  </w:pPr>
                  <w:r>
                    <w:rPr>
                      <w:rFonts w:ascii="Arial" w:hAnsi="Arial" w:eastAsia="等线" w:cs="Arial"/>
                      <w:color w:val="auto"/>
                      <w:szCs w:val="21"/>
                    </w:rPr>
                    <w:t>Z956</w:t>
                  </w:r>
                  <w:r>
                    <w:rPr>
                      <w:rFonts w:hint="eastAsia" w:ascii="Arial" w:hAnsi="Arial" w:eastAsia="等线" w:cs="Arial"/>
                      <w:color w:val="auto"/>
                      <w:szCs w:val="21"/>
                      <w:lang w:val="en-US" w:eastAsia="zh-CN"/>
                    </w:rPr>
                    <w:t>/10kw</w:t>
                  </w:r>
                </w:p>
              </w:tc>
              <w:tc>
                <w:tcPr>
                  <w:tcW w:w="1003" w:type="pct"/>
                  <w:noWrap w:val="0"/>
                  <w:vAlign w:val="center"/>
                </w:tcPr>
                <w:p w14:paraId="03D43D7A">
                  <w:pPr>
                    <w:keepNext w:val="0"/>
                    <w:keepLines w:val="0"/>
                    <w:pageBreakBefore w:val="0"/>
                    <w:widowControl w:val="0"/>
                    <w:kinsoku/>
                    <w:wordWrap/>
                    <w:overflowPunct/>
                    <w:topLinePunct w:val="0"/>
                    <w:autoSpaceDE/>
                    <w:autoSpaceDN/>
                    <w:bidi w:val="0"/>
                    <w:spacing w:line="240" w:lineRule="auto"/>
                    <w:jc w:val="center"/>
                    <w:rPr>
                      <w:color w:val="auto"/>
                      <w:lang w:val="en-US" w:eastAsia="zh-CN"/>
                    </w:rPr>
                  </w:pPr>
                  <w:r>
                    <w:rPr>
                      <w:rFonts w:hint="eastAsia" w:cs="Times New Roman"/>
                      <w:color w:val="auto"/>
                      <w:szCs w:val="21"/>
                      <w:lang w:val="en-US" w:eastAsia="zh-CN"/>
                    </w:rPr>
                    <w:t>4</w:t>
                  </w:r>
                </w:p>
              </w:tc>
              <w:tc>
                <w:tcPr>
                  <w:tcW w:w="1003" w:type="pct"/>
                  <w:noWrap w:val="0"/>
                  <w:vAlign w:val="center"/>
                </w:tcPr>
                <w:p w14:paraId="4C4A15DF">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2804CF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03CBE43A">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5</w:t>
                  </w:r>
                </w:p>
              </w:tc>
              <w:tc>
                <w:tcPr>
                  <w:tcW w:w="1335" w:type="pct"/>
                  <w:gridSpan w:val="2"/>
                  <w:noWrap w:val="0"/>
                  <w:vAlign w:val="center"/>
                </w:tcPr>
                <w:p w14:paraId="2198CA12">
                  <w:pPr>
                    <w:jc w:val="center"/>
                    <w:rPr>
                      <w:rFonts w:hint="eastAsia" w:ascii="Times New Roman" w:hAnsi="Times New Roman" w:eastAsia="宋体" w:cs="Times New Roman"/>
                      <w:color w:val="auto"/>
                      <w:szCs w:val="21"/>
                      <w:lang w:val="en-US" w:eastAsia="zh-CN"/>
                    </w:rPr>
                  </w:pPr>
                  <w:r>
                    <w:rPr>
                      <w:rFonts w:hint="eastAsia"/>
                      <w:color w:val="auto"/>
                      <w:szCs w:val="21"/>
                    </w:rPr>
                    <w:t>重力浇注机器人</w:t>
                  </w:r>
                </w:p>
              </w:tc>
              <w:tc>
                <w:tcPr>
                  <w:tcW w:w="1258" w:type="pct"/>
                  <w:noWrap w:val="0"/>
                  <w:vAlign w:val="center"/>
                </w:tcPr>
                <w:p w14:paraId="27F58A56">
                  <w:pPr>
                    <w:jc w:val="center"/>
                    <w:rPr>
                      <w:rFonts w:hint="eastAsia" w:ascii="Times New Roman" w:hAnsi="Times New Roman" w:eastAsia="宋体" w:cs="Times New Roman"/>
                      <w:color w:val="auto"/>
                      <w:szCs w:val="21"/>
                    </w:rPr>
                  </w:pPr>
                  <w:r>
                    <w:rPr>
                      <w:rFonts w:ascii="Arial" w:hAnsi="Arial" w:eastAsia="等线" w:cs="Arial"/>
                      <w:color w:val="auto"/>
                      <w:szCs w:val="21"/>
                    </w:rPr>
                    <w:t>150KG</w:t>
                  </w:r>
                  <w:r>
                    <w:rPr>
                      <w:rFonts w:hint="eastAsia" w:ascii="Arial" w:hAnsi="Arial" w:eastAsia="等线" w:cs="Arial"/>
                      <w:color w:val="auto"/>
                      <w:szCs w:val="21"/>
                      <w:lang w:val="en-US" w:eastAsia="zh-CN"/>
                    </w:rPr>
                    <w:t>/5kw</w:t>
                  </w:r>
                </w:p>
              </w:tc>
              <w:tc>
                <w:tcPr>
                  <w:tcW w:w="1003" w:type="pct"/>
                  <w:noWrap w:val="0"/>
                  <w:vAlign w:val="center"/>
                </w:tcPr>
                <w:p w14:paraId="6D36D9D1">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37E04FF4">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1FB3D8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4BF439E4">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6</w:t>
                  </w:r>
                </w:p>
              </w:tc>
              <w:tc>
                <w:tcPr>
                  <w:tcW w:w="1335" w:type="pct"/>
                  <w:gridSpan w:val="2"/>
                  <w:noWrap w:val="0"/>
                  <w:vAlign w:val="center"/>
                </w:tcPr>
                <w:p w14:paraId="5193CF3A">
                  <w:pPr>
                    <w:jc w:val="center"/>
                    <w:rPr>
                      <w:rFonts w:hint="eastAsia" w:ascii="Times New Roman" w:hAnsi="Times New Roman" w:eastAsia="宋体" w:cs="Times New Roman"/>
                      <w:color w:val="auto"/>
                      <w:szCs w:val="21"/>
                      <w:lang w:val="en-US" w:eastAsia="zh-CN"/>
                    </w:rPr>
                  </w:pPr>
                  <w:r>
                    <w:rPr>
                      <w:rFonts w:hint="eastAsia"/>
                      <w:color w:val="auto"/>
                      <w:szCs w:val="21"/>
                    </w:rPr>
                    <w:t>倾转重力浇注机</w:t>
                  </w:r>
                </w:p>
              </w:tc>
              <w:tc>
                <w:tcPr>
                  <w:tcW w:w="1258" w:type="pct"/>
                  <w:noWrap w:val="0"/>
                  <w:vAlign w:val="center"/>
                </w:tcPr>
                <w:p w14:paraId="72894C89">
                  <w:pPr>
                    <w:jc w:val="center"/>
                    <w:rPr>
                      <w:rFonts w:hint="eastAsia" w:ascii="Times New Roman" w:hAnsi="Times New Roman" w:eastAsia="宋体" w:cs="Times New Roman"/>
                      <w:color w:val="auto"/>
                      <w:szCs w:val="21"/>
                    </w:rPr>
                  </w:pPr>
                  <w:r>
                    <w:rPr>
                      <w:rFonts w:ascii="Arial" w:hAnsi="Arial" w:eastAsia="等线" w:cs="Arial"/>
                      <w:color w:val="auto"/>
                      <w:szCs w:val="21"/>
                    </w:rPr>
                    <w:t>860</w:t>
                  </w:r>
                  <w:r>
                    <w:rPr>
                      <w:rFonts w:hint="eastAsia" w:ascii="Arial" w:hAnsi="Arial" w:eastAsia="等线" w:cs="Arial"/>
                      <w:color w:val="auto"/>
                      <w:szCs w:val="21"/>
                      <w:lang w:val="en-US" w:eastAsia="zh-CN"/>
                    </w:rPr>
                    <w:t>/20kw</w:t>
                  </w:r>
                </w:p>
              </w:tc>
              <w:tc>
                <w:tcPr>
                  <w:tcW w:w="1003" w:type="pct"/>
                  <w:noWrap w:val="0"/>
                  <w:vAlign w:val="center"/>
                </w:tcPr>
                <w:p w14:paraId="6A93DF28">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003" w:type="pct"/>
                  <w:noWrap w:val="0"/>
                  <w:vAlign w:val="center"/>
                </w:tcPr>
                <w:p w14:paraId="2169D749">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6B8C5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2" w:hRule="atLeast"/>
                <w:jc w:val="center"/>
              </w:trPr>
              <w:tc>
                <w:tcPr>
                  <w:tcW w:w="397" w:type="pct"/>
                  <w:noWrap w:val="0"/>
                  <w:vAlign w:val="center"/>
                </w:tcPr>
                <w:p w14:paraId="3A17BC64">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7</w:t>
                  </w:r>
                </w:p>
              </w:tc>
              <w:tc>
                <w:tcPr>
                  <w:tcW w:w="1335" w:type="pct"/>
                  <w:gridSpan w:val="2"/>
                  <w:noWrap w:val="0"/>
                  <w:vAlign w:val="center"/>
                </w:tcPr>
                <w:p w14:paraId="287E6F89">
                  <w:pPr>
                    <w:jc w:val="center"/>
                    <w:rPr>
                      <w:rFonts w:hint="eastAsia" w:ascii="Times New Roman" w:hAnsi="Times New Roman" w:eastAsia="宋体" w:cs="Times New Roman"/>
                      <w:color w:val="auto"/>
                      <w:szCs w:val="21"/>
                      <w:lang w:val="en-US" w:eastAsia="zh-CN"/>
                    </w:rPr>
                  </w:pPr>
                  <w:r>
                    <w:rPr>
                      <w:rFonts w:hint="eastAsia"/>
                      <w:color w:val="auto"/>
                      <w:szCs w:val="21"/>
                    </w:rPr>
                    <w:t>铝合金</w:t>
                  </w:r>
                  <w:r>
                    <w:rPr>
                      <w:rFonts w:ascii="Arial" w:hAnsi="Arial" w:cs="Arial"/>
                      <w:color w:val="auto"/>
                      <w:szCs w:val="21"/>
                    </w:rPr>
                    <w:t>T6</w:t>
                  </w:r>
                  <w:r>
                    <w:rPr>
                      <w:rFonts w:hint="eastAsia"/>
                      <w:color w:val="auto"/>
                      <w:szCs w:val="21"/>
                    </w:rPr>
                    <w:t>固溶炉</w:t>
                  </w:r>
                </w:p>
              </w:tc>
              <w:tc>
                <w:tcPr>
                  <w:tcW w:w="1258" w:type="pct"/>
                  <w:noWrap w:val="0"/>
                  <w:vAlign w:val="center"/>
                </w:tcPr>
                <w:p w14:paraId="11C52FBD">
                  <w:pPr>
                    <w:jc w:val="center"/>
                    <w:rPr>
                      <w:rFonts w:hint="eastAsia" w:ascii="Times New Roman" w:hAnsi="Times New Roman" w:eastAsia="宋体" w:cs="Times New Roman"/>
                      <w:color w:val="auto"/>
                      <w:szCs w:val="21"/>
                    </w:rPr>
                  </w:pPr>
                  <w:r>
                    <w:rPr>
                      <w:rFonts w:ascii="Arial" w:hAnsi="Arial" w:eastAsia="等线" w:cs="Arial"/>
                      <w:color w:val="auto"/>
                      <w:szCs w:val="21"/>
                    </w:rPr>
                    <w:t>2T</w:t>
                  </w:r>
                  <w:r>
                    <w:rPr>
                      <w:rFonts w:hint="eastAsia" w:ascii="Arial" w:hAnsi="Arial" w:eastAsia="等线" w:cs="Arial"/>
                      <w:color w:val="auto"/>
                      <w:szCs w:val="21"/>
                      <w:lang w:val="en-US" w:eastAsia="zh-CN"/>
                    </w:rPr>
                    <w:t>/300kw</w:t>
                  </w:r>
                </w:p>
              </w:tc>
              <w:tc>
                <w:tcPr>
                  <w:tcW w:w="1003" w:type="pct"/>
                  <w:noWrap w:val="0"/>
                  <w:vAlign w:val="center"/>
                </w:tcPr>
                <w:p w14:paraId="7BAA33F1">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0CFC2565">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314EA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5FDC0F23">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8</w:t>
                  </w:r>
                </w:p>
              </w:tc>
              <w:tc>
                <w:tcPr>
                  <w:tcW w:w="1335" w:type="pct"/>
                  <w:gridSpan w:val="2"/>
                  <w:noWrap w:val="0"/>
                  <w:vAlign w:val="center"/>
                </w:tcPr>
                <w:p w14:paraId="0C350B6E">
                  <w:pPr>
                    <w:jc w:val="center"/>
                    <w:rPr>
                      <w:rFonts w:hint="eastAsia" w:ascii="Times New Roman" w:hAnsi="Times New Roman" w:eastAsia="宋体" w:cs="Times New Roman"/>
                      <w:color w:val="auto"/>
                      <w:szCs w:val="21"/>
                      <w:lang w:val="en-US" w:eastAsia="zh-CN"/>
                    </w:rPr>
                  </w:pPr>
                  <w:r>
                    <w:rPr>
                      <w:rFonts w:hint="eastAsia"/>
                      <w:color w:val="auto"/>
                      <w:szCs w:val="21"/>
                    </w:rPr>
                    <w:t>铝合金</w:t>
                  </w:r>
                  <w:r>
                    <w:rPr>
                      <w:rFonts w:ascii="Arial" w:hAnsi="Arial" w:cs="Arial"/>
                      <w:color w:val="auto"/>
                      <w:szCs w:val="21"/>
                    </w:rPr>
                    <w:t>T6</w:t>
                  </w:r>
                  <w:r>
                    <w:rPr>
                      <w:rFonts w:hint="eastAsia"/>
                      <w:color w:val="auto"/>
                      <w:szCs w:val="21"/>
                    </w:rPr>
                    <w:t>时效炉</w:t>
                  </w:r>
                </w:p>
              </w:tc>
              <w:tc>
                <w:tcPr>
                  <w:tcW w:w="1258" w:type="pct"/>
                  <w:noWrap w:val="0"/>
                  <w:vAlign w:val="center"/>
                </w:tcPr>
                <w:p w14:paraId="4453413D">
                  <w:pPr>
                    <w:jc w:val="center"/>
                    <w:rPr>
                      <w:rFonts w:hint="eastAsia" w:ascii="Times New Roman" w:hAnsi="Times New Roman" w:eastAsia="宋体" w:cs="Times New Roman"/>
                      <w:color w:val="auto"/>
                      <w:szCs w:val="21"/>
                    </w:rPr>
                  </w:pPr>
                  <w:r>
                    <w:rPr>
                      <w:rFonts w:ascii="Arial" w:hAnsi="Arial" w:eastAsia="等线" w:cs="Arial"/>
                      <w:color w:val="auto"/>
                      <w:szCs w:val="21"/>
                    </w:rPr>
                    <w:t>2T</w:t>
                  </w:r>
                  <w:r>
                    <w:rPr>
                      <w:rFonts w:hint="eastAsia" w:ascii="Arial" w:hAnsi="Arial" w:eastAsia="等线" w:cs="Arial"/>
                      <w:color w:val="auto"/>
                      <w:szCs w:val="21"/>
                      <w:lang w:val="en-US" w:eastAsia="zh-CN"/>
                    </w:rPr>
                    <w:t>/300kw</w:t>
                  </w:r>
                </w:p>
              </w:tc>
              <w:tc>
                <w:tcPr>
                  <w:tcW w:w="1003" w:type="pct"/>
                  <w:noWrap w:val="0"/>
                  <w:vAlign w:val="center"/>
                </w:tcPr>
                <w:p w14:paraId="0C012209">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14063025">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34C75B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4427404D">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9</w:t>
                  </w:r>
                </w:p>
              </w:tc>
              <w:tc>
                <w:tcPr>
                  <w:tcW w:w="1335" w:type="pct"/>
                  <w:gridSpan w:val="2"/>
                  <w:noWrap w:val="0"/>
                  <w:vAlign w:val="center"/>
                </w:tcPr>
                <w:p w14:paraId="7CF30045">
                  <w:pPr>
                    <w:jc w:val="center"/>
                    <w:rPr>
                      <w:rFonts w:hint="eastAsia" w:ascii="Times New Roman" w:hAnsi="Times New Roman" w:eastAsia="宋体" w:cs="Times New Roman"/>
                      <w:color w:val="auto"/>
                      <w:szCs w:val="21"/>
                      <w:lang w:val="en-US" w:eastAsia="zh-CN"/>
                    </w:rPr>
                  </w:pPr>
                  <w:r>
                    <w:rPr>
                      <w:rFonts w:hint="eastAsia"/>
                      <w:color w:val="auto"/>
                      <w:szCs w:val="21"/>
                    </w:rPr>
                    <w:t>卧式加工中心</w:t>
                  </w:r>
                </w:p>
              </w:tc>
              <w:tc>
                <w:tcPr>
                  <w:tcW w:w="1258" w:type="pct"/>
                  <w:noWrap w:val="0"/>
                  <w:vAlign w:val="center"/>
                </w:tcPr>
                <w:p w14:paraId="5F1FC93E">
                  <w:pPr>
                    <w:jc w:val="center"/>
                    <w:rPr>
                      <w:rFonts w:hint="eastAsia" w:ascii="Times New Roman" w:hAnsi="Times New Roman" w:eastAsia="宋体" w:cs="Times New Roman"/>
                      <w:color w:val="auto"/>
                      <w:szCs w:val="21"/>
                    </w:rPr>
                  </w:pPr>
                  <w:r>
                    <w:rPr>
                      <w:rFonts w:ascii="Arial" w:hAnsi="Arial" w:eastAsia="等线" w:cs="Arial"/>
                      <w:color w:val="auto"/>
                      <w:szCs w:val="21"/>
                    </w:rPr>
                    <w:t>630</w:t>
                  </w:r>
                  <w:r>
                    <w:rPr>
                      <w:rFonts w:hint="eastAsia" w:ascii="Arial" w:hAnsi="Arial" w:eastAsia="等线" w:cs="Arial"/>
                      <w:color w:val="auto"/>
                      <w:szCs w:val="21"/>
                      <w:lang w:val="en-US" w:eastAsia="zh-CN"/>
                    </w:rPr>
                    <w:t>/30kw</w:t>
                  </w:r>
                </w:p>
              </w:tc>
              <w:tc>
                <w:tcPr>
                  <w:tcW w:w="1003" w:type="pct"/>
                  <w:noWrap w:val="0"/>
                  <w:vAlign w:val="center"/>
                </w:tcPr>
                <w:p w14:paraId="6E91BAC7">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003" w:type="pct"/>
                  <w:noWrap w:val="0"/>
                  <w:vAlign w:val="center"/>
                </w:tcPr>
                <w:p w14:paraId="4786651C">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1FE7BD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53EC2F0D">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ascii="Times New Roman" w:hAnsi="Times New Roman"/>
                      <w:color w:val="auto"/>
                      <w:szCs w:val="21"/>
                    </w:rPr>
                    <mc:AlternateContent>
                      <mc:Choice Requires="wps">
                        <w:drawing>
                          <wp:anchor distT="0" distB="0" distL="114300" distR="114300" simplePos="0" relativeHeight="251671552" behindDoc="1" locked="0" layoutInCell="1" allowOverlap="1">
                            <wp:simplePos x="0" y="0"/>
                            <wp:positionH relativeFrom="column">
                              <wp:posOffset>-500380</wp:posOffset>
                            </wp:positionH>
                            <wp:positionV relativeFrom="paragraph">
                              <wp:posOffset>110490</wp:posOffset>
                            </wp:positionV>
                            <wp:extent cx="317500" cy="163322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164590" cy="338455"/>
                                    </a:xfrm>
                                    <a:prstGeom prst="rect">
                                      <a:avLst/>
                                    </a:prstGeom>
                                    <a:noFill/>
                                    <a:ln>
                                      <a:noFill/>
                                    </a:ln>
                                    <a:effectLst/>
                                  </wps:spPr>
                                  <wps:txbx>
                                    <w:txbxContent>
                                      <w:p w14:paraId="235755F9">
                                        <w:pPr>
                                          <w:jc w:val="center"/>
                                        </w:pPr>
                                        <w:r>
                                          <w:rPr>
                                            <w:rFonts w:hint="eastAsia"/>
                                          </w:rPr>
                                          <w:t>建设内容</w:t>
                                        </w:r>
                                      </w:p>
                                    </w:txbxContent>
                                  </wps:txbx>
                                  <wps:bodyPr upright="1"/>
                                </wps:wsp>
                              </a:graphicData>
                            </a:graphic>
                          </wp:anchor>
                        </w:drawing>
                      </mc:Choice>
                      <mc:Fallback>
                        <w:pict>
                          <v:shape id="_x0000_s1026" o:spid="_x0000_s1026" o:spt="202" type="#_x0000_t202" style="position:absolute;left:0pt;margin-left:-39.4pt;margin-top:8.7pt;height:128.6pt;width:25pt;z-index:-251644928;mso-width-relative:page;mso-height-relative:page;" filled="f" stroked="f" coordsize="21600,21600" o:gfxdata="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jmMktcAAAAKAQAADwAAAAAAAAABACAAAAAiAAAAZHJzL2Rvd25yZXYueG1sUEsBAhQAFAAAAAgA&#10;h07iQN0RTZy0AQAAYAMAAA4AAAAAAAAAAQAgAAAAJgEAAGRycy9lMm9Eb2MueG1sUEsFBgAAAAAG&#10;AAYAWQEAAEwFAAAAAA==&#10;">
                            <v:fill on="f" focussize="0,0"/>
                            <v:stroke on="f"/>
                            <v:imagedata o:title=""/>
                            <o:lock v:ext="edit" aspectratio="f"/>
                            <v:textbox>
                              <w:txbxContent>
                                <w:p w14:paraId="235755F9">
                                  <w:pPr>
                                    <w:jc w:val="center"/>
                                  </w:pPr>
                                  <w:r>
                                    <w:rPr>
                                      <w:rFonts w:hint="eastAsia"/>
                                    </w:rPr>
                                    <w:t>建设内容</w:t>
                                  </w:r>
                                </w:p>
                              </w:txbxContent>
                            </v:textbox>
                          </v:shape>
                        </w:pict>
                      </mc:Fallback>
                    </mc:AlternateContent>
                  </w:r>
                  <w:r>
                    <w:rPr>
                      <w:rFonts w:hint="eastAsia"/>
                      <w:color w:val="auto"/>
                      <w:lang w:val="en-US" w:eastAsia="zh-CN"/>
                    </w:rPr>
                    <w:t>10</w:t>
                  </w:r>
                </w:p>
              </w:tc>
              <w:tc>
                <w:tcPr>
                  <w:tcW w:w="1335" w:type="pct"/>
                  <w:gridSpan w:val="2"/>
                  <w:noWrap w:val="0"/>
                  <w:vAlign w:val="center"/>
                </w:tcPr>
                <w:p w14:paraId="77E772D0">
                  <w:pPr>
                    <w:jc w:val="center"/>
                    <w:rPr>
                      <w:rFonts w:hint="eastAsia" w:ascii="Times New Roman" w:hAnsi="Times New Roman" w:eastAsia="宋体" w:cs="Times New Roman"/>
                      <w:color w:val="auto"/>
                      <w:szCs w:val="21"/>
                      <w:lang w:val="en-US" w:eastAsia="zh-CN"/>
                    </w:rPr>
                  </w:pPr>
                  <w:r>
                    <w:rPr>
                      <w:rFonts w:hint="eastAsia"/>
                      <w:color w:val="auto"/>
                      <w:szCs w:val="21"/>
                    </w:rPr>
                    <w:t>立式加工中心</w:t>
                  </w:r>
                </w:p>
              </w:tc>
              <w:tc>
                <w:tcPr>
                  <w:tcW w:w="1258" w:type="pct"/>
                  <w:noWrap w:val="0"/>
                  <w:vAlign w:val="center"/>
                </w:tcPr>
                <w:p w14:paraId="1125AFAC">
                  <w:pPr>
                    <w:jc w:val="center"/>
                    <w:rPr>
                      <w:rFonts w:hint="eastAsia" w:ascii="Times New Roman" w:hAnsi="Times New Roman" w:eastAsia="宋体" w:cs="Times New Roman"/>
                      <w:color w:val="auto"/>
                      <w:szCs w:val="21"/>
                    </w:rPr>
                  </w:pPr>
                  <w:r>
                    <w:rPr>
                      <w:rFonts w:ascii="Arial" w:hAnsi="Arial" w:eastAsia="等线" w:cs="Arial"/>
                      <w:color w:val="auto"/>
                      <w:szCs w:val="21"/>
                    </w:rPr>
                    <w:t>860</w:t>
                  </w:r>
                  <w:r>
                    <w:rPr>
                      <w:rFonts w:hint="eastAsia" w:ascii="Arial" w:hAnsi="Arial" w:eastAsia="等线" w:cs="Arial"/>
                      <w:color w:val="auto"/>
                      <w:szCs w:val="21"/>
                      <w:lang w:val="en-US" w:eastAsia="zh-CN"/>
                    </w:rPr>
                    <w:t>/35kw</w:t>
                  </w:r>
                </w:p>
              </w:tc>
              <w:tc>
                <w:tcPr>
                  <w:tcW w:w="1003" w:type="pct"/>
                  <w:noWrap w:val="0"/>
                  <w:vAlign w:val="center"/>
                </w:tcPr>
                <w:p w14:paraId="04380D90">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003" w:type="pct"/>
                  <w:noWrap w:val="0"/>
                  <w:vAlign w:val="center"/>
                </w:tcPr>
                <w:p w14:paraId="5798843A">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6C23EE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377FA578">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11</w:t>
                  </w:r>
                </w:p>
              </w:tc>
              <w:tc>
                <w:tcPr>
                  <w:tcW w:w="1335" w:type="pct"/>
                  <w:gridSpan w:val="2"/>
                  <w:noWrap w:val="0"/>
                  <w:vAlign w:val="center"/>
                </w:tcPr>
                <w:p w14:paraId="2893F858">
                  <w:pPr>
                    <w:jc w:val="center"/>
                    <w:rPr>
                      <w:rFonts w:hint="eastAsia" w:ascii="Times New Roman" w:hAnsi="Times New Roman" w:eastAsia="宋体" w:cs="Times New Roman"/>
                      <w:color w:val="auto"/>
                      <w:szCs w:val="21"/>
                      <w:lang w:val="en-US" w:eastAsia="zh-CN"/>
                    </w:rPr>
                  </w:pPr>
                  <w:r>
                    <w:rPr>
                      <w:rFonts w:hint="eastAsia"/>
                      <w:color w:val="auto"/>
                      <w:szCs w:val="21"/>
                    </w:rPr>
                    <w:t>卧式车床</w:t>
                  </w:r>
                </w:p>
              </w:tc>
              <w:tc>
                <w:tcPr>
                  <w:tcW w:w="1258" w:type="pct"/>
                  <w:noWrap w:val="0"/>
                  <w:vAlign w:val="center"/>
                </w:tcPr>
                <w:p w14:paraId="61E12322">
                  <w:pPr>
                    <w:jc w:val="center"/>
                    <w:rPr>
                      <w:rFonts w:hint="eastAsia" w:ascii="Times New Roman" w:hAnsi="Times New Roman" w:eastAsia="等线" w:cs="Times New Roman"/>
                      <w:color w:val="auto"/>
                      <w:szCs w:val="21"/>
                      <w:lang w:val="en-US" w:eastAsia="zh-CN"/>
                    </w:rPr>
                  </w:pPr>
                  <w:r>
                    <w:rPr>
                      <w:rFonts w:ascii="Arial" w:hAnsi="Arial" w:eastAsia="等线" w:cs="Arial"/>
                      <w:color w:val="auto"/>
                      <w:szCs w:val="21"/>
                    </w:rPr>
                    <w:t>6150</w:t>
                  </w:r>
                  <w:r>
                    <w:rPr>
                      <w:rFonts w:hint="eastAsia" w:ascii="Arial" w:hAnsi="Arial" w:eastAsia="等线" w:cs="Arial"/>
                      <w:color w:val="auto"/>
                      <w:szCs w:val="21"/>
                      <w:lang w:val="en-US" w:eastAsia="zh-CN"/>
                    </w:rPr>
                    <w:t>/25kw</w:t>
                  </w:r>
                </w:p>
              </w:tc>
              <w:tc>
                <w:tcPr>
                  <w:tcW w:w="1003" w:type="pct"/>
                  <w:noWrap w:val="0"/>
                  <w:vAlign w:val="center"/>
                </w:tcPr>
                <w:p w14:paraId="5CB3120D">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003" w:type="pct"/>
                  <w:noWrap w:val="0"/>
                  <w:vAlign w:val="center"/>
                </w:tcPr>
                <w:p w14:paraId="652317C3">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543B12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0DBC1EFB">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12</w:t>
                  </w:r>
                </w:p>
              </w:tc>
              <w:tc>
                <w:tcPr>
                  <w:tcW w:w="1335" w:type="pct"/>
                  <w:gridSpan w:val="2"/>
                  <w:noWrap w:val="0"/>
                  <w:vAlign w:val="center"/>
                </w:tcPr>
                <w:p w14:paraId="4D08CC65">
                  <w:pPr>
                    <w:jc w:val="center"/>
                    <w:rPr>
                      <w:rFonts w:hint="eastAsia" w:ascii="Times New Roman" w:hAnsi="Times New Roman" w:eastAsia="宋体" w:cs="Times New Roman"/>
                      <w:color w:val="auto"/>
                      <w:szCs w:val="21"/>
                      <w:lang w:val="en-US" w:eastAsia="zh-CN"/>
                    </w:rPr>
                  </w:pPr>
                  <w:r>
                    <w:rPr>
                      <w:rFonts w:hint="eastAsia"/>
                      <w:color w:val="auto"/>
                      <w:szCs w:val="21"/>
                    </w:rPr>
                    <w:t>机器人抛光单元</w:t>
                  </w:r>
                </w:p>
              </w:tc>
              <w:tc>
                <w:tcPr>
                  <w:tcW w:w="1258" w:type="pct"/>
                  <w:noWrap w:val="0"/>
                  <w:vAlign w:val="center"/>
                </w:tcPr>
                <w:p w14:paraId="26429701">
                  <w:pPr>
                    <w:jc w:val="center"/>
                    <w:rPr>
                      <w:rFonts w:hint="default" w:ascii="Arial" w:hAnsi="Arial" w:eastAsia="等线" w:cs="Arial"/>
                      <w:color w:val="auto"/>
                      <w:szCs w:val="21"/>
                      <w:lang w:val="en-US"/>
                    </w:rPr>
                  </w:pPr>
                  <w:r>
                    <w:rPr>
                      <w:rFonts w:hint="eastAsia" w:ascii="Arial" w:hAnsi="Arial" w:eastAsia="等线" w:cs="Arial"/>
                      <w:color w:val="auto"/>
                      <w:szCs w:val="21"/>
                      <w:lang w:val="en-US" w:eastAsia="zh-CN"/>
                    </w:rPr>
                    <w:t>3.5kw</w:t>
                  </w:r>
                </w:p>
              </w:tc>
              <w:tc>
                <w:tcPr>
                  <w:tcW w:w="1003" w:type="pct"/>
                  <w:noWrap w:val="0"/>
                  <w:vAlign w:val="center"/>
                </w:tcPr>
                <w:p w14:paraId="3F00E1A6">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07014F47">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366F1E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3D7F5E8A">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13</w:t>
                  </w:r>
                </w:p>
              </w:tc>
              <w:tc>
                <w:tcPr>
                  <w:tcW w:w="1335" w:type="pct"/>
                  <w:gridSpan w:val="2"/>
                  <w:noWrap w:val="0"/>
                  <w:vAlign w:val="center"/>
                </w:tcPr>
                <w:p w14:paraId="13CCA209">
                  <w:pPr>
                    <w:jc w:val="center"/>
                    <w:rPr>
                      <w:rFonts w:hint="eastAsia" w:ascii="Times New Roman" w:hAnsi="Times New Roman" w:eastAsia="宋体" w:cs="Times New Roman"/>
                      <w:color w:val="auto"/>
                      <w:szCs w:val="21"/>
                      <w:lang w:val="en-US" w:eastAsia="zh-CN"/>
                    </w:rPr>
                  </w:pPr>
                  <w:r>
                    <w:rPr>
                      <w:rFonts w:hint="eastAsia"/>
                      <w:color w:val="auto"/>
                      <w:szCs w:val="21"/>
                    </w:rPr>
                    <w:t>人工打磨工位</w:t>
                  </w:r>
                </w:p>
              </w:tc>
              <w:tc>
                <w:tcPr>
                  <w:tcW w:w="1258" w:type="pct"/>
                  <w:noWrap w:val="0"/>
                  <w:vAlign w:val="center"/>
                </w:tcPr>
                <w:p w14:paraId="3EF73778">
                  <w:pPr>
                    <w:jc w:val="center"/>
                    <w:rPr>
                      <w:rFonts w:hint="default" w:ascii="Arial" w:hAnsi="Arial" w:eastAsia="等线" w:cs="Arial"/>
                      <w:color w:val="auto"/>
                      <w:szCs w:val="21"/>
                      <w:lang w:val="en-US"/>
                    </w:rPr>
                  </w:pPr>
                  <w:r>
                    <w:rPr>
                      <w:rFonts w:hint="eastAsia" w:ascii="Arial" w:hAnsi="Arial" w:eastAsia="等线" w:cs="Arial"/>
                      <w:color w:val="auto"/>
                      <w:szCs w:val="21"/>
                      <w:lang w:val="en-US" w:eastAsia="zh-CN"/>
                    </w:rPr>
                    <w:t>0.3kw</w:t>
                  </w:r>
                </w:p>
              </w:tc>
              <w:tc>
                <w:tcPr>
                  <w:tcW w:w="1003" w:type="pct"/>
                  <w:noWrap w:val="0"/>
                  <w:vAlign w:val="center"/>
                </w:tcPr>
                <w:p w14:paraId="0E6720E3">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1003" w:type="pct"/>
                  <w:noWrap w:val="0"/>
                  <w:vAlign w:val="center"/>
                </w:tcPr>
                <w:p w14:paraId="00F1D7D1">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0715C6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7" w:hRule="atLeast"/>
                <w:jc w:val="center"/>
              </w:trPr>
              <w:tc>
                <w:tcPr>
                  <w:tcW w:w="397" w:type="pct"/>
                  <w:noWrap w:val="0"/>
                  <w:vAlign w:val="center"/>
                </w:tcPr>
                <w:p w14:paraId="08572354">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14</w:t>
                  </w:r>
                </w:p>
              </w:tc>
              <w:tc>
                <w:tcPr>
                  <w:tcW w:w="1335" w:type="pct"/>
                  <w:gridSpan w:val="2"/>
                  <w:noWrap w:val="0"/>
                  <w:vAlign w:val="center"/>
                </w:tcPr>
                <w:p w14:paraId="4C893915">
                  <w:pPr>
                    <w:jc w:val="center"/>
                    <w:rPr>
                      <w:rFonts w:hint="eastAsia" w:ascii="Times New Roman" w:hAnsi="Times New Roman" w:eastAsia="宋体" w:cs="Times New Roman"/>
                      <w:color w:val="auto"/>
                      <w:szCs w:val="21"/>
                      <w:lang w:val="en-US" w:eastAsia="zh-CN"/>
                    </w:rPr>
                  </w:pPr>
                  <w:r>
                    <w:rPr>
                      <w:rFonts w:hint="eastAsia"/>
                      <w:color w:val="auto"/>
                      <w:szCs w:val="21"/>
                    </w:rPr>
                    <w:t>超声波清洗机</w:t>
                  </w:r>
                </w:p>
              </w:tc>
              <w:tc>
                <w:tcPr>
                  <w:tcW w:w="1258" w:type="pct"/>
                  <w:noWrap w:val="0"/>
                  <w:vAlign w:val="center"/>
                </w:tcPr>
                <w:p w14:paraId="338AFDBD">
                  <w:pPr>
                    <w:jc w:val="center"/>
                    <w:rPr>
                      <w:rFonts w:hint="default" w:ascii="Arial" w:hAnsi="Arial" w:eastAsia="等线" w:cs="Arial"/>
                      <w:color w:val="auto"/>
                      <w:szCs w:val="21"/>
                      <w:lang w:val="en-US"/>
                    </w:rPr>
                  </w:pPr>
                  <w:r>
                    <w:rPr>
                      <w:rFonts w:hint="eastAsia" w:ascii="Arial" w:hAnsi="Arial" w:eastAsia="等线" w:cs="Arial"/>
                      <w:color w:val="auto"/>
                      <w:szCs w:val="21"/>
                      <w:lang w:val="en-US" w:eastAsia="zh-CN"/>
                    </w:rPr>
                    <w:t>5kw</w:t>
                  </w:r>
                </w:p>
              </w:tc>
              <w:tc>
                <w:tcPr>
                  <w:tcW w:w="1003" w:type="pct"/>
                  <w:noWrap w:val="0"/>
                  <w:vAlign w:val="center"/>
                </w:tcPr>
                <w:p w14:paraId="74BB7FD6">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003" w:type="pct"/>
                  <w:noWrap w:val="0"/>
                  <w:vAlign w:val="center"/>
                </w:tcPr>
                <w:p w14:paraId="16A41E4D">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0EB6B0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noWrap w:val="0"/>
                  <w:vAlign w:val="center"/>
                </w:tcPr>
                <w:p w14:paraId="32FC64BD">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15</w:t>
                  </w:r>
                </w:p>
              </w:tc>
              <w:tc>
                <w:tcPr>
                  <w:tcW w:w="1335" w:type="pct"/>
                  <w:gridSpan w:val="2"/>
                  <w:noWrap w:val="0"/>
                  <w:vAlign w:val="center"/>
                </w:tcPr>
                <w:p w14:paraId="7E125512">
                  <w:pPr>
                    <w:jc w:val="center"/>
                    <w:rPr>
                      <w:rFonts w:hint="eastAsia" w:ascii="Times New Roman" w:hAnsi="Times New Roman" w:eastAsia="宋体" w:cs="Times New Roman"/>
                      <w:color w:val="auto"/>
                      <w:szCs w:val="21"/>
                      <w:lang w:val="en-US" w:eastAsia="zh-CN"/>
                    </w:rPr>
                  </w:pPr>
                  <w:r>
                    <w:rPr>
                      <w:rFonts w:hint="eastAsia"/>
                      <w:color w:val="auto"/>
                      <w:szCs w:val="21"/>
                    </w:rPr>
                    <w:t>震动落砂机</w:t>
                  </w:r>
                </w:p>
              </w:tc>
              <w:tc>
                <w:tcPr>
                  <w:tcW w:w="1258" w:type="pct"/>
                  <w:noWrap w:val="0"/>
                  <w:vAlign w:val="center"/>
                </w:tcPr>
                <w:p w14:paraId="6CDAA936">
                  <w:pPr>
                    <w:jc w:val="center"/>
                    <w:rPr>
                      <w:rFonts w:hint="default" w:ascii="Arial" w:hAnsi="Arial" w:eastAsia="等线" w:cs="Arial"/>
                      <w:color w:val="auto"/>
                      <w:szCs w:val="21"/>
                      <w:lang w:val="en-US"/>
                    </w:rPr>
                  </w:pPr>
                  <w:r>
                    <w:rPr>
                      <w:rFonts w:hint="eastAsia" w:ascii="Arial" w:hAnsi="Arial" w:eastAsia="等线" w:cs="Arial"/>
                      <w:color w:val="auto"/>
                      <w:szCs w:val="21"/>
                      <w:lang w:val="en-US" w:eastAsia="zh-CN"/>
                    </w:rPr>
                    <w:t>2kw</w:t>
                  </w:r>
                </w:p>
              </w:tc>
              <w:tc>
                <w:tcPr>
                  <w:tcW w:w="1003" w:type="pct"/>
                  <w:noWrap w:val="0"/>
                  <w:vAlign w:val="center"/>
                </w:tcPr>
                <w:p w14:paraId="087E50DF">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003" w:type="pct"/>
                  <w:noWrap w:val="0"/>
                  <w:vAlign w:val="center"/>
                </w:tcPr>
                <w:p w14:paraId="4896110C">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r w14:paraId="7DB7C4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noWrap w:val="0"/>
                  <w:vAlign w:val="center"/>
                </w:tcPr>
                <w:p w14:paraId="03FB0C85">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16</w:t>
                  </w:r>
                </w:p>
              </w:tc>
              <w:tc>
                <w:tcPr>
                  <w:tcW w:w="1335" w:type="pct"/>
                  <w:gridSpan w:val="2"/>
                  <w:noWrap w:val="0"/>
                  <w:vAlign w:val="center"/>
                </w:tcPr>
                <w:p w14:paraId="09C08F80">
                  <w:pPr>
                    <w:jc w:val="center"/>
                    <w:rPr>
                      <w:rFonts w:hint="eastAsia"/>
                      <w:color w:val="auto"/>
                      <w:szCs w:val="21"/>
                    </w:rPr>
                  </w:pPr>
                  <w:r>
                    <w:rPr>
                      <w:rFonts w:hint="eastAsia"/>
                      <w:color w:val="auto"/>
                      <w:lang w:val="en-US" w:eastAsia="zh-CN"/>
                    </w:rPr>
                    <w:t>空压机</w:t>
                  </w:r>
                </w:p>
              </w:tc>
              <w:tc>
                <w:tcPr>
                  <w:tcW w:w="1258" w:type="pct"/>
                  <w:noWrap w:val="0"/>
                  <w:vAlign w:val="center"/>
                </w:tcPr>
                <w:p w14:paraId="15650D2D">
                  <w:pPr>
                    <w:jc w:val="center"/>
                    <w:rPr>
                      <w:rFonts w:hint="eastAsia" w:ascii="Times New Roman" w:hAnsi="Times New Roman" w:eastAsia="宋体"/>
                      <w:color w:val="auto"/>
                      <w:sz w:val="24"/>
                      <w:vertAlign w:val="baseline"/>
                      <w:lang w:val="en-US" w:eastAsia="zh-CN"/>
                    </w:rPr>
                  </w:pPr>
                  <w:r>
                    <w:rPr>
                      <w:rFonts w:hint="eastAsia"/>
                      <w:color w:val="auto"/>
                      <w:lang w:val="en-US" w:eastAsia="zh-CN"/>
                    </w:rPr>
                    <w:t>3.6</w:t>
                  </w:r>
                  <w:r>
                    <w:rPr>
                      <w:rFonts w:hint="eastAsia"/>
                      <w:color w:val="auto"/>
                    </w:rPr>
                    <w:t>m</w:t>
                  </w:r>
                  <w:r>
                    <w:rPr>
                      <w:rFonts w:hint="eastAsia"/>
                      <w:color w:val="auto"/>
                      <w:vertAlign w:val="superscript"/>
                    </w:rPr>
                    <w:t>3</w:t>
                  </w:r>
                  <w:r>
                    <w:rPr>
                      <w:rFonts w:hint="eastAsia"/>
                      <w:color w:val="auto"/>
                    </w:rPr>
                    <w:t>/min</w:t>
                  </w:r>
                  <w:r>
                    <w:rPr>
                      <w:rFonts w:hint="eastAsia"/>
                      <w:color w:val="auto"/>
                      <w:lang w:val="en-US" w:eastAsia="zh-CN"/>
                    </w:rPr>
                    <w:t>/5.5</w:t>
                  </w:r>
                  <w:r>
                    <w:rPr>
                      <w:rFonts w:hint="eastAsia" w:ascii="Arial" w:hAnsi="Arial" w:eastAsia="等线" w:cs="Arial"/>
                      <w:color w:val="auto"/>
                      <w:szCs w:val="21"/>
                      <w:lang w:val="en-US" w:eastAsia="zh-CN"/>
                    </w:rPr>
                    <w:t>kw</w:t>
                  </w:r>
                </w:p>
              </w:tc>
              <w:tc>
                <w:tcPr>
                  <w:tcW w:w="1003" w:type="pct"/>
                  <w:noWrap w:val="0"/>
                  <w:vAlign w:val="center"/>
                </w:tcPr>
                <w:p w14:paraId="203BA6DE">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05DB8A6D">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无油空压机</w:t>
                  </w:r>
                </w:p>
              </w:tc>
            </w:tr>
            <w:tr w14:paraId="66D21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vMerge w:val="restart"/>
                  <w:noWrap w:val="0"/>
                  <w:vAlign w:val="center"/>
                </w:tcPr>
                <w:p w14:paraId="67B950F0">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16</w:t>
                  </w:r>
                </w:p>
              </w:tc>
              <w:tc>
                <w:tcPr>
                  <w:tcW w:w="1335" w:type="pct"/>
                  <w:gridSpan w:val="2"/>
                  <w:noWrap w:val="0"/>
                  <w:vAlign w:val="center"/>
                </w:tcPr>
                <w:p w14:paraId="5E7404B9">
                  <w:pPr>
                    <w:jc w:val="center"/>
                    <w:rPr>
                      <w:rFonts w:hint="default" w:eastAsia="宋体"/>
                      <w:color w:val="auto"/>
                      <w:szCs w:val="21"/>
                      <w:lang w:val="en-US" w:eastAsia="zh-CN"/>
                    </w:rPr>
                  </w:pPr>
                  <w:r>
                    <w:rPr>
                      <w:rFonts w:hint="eastAsia"/>
                      <w:color w:val="auto"/>
                      <w:szCs w:val="21"/>
                      <w:lang w:val="en-US" w:eastAsia="zh-CN"/>
                    </w:rPr>
                    <w:t>布袋除尘+二级活性炭吸附装置</w:t>
                  </w:r>
                </w:p>
              </w:tc>
              <w:tc>
                <w:tcPr>
                  <w:tcW w:w="1258" w:type="pct"/>
                  <w:noWrap w:val="0"/>
                  <w:vAlign w:val="center"/>
                </w:tcPr>
                <w:p w14:paraId="6D0D9C90">
                  <w:pPr>
                    <w:jc w:val="center"/>
                    <w:rPr>
                      <w:rFonts w:hint="default" w:ascii="Times New Roman" w:hAnsi="Times New Roman" w:eastAsia="宋体"/>
                      <w:color w:val="auto"/>
                      <w:sz w:val="24"/>
                      <w:vertAlign w:val="baseline"/>
                      <w:lang w:val="en-US" w:eastAsia="zh-CN"/>
                    </w:rPr>
                  </w:pPr>
                  <w:r>
                    <w:rPr>
                      <w:rFonts w:hint="eastAsia"/>
                      <w:color w:val="auto"/>
                      <w:sz w:val="24"/>
                      <w:vertAlign w:val="baseline"/>
                      <w:lang w:val="en-US" w:eastAsia="zh-CN"/>
                    </w:rPr>
                    <w:t>/</w:t>
                  </w:r>
                </w:p>
              </w:tc>
              <w:tc>
                <w:tcPr>
                  <w:tcW w:w="1003" w:type="pct"/>
                  <w:noWrap w:val="0"/>
                  <w:vAlign w:val="center"/>
                </w:tcPr>
                <w:p w14:paraId="364B8A71">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4601F10B">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w:t>
                  </w:r>
                </w:p>
              </w:tc>
            </w:tr>
            <w:tr w14:paraId="14CA03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vMerge w:val="continue"/>
                  <w:noWrap w:val="0"/>
                  <w:vAlign w:val="center"/>
                </w:tcPr>
                <w:p w14:paraId="6FFA88DD">
                  <w:pPr>
                    <w:pStyle w:val="43"/>
                    <w:keepNext w:val="0"/>
                    <w:keepLines w:val="0"/>
                    <w:pageBreakBefore w:val="0"/>
                    <w:widowControl w:val="0"/>
                    <w:kinsoku/>
                    <w:wordWrap/>
                    <w:overflowPunct/>
                    <w:topLinePunct w:val="0"/>
                    <w:autoSpaceDE/>
                    <w:autoSpaceDN/>
                    <w:bidi w:val="0"/>
                    <w:spacing w:line="240" w:lineRule="auto"/>
                    <w:ind w:firstLine="0" w:firstLineChars="0"/>
                    <w:rPr>
                      <w:rFonts w:hint="eastAsia"/>
                      <w:color w:val="auto"/>
                      <w:lang w:val="en-US" w:eastAsia="zh-CN"/>
                    </w:rPr>
                  </w:pPr>
                </w:p>
              </w:tc>
              <w:tc>
                <w:tcPr>
                  <w:tcW w:w="443" w:type="pct"/>
                  <w:noWrap w:val="0"/>
                  <w:vAlign w:val="center"/>
                </w:tcPr>
                <w:p w14:paraId="4E8C711B">
                  <w:pPr>
                    <w:jc w:val="center"/>
                    <w:rPr>
                      <w:rFonts w:hint="default"/>
                      <w:color w:val="auto"/>
                      <w:szCs w:val="21"/>
                      <w:lang w:val="en-US" w:eastAsia="zh-CN"/>
                    </w:rPr>
                  </w:pPr>
                  <w:r>
                    <w:rPr>
                      <w:rFonts w:hint="eastAsia"/>
                      <w:color w:val="auto"/>
                      <w:szCs w:val="21"/>
                      <w:lang w:val="en-US" w:eastAsia="zh-CN"/>
                    </w:rPr>
                    <w:t>内含</w:t>
                  </w:r>
                </w:p>
              </w:tc>
              <w:tc>
                <w:tcPr>
                  <w:tcW w:w="892" w:type="pct"/>
                  <w:noWrap w:val="0"/>
                  <w:vAlign w:val="center"/>
                </w:tcPr>
                <w:p w14:paraId="5292E666">
                  <w:pPr>
                    <w:jc w:val="center"/>
                    <w:rPr>
                      <w:rFonts w:hint="default"/>
                      <w:color w:val="auto"/>
                      <w:szCs w:val="21"/>
                      <w:lang w:val="en-US" w:eastAsia="zh-CN"/>
                    </w:rPr>
                  </w:pPr>
                  <w:r>
                    <w:rPr>
                      <w:rFonts w:hint="eastAsia"/>
                      <w:color w:val="auto"/>
                      <w:szCs w:val="21"/>
                      <w:lang w:val="en-US" w:eastAsia="zh-CN"/>
                    </w:rPr>
                    <w:t>风机</w:t>
                  </w:r>
                </w:p>
              </w:tc>
              <w:tc>
                <w:tcPr>
                  <w:tcW w:w="1258" w:type="pct"/>
                  <w:noWrap w:val="0"/>
                  <w:vAlign w:val="center"/>
                </w:tcPr>
                <w:p w14:paraId="63FA0DA2">
                  <w:pPr>
                    <w:jc w:val="center"/>
                    <w:rPr>
                      <w:rFonts w:hint="default"/>
                      <w:color w:val="auto"/>
                      <w:lang w:val="en-US" w:eastAsia="zh-CN"/>
                    </w:rPr>
                  </w:pPr>
                  <w:r>
                    <w:rPr>
                      <w:rFonts w:hint="eastAsia"/>
                      <w:color w:val="auto"/>
                      <w:lang w:val="en-US" w:eastAsia="zh-CN"/>
                    </w:rPr>
                    <w:t>GY4-73</w:t>
                  </w:r>
                  <w:r>
                    <w:rPr>
                      <w:rFonts w:hint="eastAsia" w:ascii="Arial" w:hAnsi="Arial" w:eastAsia="等线" w:cs="Arial"/>
                      <w:color w:val="auto"/>
                      <w:szCs w:val="21"/>
                      <w:lang w:val="en-US" w:eastAsia="zh-CN"/>
                    </w:rPr>
                    <w:t>/35kw</w:t>
                  </w:r>
                </w:p>
              </w:tc>
              <w:tc>
                <w:tcPr>
                  <w:tcW w:w="1003" w:type="pct"/>
                  <w:noWrap w:val="0"/>
                  <w:vAlign w:val="center"/>
                </w:tcPr>
                <w:p w14:paraId="1028E48E">
                  <w:pPr>
                    <w:jc w:val="center"/>
                    <w:rPr>
                      <w:rFonts w:hint="default"/>
                      <w:color w:val="auto"/>
                      <w:lang w:val="en-US" w:eastAsia="zh-CN"/>
                    </w:rPr>
                  </w:pPr>
                  <w:r>
                    <w:rPr>
                      <w:rFonts w:hint="eastAsia"/>
                      <w:color w:val="auto"/>
                      <w:lang w:val="en-US" w:eastAsia="zh-CN"/>
                    </w:rPr>
                    <w:t>1</w:t>
                  </w:r>
                </w:p>
              </w:tc>
              <w:tc>
                <w:tcPr>
                  <w:tcW w:w="1003" w:type="pct"/>
                  <w:noWrap w:val="0"/>
                  <w:vAlign w:val="center"/>
                </w:tcPr>
                <w:p w14:paraId="70710768">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w:t>
                  </w:r>
                </w:p>
              </w:tc>
            </w:tr>
            <w:tr w14:paraId="4724CB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vMerge w:val="restart"/>
                  <w:noWrap w:val="0"/>
                  <w:vAlign w:val="center"/>
                </w:tcPr>
                <w:p w14:paraId="6151B11A">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17</w:t>
                  </w:r>
                </w:p>
              </w:tc>
              <w:tc>
                <w:tcPr>
                  <w:tcW w:w="1335" w:type="pct"/>
                  <w:gridSpan w:val="2"/>
                  <w:noWrap w:val="0"/>
                  <w:vAlign w:val="center"/>
                </w:tcPr>
                <w:p w14:paraId="0D177BE8">
                  <w:pPr>
                    <w:jc w:val="center"/>
                    <w:rPr>
                      <w:rFonts w:hint="eastAsia" w:eastAsia="宋体"/>
                      <w:color w:val="auto"/>
                      <w:szCs w:val="21"/>
                      <w:lang w:val="en-US" w:eastAsia="zh-CN"/>
                    </w:rPr>
                  </w:pPr>
                  <w:r>
                    <w:rPr>
                      <w:rFonts w:hint="eastAsia"/>
                      <w:color w:val="auto"/>
                      <w:szCs w:val="21"/>
                    </w:rPr>
                    <w:t>布袋除尘</w:t>
                  </w:r>
                  <w:r>
                    <w:rPr>
                      <w:rFonts w:hint="eastAsia"/>
                      <w:color w:val="auto"/>
                      <w:szCs w:val="21"/>
                      <w:lang w:val="en-US" w:eastAsia="zh-CN"/>
                    </w:rPr>
                    <w:t>装置</w:t>
                  </w:r>
                </w:p>
              </w:tc>
              <w:tc>
                <w:tcPr>
                  <w:tcW w:w="1258" w:type="pct"/>
                  <w:noWrap w:val="0"/>
                  <w:vAlign w:val="center"/>
                </w:tcPr>
                <w:p w14:paraId="4BFB469D">
                  <w:pPr>
                    <w:jc w:val="center"/>
                    <w:rPr>
                      <w:rFonts w:hint="default" w:ascii="Times New Roman" w:hAnsi="Times New Roman" w:eastAsia="宋体"/>
                      <w:color w:val="auto"/>
                      <w:sz w:val="24"/>
                      <w:vertAlign w:val="baseline"/>
                      <w:lang w:val="en-US" w:eastAsia="zh-CN"/>
                    </w:rPr>
                  </w:pPr>
                  <w:r>
                    <w:rPr>
                      <w:rFonts w:hint="eastAsia"/>
                      <w:color w:val="auto"/>
                      <w:sz w:val="24"/>
                      <w:vertAlign w:val="baseline"/>
                      <w:lang w:val="en-US" w:eastAsia="zh-CN"/>
                    </w:rPr>
                    <w:t>/</w:t>
                  </w:r>
                </w:p>
              </w:tc>
              <w:tc>
                <w:tcPr>
                  <w:tcW w:w="1003" w:type="pct"/>
                  <w:noWrap w:val="0"/>
                  <w:vAlign w:val="center"/>
                </w:tcPr>
                <w:p w14:paraId="062BD598">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252C98AE">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w:t>
                  </w:r>
                </w:p>
              </w:tc>
            </w:tr>
            <w:tr w14:paraId="0628A3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vMerge w:val="continue"/>
                  <w:noWrap w:val="0"/>
                  <w:vAlign w:val="center"/>
                </w:tcPr>
                <w:p w14:paraId="03DA6445">
                  <w:pPr>
                    <w:pStyle w:val="43"/>
                    <w:keepNext w:val="0"/>
                    <w:keepLines w:val="0"/>
                    <w:pageBreakBefore w:val="0"/>
                    <w:widowControl w:val="0"/>
                    <w:kinsoku/>
                    <w:wordWrap/>
                    <w:overflowPunct/>
                    <w:topLinePunct w:val="0"/>
                    <w:autoSpaceDE/>
                    <w:autoSpaceDN/>
                    <w:bidi w:val="0"/>
                    <w:spacing w:line="240" w:lineRule="auto"/>
                    <w:ind w:firstLine="0" w:firstLineChars="0"/>
                    <w:rPr>
                      <w:rFonts w:hint="eastAsia"/>
                      <w:color w:val="auto"/>
                      <w:lang w:val="en-US" w:eastAsia="zh-CN"/>
                    </w:rPr>
                  </w:pPr>
                </w:p>
              </w:tc>
              <w:tc>
                <w:tcPr>
                  <w:tcW w:w="443" w:type="pct"/>
                  <w:noWrap w:val="0"/>
                  <w:vAlign w:val="center"/>
                </w:tcPr>
                <w:p w14:paraId="3850D1E8">
                  <w:pPr>
                    <w:jc w:val="center"/>
                    <w:rPr>
                      <w:rFonts w:hint="default"/>
                      <w:color w:val="auto"/>
                      <w:szCs w:val="21"/>
                      <w:lang w:val="en-US" w:eastAsia="zh-CN"/>
                    </w:rPr>
                  </w:pPr>
                  <w:r>
                    <w:rPr>
                      <w:rFonts w:hint="eastAsia"/>
                      <w:color w:val="auto"/>
                      <w:szCs w:val="21"/>
                      <w:lang w:val="en-US" w:eastAsia="zh-CN"/>
                    </w:rPr>
                    <w:t>内含</w:t>
                  </w:r>
                </w:p>
              </w:tc>
              <w:tc>
                <w:tcPr>
                  <w:tcW w:w="892" w:type="pct"/>
                  <w:noWrap w:val="0"/>
                  <w:vAlign w:val="center"/>
                </w:tcPr>
                <w:p w14:paraId="6537DC68">
                  <w:pPr>
                    <w:jc w:val="center"/>
                    <w:rPr>
                      <w:rFonts w:hint="default"/>
                      <w:color w:val="auto"/>
                      <w:szCs w:val="21"/>
                      <w:lang w:val="en-US" w:eastAsia="zh-CN"/>
                    </w:rPr>
                  </w:pPr>
                  <w:r>
                    <w:rPr>
                      <w:rFonts w:hint="eastAsia"/>
                      <w:color w:val="auto"/>
                      <w:szCs w:val="21"/>
                      <w:lang w:val="en-US" w:eastAsia="zh-CN"/>
                    </w:rPr>
                    <w:t>风机</w:t>
                  </w:r>
                </w:p>
              </w:tc>
              <w:tc>
                <w:tcPr>
                  <w:tcW w:w="2104" w:type="dxa"/>
                  <w:noWrap w:val="0"/>
                  <w:vAlign w:val="center"/>
                </w:tcPr>
                <w:p w14:paraId="24ADAADD">
                  <w:pPr>
                    <w:jc w:val="center"/>
                    <w:rPr>
                      <w:rFonts w:hint="default" w:ascii="Times New Roman" w:hAnsi="Times New Roman" w:eastAsia="宋体"/>
                      <w:color w:val="auto"/>
                      <w:sz w:val="24"/>
                      <w:vertAlign w:val="baseline"/>
                      <w:lang w:val="en-US" w:eastAsia="zh-CN"/>
                    </w:rPr>
                  </w:pPr>
                  <w:r>
                    <w:rPr>
                      <w:rFonts w:hint="eastAsia"/>
                      <w:color w:val="auto"/>
                      <w:lang w:val="en-US" w:eastAsia="zh-CN"/>
                    </w:rPr>
                    <w:t>GY4-73</w:t>
                  </w:r>
                  <w:r>
                    <w:rPr>
                      <w:rFonts w:hint="eastAsia" w:ascii="Arial" w:hAnsi="Arial" w:eastAsia="等线" w:cs="Arial"/>
                      <w:color w:val="auto"/>
                      <w:szCs w:val="21"/>
                      <w:lang w:val="en-US" w:eastAsia="zh-CN"/>
                    </w:rPr>
                    <w:t>/35kw</w:t>
                  </w:r>
                </w:p>
              </w:tc>
              <w:tc>
                <w:tcPr>
                  <w:tcW w:w="1678" w:type="dxa"/>
                  <w:noWrap w:val="0"/>
                  <w:vAlign w:val="center"/>
                </w:tcPr>
                <w:p w14:paraId="48BB8603">
                  <w:pPr>
                    <w:jc w:val="center"/>
                    <w:rPr>
                      <w:rFonts w:hint="default" w:cs="Times New Roman"/>
                      <w:color w:val="auto"/>
                      <w:szCs w:val="21"/>
                      <w:lang w:val="en-US" w:eastAsia="zh-CN"/>
                    </w:rPr>
                  </w:pPr>
                  <w:r>
                    <w:rPr>
                      <w:rFonts w:hint="eastAsia"/>
                      <w:color w:val="auto"/>
                      <w:lang w:val="en-US" w:eastAsia="zh-CN"/>
                    </w:rPr>
                    <w:t>1</w:t>
                  </w:r>
                </w:p>
              </w:tc>
              <w:tc>
                <w:tcPr>
                  <w:tcW w:w="1003" w:type="pct"/>
                  <w:noWrap w:val="0"/>
                  <w:vAlign w:val="center"/>
                </w:tcPr>
                <w:p w14:paraId="77209A42">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w:t>
                  </w:r>
                </w:p>
              </w:tc>
            </w:tr>
            <w:tr w14:paraId="6C708A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vMerge w:val="restart"/>
                  <w:noWrap w:val="0"/>
                  <w:vAlign w:val="center"/>
                </w:tcPr>
                <w:p w14:paraId="6083DD37">
                  <w:pPr>
                    <w:pStyle w:val="43"/>
                    <w:keepNext w:val="0"/>
                    <w:keepLines w:val="0"/>
                    <w:pageBreakBefore w:val="0"/>
                    <w:widowControl w:val="0"/>
                    <w:kinsoku/>
                    <w:wordWrap/>
                    <w:overflowPunct/>
                    <w:topLinePunct w:val="0"/>
                    <w:autoSpaceDE/>
                    <w:autoSpaceDN/>
                    <w:bidi w:val="0"/>
                    <w:spacing w:line="240" w:lineRule="auto"/>
                    <w:ind w:firstLine="0" w:firstLineChars="0"/>
                    <w:rPr>
                      <w:rFonts w:hint="default"/>
                      <w:color w:val="auto"/>
                      <w:lang w:val="en-US" w:eastAsia="zh-CN"/>
                    </w:rPr>
                  </w:pPr>
                  <w:r>
                    <w:rPr>
                      <w:rFonts w:hint="eastAsia"/>
                      <w:color w:val="auto"/>
                      <w:lang w:val="en-US" w:eastAsia="zh-CN"/>
                    </w:rPr>
                    <w:t>18</w:t>
                  </w:r>
                </w:p>
              </w:tc>
              <w:tc>
                <w:tcPr>
                  <w:tcW w:w="1335" w:type="pct"/>
                  <w:gridSpan w:val="2"/>
                  <w:noWrap w:val="0"/>
                  <w:vAlign w:val="center"/>
                </w:tcPr>
                <w:p w14:paraId="60EB9A93">
                  <w:pPr>
                    <w:jc w:val="center"/>
                    <w:rPr>
                      <w:rFonts w:hint="default"/>
                      <w:color w:val="auto"/>
                      <w:szCs w:val="21"/>
                      <w:lang w:val="en-US" w:eastAsia="zh-CN"/>
                    </w:rPr>
                  </w:pPr>
                  <w:r>
                    <w:rPr>
                      <w:rFonts w:hint="eastAsia"/>
                      <w:color w:val="auto"/>
                      <w:szCs w:val="21"/>
                      <w:lang w:val="en-US" w:eastAsia="zh-CN"/>
                    </w:rPr>
                    <w:t>布袋除尘装置</w:t>
                  </w:r>
                </w:p>
              </w:tc>
              <w:tc>
                <w:tcPr>
                  <w:tcW w:w="1258" w:type="pct"/>
                  <w:noWrap w:val="0"/>
                  <w:vAlign w:val="center"/>
                </w:tcPr>
                <w:p w14:paraId="747AD54E">
                  <w:pPr>
                    <w:jc w:val="center"/>
                    <w:rPr>
                      <w:rFonts w:hint="default" w:ascii="Times New Roman" w:hAnsi="Times New Roman" w:eastAsia="宋体"/>
                      <w:color w:val="auto"/>
                      <w:sz w:val="24"/>
                      <w:vertAlign w:val="baseline"/>
                      <w:lang w:val="en-US" w:eastAsia="zh-CN"/>
                    </w:rPr>
                  </w:pPr>
                  <w:r>
                    <w:rPr>
                      <w:rFonts w:hint="eastAsia"/>
                      <w:color w:val="auto"/>
                      <w:sz w:val="24"/>
                      <w:vertAlign w:val="baseline"/>
                      <w:lang w:val="en-US" w:eastAsia="zh-CN"/>
                    </w:rPr>
                    <w:t>/</w:t>
                  </w:r>
                </w:p>
              </w:tc>
              <w:tc>
                <w:tcPr>
                  <w:tcW w:w="1003" w:type="pct"/>
                  <w:noWrap w:val="0"/>
                  <w:vAlign w:val="center"/>
                </w:tcPr>
                <w:p w14:paraId="6CDEB879">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1</w:t>
                  </w:r>
                </w:p>
              </w:tc>
              <w:tc>
                <w:tcPr>
                  <w:tcW w:w="1003" w:type="pct"/>
                  <w:noWrap w:val="0"/>
                  <w:vAlign w:val="center"/>
                </w:tcPr>
                <w:p w14:paraId="71E9A9D8">
                  <w:pPr>
                    <w:keepNext w:val="0"/>
                    <w:keepLines w:val="0"/>
                    <w:pageBreakBefore w:val="0"/>
                    <w:widowControl w:val="0"/>
                    <w:kinsoku/>
                    <w:wordWrap/>
                    <w:overflowPunct/>
                    <w:topLinePunct w:val="0"/>
                    <w:autoSpaceDE/>
                    <w:autoSpaceDN/>
                    <w:bidi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w:t>
                  </w:r>
                </w:p>
              </w:tc>
            </w:tr>
            <w:tr w14:paraId="2F0D15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33" w:hRule="atLeast"/>
                <w:jc w:val="center"/>
              </w:trPr>
              <w:tc>
                <w:tcPr>
                  <w:tcW w:w="397" w:type="pct"/>
                  <w:vMerge w:val="continue"/>
                  <w:noWrap w:val="0"/>
                  <w:vAlign w:val="center"/>
                </w:tcPr>
                <w:p w14:paraId="6BCA0A8A">
                  <w:pPr>
                    <w:pStyle w:val="43"/>
                    <w:keepNext w:val="0"/>
                    <w:keepLines w:val="0"/>
                    <w:pageBreakBefore w:val="0"/>
                    <w:widowControl w:val="0"/>
                    <w:kinsoku/>
                    <w:wordWrap/>
                    <w:overflowPunct/>
                    <w:topLinePunct w:val="0"/>
                    <w:autoSpaceDE/>
                    <w:autoSpaceDN/>
                    <w:bidi w:val="0"/>
                    <w:spacing w:line="240" w:lineRule="auto"/>
                    <w:ind w:firstLine="0" w:firstLineChars="0"/>
                    <w:rPr>
                      <w:rFonts w:hint="eastAsia"/>
                      <w:color w:val="auto"/>
                      <w:lang w:val="en-US" w:eastAsia="zh-CN"/>
                    </w:rPr>
                  </w:pPr>
                </w:p>
              </w:tc>
              <w:tc>
                <w:tcPr>
                  <w:tcW w:w="443" w:type="pct"/>
                  <w:noWrap w:val="0"/>
                  <w:vAlign w:val="center"/>
                </w:tcPr>
                <w:p w14:paraId="7B47CF28">
                  <w:pPr>
                    <w:jc w:val="center"/>
                    <w:rPr>
                      <w:rFonts w:hint="eastAsia"/>
                      <w:color w:val="auto"/>
                      <w:szCs w:val="21"/>
                      <w:lang w:val="en-US" w:eastAsia="zh-CN"/>
                    </w:rPr>
                  </w:pPr>
                  <w:r>
                    <w:rPr>
                      <w:rFonts w:hint="eastAsia"/>
                      <w:color w:val="auto"/>
                      <w:szCs w:val="21"/>
                      <w:lang w:val="en-US" w:eastAsia="zh-CN"/>
                    </w:rPr>
                    <w:t>内含</w:t>
                  </w:r>
                </w:p>
              </w:tc>
              <w:tc>
                <w:tcPr>
                  <w:tcW w:w="892" w:type="pct"/>
                  <w:noWrap w:val="0"/>
                  <w:vAlign w:val="center"/>
                </w:tcPr>
                <w:p w14:paraId="3575FEE5">
                  <w:pPr>
                    <w:jc w:val="center"/>
                    <w:rPr>
                      <w:rFonts w:hint="eastAsia"/>
                      <w:color w:val="auto"/>
                      <w:szCs w:val="21"/>
                      <w:lang w:val="en-US" w:eastAsia="zh-CN"/>
                    </w:rPr>
                  </w:pPr>
                  <w:r>
                    <w:rPr>
                      <w:rFonts w:hint="eastAsia"/>
                      <w:color w:val="auto"/>
                      <w:szCs w:val="21"/>
                      <w:lang w:val="en-US" w:eastAsia="zh-CN"/>
                    </w:rPr>
                    <w:t>风机</w:t>
                  </w:r>
                </w:p>
              </w:tc>
              <w:tc>
                <w:tcPr>
                  <w:tcW w:w="2104" w:type="dxa"/>
                  <w:noWrap w:val="0"/>
                  <w:vAlign w:val="center"/>
                </w:tcPr>
                <w:p w14:paraId="0D2030CF">
                  <w:pPr>
                    <w:jc w:val="center"/>
                    <w:rPr>
                      <w:rFonts w:hint="eastAsia" w:ascii="Times New Roman" w:hAnsi="Times New Roman" w:eastAsia="宋体"/>
                      <w:color w:val="auto"/>
                      <w:sz w:val="24"/>
                      <w:vertAlign w:val="baseline"/>
                      <w:lang w:val="en-US" w:eastAsia="zh-CN"/>
                    </w:rPr>
                  </w:pPr>
                  <w:r>
                    <w:rPr>
                      <w:rFonts w:hint="eastAsia"/>
                      <w:color w:val="auto"/>
                      <w:lang w:val="en-US" w:eastAsia="zh-CN"/>
                    </w:rPr>
                    <w:t>GY4-73</w:t>
                  </w:r>
                  <w:r>
                    <w:rPr>
                      <w:rFonts w:hint="eastAsia" w:ascii="Arial" w:hAnsi="Arial" w:eastAsia="等线" w:cs="Arial"/>
                      <w:color w:val="auto"/>
                      <w:szCs w:val="21"/>
                      <w:lang w:val="en-US" w:eastAsia="zh-CN"/>
                    </w:rPr>
                    <w:t>/35kw</w:t>
                  </w:r>
                </w:p>
              </w:tc>
              <w:tc>
                <w:tcPr>
                  <w:tcW w:w="1678" w:type="dxa"/>
                  <w:noWrap w:val="0"/>
                  <w:vAlign w:val="center"/>
                </w:tcPr>
                <w:p w14:paraId="4F52C86C">
                  <w:pPr>
                    <w:jc w:val="center"/>
                    <w:rPr>
                      <w:rFonts w:hint="eastAsia" w:cs="Times New Roman"/>
                      <w:color w:val="auto"/>
                      <w:szCs w:val="21"/>
                      <w:lang w:val="en-US" w:eastAsia="zh-CN"/>
                    </w:rPr>
                  </w:pPr>
                  <w:r>
                    <w:rPr>
                      <w:rFonts w:hint="eastAsia"/>
                      <w:color w:val="auto"/>
                      <w:lang w:val="en-US" w:eastAsia="zh-CN"/>
                    </w:rPr>
                    <w:t>1</w:t>
                  </w:r>
                </w:p>
              </w:tc>
              <w:tc>
                <w:tcPr>
                  <w:tcW w:w="1003" w:type="pct"/>
                  <w:noWrap w:val="0"/>
                  <w:vAlign w:val="center"/>
                </w:tcPr>
                <w:p w14:paraId="08804A21">
                  <w:pPr>
                    <w:keepNext w:val="0"/>
                    <w:keepLines w:val="0"/>
                    <w:pageBreakBefore w:val="0"/>
                    <w:widowControl w:val="0"/>
                    <w:kinsoku/>
                    <w:wordWrap/>
                    <w:overflowPunct/>
                    <w:topLinePunct w:val="0"/>
                    <w:autoSpaceDE/>
                    <w:autoSpaceDN/>
                    <w:bidi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w:t>
                  </w:r>
                </w:p>
              </w:tc>
            </w:tr>
          </w:tbl>
          <w:p w14:paraId="4C2CDC25">
            <w:pPr>
              <w:spacing w:line="360" w:lineRule="auto"/>
              <w:ind w:firstLine="422" w:firstLineChars="200"/>
              <w:rPr>
                <w:rFonts w:hint="eastAsia"/>
                <w:b/>
                <w:bCs/>
                <w:color w:val="auto"/>
              </w:rPr>
            </w:pPr>
          </w:p>
          <w:p w14:paraId="3F3B9C8C">
            <w:pPr>
              <w:spacing w:line="360" w:lineRule="auto"/>
              <w:ind w:firstLine="422" w:firstLineChars="200"/>
              <w:rPr>
                <w:rFonts w:hint="eastAsia"/>
                <w:b/>
                <w:bCs/>
                <w:color w:val="auto"/>
              </w:rPr>
            </w:pPr>
          </w:p>
          <w:p w14:paraId="3AE9E89C">
            <w:pPr>
              <w:spacing w:line="360" w:lineRule="auto"/>
              <w:ind w:firstLine="422" w:firstLineChars="200"/>
              <w:rPr>
                <w:rFonts w:hint="eastAsia"/>
                <w:b/>
                <w:bCs/>
                <w:color w:val="auto"/>
              </w:rPr>
            </w:pPr>
          </w:p>
          <w:p w14:paraId="247B787C">
            <w:pPr>
              <w:spacing w:line="360" w:lineRule="auto"/>
              <w:ind w:firstLine="422" w:firstLineChars="200"/>
              <w:rPr>
                <w:b/>
                <w:bCs/>
                <w:color w:val="auto"/>
              </w:rPr>
            </w:pPr>
            <w:r>
              <w:rPr>
                <w:rFonts w:hint="eastAsia"/>
                <w:b/>
                <w:bCs/>
                <w:color w:val="auto"/>
              </w:rPr>
              <w:t>主要设备与产能匹配性分析：</w:t>
            </w:r>
          </w:p>
          <w:p w14:paraId="3396372D">
            <w:pPr>
              <w:spacing w:line="360" w:lineRule="auto"/>
              <w:ind w:firstLine="420" w:firstLineChars="200"/>
              <w:rPr>
                <w:b/>
                <w:bCs/>
                <w:color w:val="auto"/>
                <w:sz w:val="21"/>
                <w:szCs w:val="21"/>
              </w:rPr>
            </w:pPr>
            <w:r>
              <w:rPr>
                <w:rFonts w:hint="eastAsia"/>
                <w:color w:val="auto"/>
                <w:sz w:val="21"/>
                <w:szCs w:val="21"/>
              </w:rPr>
              <w:t>本项目</w:t>
            </w:r>
            <w:r>
              <w:rPr>
                <w:rFonts w:hint="eastAsia"/>
                <w:color w:val="auto"/>
                <w:sz w:val="21"/>
                <w:szCs w:val="21"/>
                <w:lang w:val="en-US" w:eastAsia="zh-CN"/>
              </w:rPr>
              <w:t>涉及铸铝工艺</w:t>
            </w:r>
            <w:r>
              <w:rPr>
                <w:rFonts w:hint="eastAsia"/>
                <w:color w:val="auto"/>
                <w:sz w:val="21"/>
                <w:szCs w:val="21"/>
              </w:rPr>
              <w:t>，</w:t>
            </w:r>
            <w:r>
              <w:rPr>
                <w:rFonts w:hint="eastAsia"/>
                <w:color w:val="auto"/>
                <w:sz w:val="21"/>
                <w:szCs w:val="21"/>
                <w:lang w:val="en-US" w:eastAsia="zh-CN"/>
              </w:rPr>
              <w:t>采用金属型覆膜砂铸造工艺，</w:t>
            </w:r>
            <w:r>
              <w:rPr>
                <w:rFonts w:hint="eastAsia"/>
                <w:color w:val="auto"/>
                <w:sz w:val="21"/>
                <w:szCs w:val="21"/>
              </w:rPr>
              <w:t>根据《</w:t>
            </w:r>
            <w:r>
              <w:rPr>
                <w:color w:val="auto"/>
                <w:sz w:val="21"/>
                <w:szCs w:val="21"/>
              </w:rPr>
              <w:t>铸造企业生产能力核算方法</w:t>
            </w:r>
            <w:r>
              <w:rPr>
                <w:rFonts w:hint="eastAsia"/>
                <w:color w:val="auto"/>
                <w:sz w:val="21"/>
                <w:szCs w:val="21"/>
              </w:rPr>
              <w:t>》（T/CFA030501-2020）表1，</w:t>
            </w:r>
            <w:r>
              <w:rPr>
                <w:rFonts w:hint="eastAsia"/>
                <w:color w:val="auto"/>
                <w:sz w:val="21"/>
                <w:szCs w:val="21"/>
                <w:lang w:val="en-US" w:eastAsia="zh-CN"/>
              </w:rPr>
              <w:t>主要</w:t>
            </w:r>
            <w:r>
              <w:rPr>
                <w:rFonts w:hint="eastAsia"/>
                <w:color w:val="auto"/>
                <w:sz w:val="21"/>
                <w:szCs w:val="21"/>
              </w:rPr>
              <w:t>核算熔炼工序、造型工序</w:t>
            </w:r>
            <w:r>
              <w:rPr>
                <w:rFonts w:hint="eastAsia"/>
                <w:color w:val="auto"/>
                <w:sz w:val="21"/>
                <w:szCs w:val="21"/>
                <w:lang w:val="en-US" w:eastAsia="zh-CN"/>
              </w:rPr>
              <w:t>。计算具体如下</w:t>
            </w:r>
            <w:r>
              <w:rPr>
                <w:rFonts w:hint="eastAsia"/>
                <w:color w:val="auto"/>
                <w:sz w:val="21"/>
                <w:szCs w:val="21"/>
              </w:rPr>
              <w:t>。</w:t>
            </w:r>
          </w:p>
          <w:p w14:paraId="671A41EB">
            <w:pPr>
              <w:spacing w:line="360" w:lineRule="auto"/>
              <w:ind w:firstLine="480"/>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熔融工序生产能力核算</w:t>
            </w:r>
          </w:p>
          <w:p w14:paraId="60F5BCBA">
            <w:pPr>
              <w:spacing w:line="360" w:lineRule="auto"/>
              <w:ind w:firstLine="480"/>
              <w:rPr>
                <w:rFonts w:hint="eastAsia"/>
                <w:color w:val="auto"/>
                <w:lang w:val="en-US" w:eastAsia="zh-CN"/>
              </w:rPr>
            </w:pPr>
            <w:r>
              <w:rPr>
                <w:rFonts w:hint="eastAsia"/>
                <w:color w:val="auto"/>
                <w:lang w:val="en-US" w:eastAsia="zh-CN"/>
              </w:rPr>
              <w:t>①金属液熔化能力</w:t>
            </w:r>
          </w:p>
          <w:p w14:paraId="0CA1C9D3">
            <w:pPr>
              <w:spacing w:line="360" w:lineRule="auto"/>
              <w:ind w:firstLine="480"/>
              <w:rPr>
                <w:rFonts w:hint="eastAsia"/>
                <w:color w:val="auto"/>
                <w:lang w:val="en-US" w:eastAsia="zh-CN"/>
              </w:rPr>
            </w:pPr>
            <w:r>
              <w:rPr>
                <w:rFonts w:hint="eastAsia"/>
                <w:color w:val="auto"/>
                <w:lang w:val="en-US" w:eastAsia="zh-CN"/>
              </w:rPr>
              <w:t>按公式计算：Rj=L</w:t>
            </w:r>
            <w:r>
              <w:rPr>
                <w:rFonts w:hint="default" w:ascii="Arial" w:hAnsi="Arial" w:cs="Arial"/>
                <w:color w:val="auto"/>
                <w:lang w:val="en-US" w:eastAsia="zh-CN"/>
              </w:rPr>
              <w:t>×</w:t>
            </w:r>
            <w:r>
              <w:rPr>
                <w:rFonts w:hint="eastAsia"/>
                <w:color w:val="auto"/>
                <w:lang w:val="en-US" w:eastAsia="zh-CN"/>
              </w:rPr>
              <w:t>G</w:t>
            </w:r>
          </w:p>
          <w:p w14:paraId="5AE698A6">
            <w:pPr>
              <w:spacing w:line="360" w:lineRule="auto"/>
              <w:ind w:firstLine="480"/>
              <w:rPr>
                <w:rFonts w:hint="eastAsia"/>
                <w:color w:val="auto"/>
                <w:lang w:val="en-US" w:eastAsia="zh-CN"/>
              </w:rPr>
            </w:pPr>
            <w:r>
              <w:rPr>
                <w:rFonts w:hint="eastAsia"/>
                <w:color w:val="auto"/>
                <w:lang w:val="en-US" w:eastAsia="zh-CN"/>
              </w:rPr>
              <w:t>式中：Rj—单台设备金属熔化能力（t/a）</w:t>
            </w:r>
          </w:p>
          <w:p w14:paraId="38884311">
            <w:pPr>
              <w:spacing w:line="360" w:lineRule="auto"/>
              <w:ind w:firstLine="1104" w:firstLineChars="526"/>
              <w:rPr>
                <w:rFonts w:hint="default" w:eastAsia="宋体"/>
                <w:color w:val="auto"/>
                <w:lang w:val="en-US" w:eastAsia="zh-CN"/>
              </w:rPr>
            </w:pPr>
            <w:r>
              <w:rPr>
                <w:rFonts w:hint="eastAsia"/>
                <w:color w:val="auto"/>
                <w:lang w:val="en-US" w:eastAsia="zh-CN"/>
              </w:rPr>
              <w:t>L—熔化设备熔化率（t/a），本项目设置1台1吨的倾倒式</w:t>
            </w:r>
            <w:r>
              <w:rPr>
                <w:rFonts w:hint="eastAsia"/>
                <w:color w:val="auto"/>
                <w:szCs w:val="21"/>
              </w:rPr>
              <w:t>电坩埚熔化炉</w:t>
            </w:r>
            <w:r>
              <w:rPr>
                <w:rFonts w:hint="eastAsia"/>
                <w:color w:val="auto"/>
                <w:szCs w:val="21"/>
                <w:lang w:eastAsia="zh-CN"/>
              </w:rPr>
              <w:t>，</w:t>
            </w:r>
            <w:r>
              <w:rPr>
                <w:rFonts w:hint="eastAsia"/>
                <w:color w:val="auto"/>
                <w:szCs w:val="21"/>
                <w:lang w:val="en-US" w:eastAsia="zh-CN"/>
              </w:rPr>
              <w:t>1次熔化需要最多需要1h，折算后为1t/h。G—涉及年时基数（h/a），根据附录A，本项目属于电弧炉、感应电炉等融化设备，三班制，取5010h/a。经计算，每台金属液熔化能力为1t/h</w:t>
            </w:r>
            <w:r>
              <w:rPr>
                <w:rFonts w:hint="default" w:ascii="Arial" w:hAnsi="Arial" w:cs="Arial"/>
                <w:color w:val="auto"/>
                <w:lang w:val="en-US" w:eastAsia="zh-CN"/>
              </w:rPr>
              <w:t>×</w:t>
            </w:r>
            <w:r>
              <w:rPr>
                <w:rFonts w:hint="eastAsia" w:ascii="Arial" w:hAnsi="Arial" w:cs="Arial"/>
                <w:color w:val="auto"/>
                <w:lang w:val="en-US" w:eastAsia="zh-CN"/>
              </w:rPr>
              <w:t>5010h/a=5010t/a。</w:t>
            </w:r>
          </w:p>
          <w:p w14:paraId="71A139C8">
            <w:pPr>
              <w:spacing w:line="360" w:lineRule="auto"/>
              <w:ind w:firstLine="480"/>
              <w:rPr>
                <w:rFonts w:hint="eastAsia"/>
                <w:color w:val="auto"/>
                <w:lang w:val="en-US" w:eastAsia="zh-CN"/>
              </w:rPr>
            </w:pPr>
            <w:r>
              <w:rPr>
                <w:rFonts w:hint="eastAsia"/>
                <w:color w:val="auto"/>
                <w:lang w:val="en-US" w:eastAsia="zh-CN"/>
              </w:rPr>
              <w:t>②熔化设备铸件生产能力</w:t>
            </w:r>
          </w:p>
          <w:p w14:paraId="74419E06">
            <w:pPr>
              <w:spacing w:line="360" w:lineRule="auto"/>
              <w:ind w:firstLine="480"/>
              <w:rPr>
                <w:rFonts w:hint="default"/>
                <w:b w:val="0"/>
                <w:i w:val="0"/>
                <w:color w:val="auto"/>
              </w:rPr>
            </w:pPr>
            <w:r>
              <w:rPr>
                <w:rFonts w:hint="eastAsia"/>
                <w:color w:val="auto"/>
                <w:lang w:val="en-US" w:eastAsia="zh-CN"/>
              </w:rPr>
              <w:t>按公式计算：</w:t>
            </w:r>
            <m:oMath>
              <m:r>
                <m:rPr>
                  <m:sty m:val="p"/>
                </m:rPr>
                <w:rPr>
                  <w:rFonts w:hint="default" w:ascii="Cambria Math"/>
                  <w:color w:val="auto"/>
                </w:rPr>
                <m:t>R=Rj×K1×</m:t>
              </m:r>
              <m:d>
                <m:dPr>
                  <m:ctrlPr>
                    <w:rPr>
                      <w:rFonts w:hint="default" w:ascii="Cambria Math" w:hAnsi="Cambria Math"/>
                      <w:color w:val="auto"/>
                    </w:rPr>
                  </m:ctrlPr>
                </m:dPr>
                <m:e>
                  <m:r>
                    <m:rPr>
                      <m:sty m:val="p"/>
                    </m:rPr>
                    <w:rPr>
                      <w:rFonts w:hint="default" w:ascii="Cambria Math"/>
                      <w:color w:val="auto"/>
                    </w:rPr>
                    <m:t>1</m:t>
                  </m:r>
                  <m:r>
                    <m:rPr>
                      <m:sty m:val="p"/>
                    </m:rPr>
                    <w:rPr>
                      <w:color w:val="auto"/>
                    </w:rPr>
                    <m:t>−</m:t>
                  </m:r>
                  <m:r>
                    <m:rPr>
                      <m:sty m:val="p"/>
                    </m:rPr>
                    <w:rPr>
                      <w:rFonts w:hint="default" w:ascii="Cambria Math"/>
                      <w:color w:val="auto"/>
                    </w:rPr>
                    <m:t>K2</m:t>
                  </m:r>
                  <m:ctrlPr>
                    <w:rPr>
                      <w:rFonts w:hint="default" w:ascii="Cambria Math" w:hAnsi="Cambria Math"/>
                      <w:color w:val="auto"/>
                    </w:rPr>
                  </m:ctrlPr>
                </m:e>
              </m:d>
              <m:r>
                <m:rPr>
                  <m:sty m:val="p"/>
                </m:rPr>
                <w:rPr>
                  <w:rFonts w:hint="default" w:ascii="Cambria Math"/>
                  <w:color w:val="auto"/>
                </w:rPr>
                <m:t>×K3</m:t>
              </m:r>
            </m:oMath>
          </w:p>
          <w:p w14:paraId="4A5D7A9B">
            <w:pPr>
              <w:spacing w:line="360" w:lineRule="auto"/>
              <w:ind w:firstLine="480"/>
              <w:rPr>
                <w:rFonts w:hint="eastAsia"/>
                <w:b w:val="0"/>
                <w:i w:val="0"/>
                <w:color w:val="auto"/>
                <w:lang w:val="en-US" w:eastAsia="zh-CN"/>
              </w:rPr>
            </w:pPr>
            <w:r>
              <w:rPr>
                <w:rFonts w:hint="eastAsia"/>
                <w:b w:val="0"/>
                <w:i w:val="0"/>
                <w:color w:val="auto"/>
                <w:lang w:val="en-US" w:eastAsia="zh-CN"/>
              </w:rPr>
              <w:t>式中：Ri—单台融化设备铸件生产能力（t/a）</w:t>
            </w:r>
          </w:p>
          <w:p w14:paraId="460DC7DA">
            <w:pPr>
              <w:spacing w:line="360" w:lineRule="auto"/>
              <w:ind w:firstLine="1104" w:firstLineChars="526"/>
              <w:rPr>
                <w:rFonts w:hint="eastAsia"/>
                <w:b w:val="0"/>
                <w:i w:val="0"/>
                <w:color w:val="auto"/>
                <w:lang w:val="en-US" w:eastAsia="zh-CN"/>
              </w:rPr>
            </w:pPr>
            <w:r>
              <w:rPr>
                <w:rFonts w:hint="eastAsia"/>
                <w:b w:val="0"/>
                <w:i w:val="0"/>
                <w:color w:val="auto"/>
                <w:lang w:val="en-US" w:eastAsia="zh-CN"/>
              </w:rPr>
              <w:t>Rj—单台设备金属液熔化能力（t/a）</w:t>
            </w:r>
          </w:p>
          <w:p w14:paraId="64ACE348">
            <w:pPr>
              <w:spacing w:line="360" w:lineRule="auto"/>
              <w:ind w:firstLine="1104" w:firstLineChars="526"/>
              <w:rPr>
                <w:rFonts w:hint="eastAsia"/>
                <w:b w:val="0"/>
                <w:i w:val="0"/>
                <w:color w:val="auto"/>
                <w:lang w:val="en-US" w:eastAsia="zh-CN"/>
              </w:rPr>
            </w:pPr>
            <w:r>
              <w:rPr>
                <w:rFonts w:hint="eastAsia"/>
                <w:b w:val="0"/>
                <w:i w:val="0"/>
                <w:color w:val="auto"/>
                <w:lang w:val="en-US" w:eastAsia="zh-CN"/>
              </w:rPr>
              <w:t>K1—工艺出品率（%），根据附录B，取65%</w:t>
            </w:r>
          </w:p>
          <w:p w14:paraId="3607FF26">
            <w:pPr>
              <w:spacing w:line="360" w:lineRule="auto"/>
              <w:ind w:firstLine="1104" w:firstLineChars="526"/>
              <w:rPr>
                <w:rFonts w:hint="eastAsia"/>
                <w:b w:val="0"/>
                <w:i w:val="0"/>
                <w:color w:val="auto"/>
                <w:lang w:val="en-US" w:eastAsia="zh-CN"/>
              </w:rPr>
            </w:pPr>
            <w:r>
              <w:rPr>
                <w:rFonts w:hint="eastAsia"/>
                <w:b w:val="0"/>
                <w:i w:val="0"/>
                <w:color w:val="auto"/>
                <w:lang w:val="en-US" w:eastAsia="zh-CN"/>
              </w:rPr>
              <w:t>K2—铸件废品率（%），根据附录B，取4%</w:t>
            </w:r>
          </w:p>
          <w:p w14:paraId="31C6CA6D">
            <w:pPr>
              <w:spacing w:line="360" w:lineRule="auto"/>
              <w:ind w:firstLine="1104" w:firstLineChars="526"/>
              <w:rPr>
                <w:color w:val="auto"/>
              </w:rPr>
            </w:pPr>
            <w:r>
              <w:rPr>
                <w:rFonts w:hint="eastAsia"/>
                <w:b w:val="0"/>
                <w:i w:val="0"/>
                <w:color w:val="auto"/>
                <w:lang w:val="en-US" w:eastAsia="zh-CN"/>
              </w:rPr>
              <w:t>K3—金属液利用率（%），根据附录B，取97%</w:t>
            </w:r>
          </w:p>
          <w:p w14:paraId="1276073C">
            <w:pPr>
              <w:spacing w:line="360" w:lineRule="auto"/>
              <w:ind w:firstLine="480"/>
              <w:rPr>
                <w:rFonts w:hint="default" w:eastAsia="宋体"/>
                <w:color w:val="auto"/>
                <w:lang w:val="en-US" w:eastAsia="zh-CN"/>
              </w:rPr>
            </w:pPr>
            <w:r>
              <w:rPr>
                <w:rFonts w:hint="eastAsia"/>
                <w:color w:val="auto"/>
                <w:lang w:val="en-US" w:eastAsia="zh-CN"/>
              </w:rPr>
              <w:t>经计算，单台倾倒式</w:t>
            </w:r>
            <w:r>
              <w:rPr>
                <w:rFonts w:hint="eastAsia"/>
                <w:color w:val="auto"/>
                <w:szCs w:val="21"/>
              </w:rPr>
              <w:t>电坩埚熔化炉</w:t>
            </w:r>
            <w:r>
              <w:rPr>
                <w:rFonts w:hint="eastAsia"/>
                <w:color w:val="auto"/>
                <w:szCs w:val="21"/>
                <w:lang w:val="en-US" w:eastAsia="zh-CN"/>
              </w:rPr>
              <w:t>铸件生产能力=5010</w:t>
            </w:r>
            <w:r>
              <w:rPr>
                <w:rFonts w:hint="default" w:ascii="Arial" w:hAnsi="Arial" w:cs="Arial"/>
                <w:color w:val="auto"/>
                <w:lang w:val="en-US" w:eastAsia="zh-CN"/>
              </w:rPr>
              <w:t>×</w:t>
            </w:r>
            <w:r>
              <w:rPr>
                <w:rFonts w:hint="eastAsia" w:ascii="Arial" w:hAnsi="Arial" w:cs="Arial"/>
                <w:color w:val="auto"/>
                <w:lang w:val="en-US" w:eastAsia="zh-CN"/>
              </w:rPr>
              <w:t>65%</w:t>
            </w:r>
            <w:r>
              <w:rPr>
                <w:rFonts w:hint="default" w:ascii="Arial" w:hAnsi="Arial" w:cs="Arial"/>
                <w:color w:val="auto"/>
                <w:lang w:val="en-US" w:eastAsia="zh-CN"/>
              </w:rPr>
              <w:t>×</w:t>
            </w:r>
            <w:r>
              <w:rPr>
                <w:rFonts w:hint="eastAsia" w:ascii="Arial" w:hAnsi="Arial" w:cs="Arial"/>
                <w:color w:val="auto"/>
                <w:lang w:val="en-US" w:eastAsia="zh-CN"/>
              </w:rPr>
              <w:t>（1-4%）</w:t>
            </w:r>
            <w:r>
              <w:rPr>
                <w:rFonts w:hint="default" w:ascii="Arial" w:hAnsi="Arial" w:cs="Arial"/>
                <w:color w:val="auto"/>
                <w:lang w:val="en-US" w:eastAsia="zh-CN"/>
              </w:rPr>
              <w:t>×</w:t>
            </w:r>
            <w:r>
              <w:rPr>
                <w:rFonts w:hint="eastAsia" w:ascii="Arial" w:hAnsi="Arial" w:cs="Arial"/>
                <w:color w:val="auto"/>
                <w:lang w:val="en-US" w:eastAsia="zh-CN"/>
              </w:rPr>
              <w:t>97%=3032t/a</w:t>
            </w:r>
          </w:p>
          <w:p w14:paraId="6AE954B2">
            <w:pPr>
              <w:spacing w:line="360" w:lineRule="auto"/>
              <w:ind w:firstLine="480"/>
              <w:rPr>
                <w:rFonts w:hint="eastAsia"/>
                <w:color w:val="auto"/>
                <w:lang w:val="en-US" w:eastAsia="zh-CN"/>
              </w:rPr>
            </w:pPr>
            <w:r>
              <w:rPr>
                <w:rFonts w:hint="eastAsia"/>
                <w:color w:val="auto"/>
                <w:lang w:val="en-US" w:eastAsia="zh-CN"/>
              </w:rPr>
              <w:t>③熔化工序生产能力</w:t>
            </w:r>
          </w:p>
          <w:p w14:paraId="4D30F00F">
            <w:pPr>
              <w:spacing w:line="360" w:lineRule="auto"/>
              <w:ind w:firstLine="480"/>
              <w:rPr>
                <w:rFonts w:hint="eastAsia"/>
                <w:b w:val="0"/>
                <w:i w:val="0"/>
                <w:color w:val="auto"/>
                <w:lang w:val="en-US" w:eastAsia="zh-CN"/>
              </w:rPr>
            </w:pPr>
            <w:r>
              <w:rPr>
                <w:rFonts w:hint="eastAsia"/>
                <w:color w:val="auto"/>
                <w:lang w:val="en-US" w:eastAsia="zh-CN"/>
              </w:rPr>
              <w:t>按公式计</w:t>
            </w:r>
            <w:r>
              <w:rPr>
                <w:rFonts w:hint="eastAsia"/>
                <w:b w:val="0"/>
                <w:i w:val="0"/>
                <w:color w:val="auto"/>
                <w:lang w:val="en-US" w:eastAsia="zh-CN"/>
              </w:rPr>
              <w:t>算：∑R=R1+R2+…Ri+Rn</w:t>
            </w:r>
          </w:p>
          <w:p w14:paraId="765C8F45">
            <w:pPr>
              <w:spacing w:line="360" w:lineRule="auto"/>
              <w:ind w:firstLine="630" w:firstLineChars="300"/>
              <w:rPr>
                <w:rFonts w:hint="eastAsia"/>
                <w:b w:val="0"/>
                <w:i w:val="0"/>
                <w:color w:val="auto"/>
                <w:lang w:val="en-US" w:eastAsia="zh-CN"/>
              </w:rPr>
            </w:pPr>
            <w:r>
              <w:rPr>
                <w:rFonts w:hint="eastAsia"/>
                <w:b w:val="0"/>
                <w:i w:val="0"/>
                <w:color w:val="auto"/>
                <w:lang w:val="en-US" w:eastAsia="zh-CN"/>
              </w:rPr>
              <w:t>式中：i—熔化设备数量</w:t>
            </w:r>
          </w:p>
          <w:p w14:paraId="59C0FA83">
            <w:pPr>
              <w:spacing w:line="360" w:lineRule="auto"/>
              <w:ind w:firstLine="1104" w:firstLineChars="526"/>
              <w:rPr>
                <w:rFonts w:hint="default"/>
                <w:color w:val="auto"/>
                <w:lang w:val="en-US" w:eastAsia="zh-CN"/>
              </w:rPr>
            </w:pPr>
            <w:r>
              <w:rPr>
                <w:rFonts w:hint="eastAsia"/>
                <w:color w:val="auto"/>
                <w:lang w:val="en-US" w:eastAsia="zh-CN"/>
              </w:rPr>
              <w:t>R—熔化工序生产能力（t/a）</w:t>
            </w:r>
          </w:p>
          <w:p w14:paraId="4E73F2BF">
            <w:pPr>
              <w:spacing w:line="360" w:lineRule="auto"/>
              <w:ind w:firstLine="1104" w:firstLineChars="526"/>
              <w:rPr>
                <w:rFonts w:hint="default" w:eastAsia="宋体"/>
                <w:color w:val="auto"/>
                <w:lang w:val="en-US" w:eastAsia="zh-CN"/>
              </w:rPr>
            </w:pPr>
            <w:r>
              <w:rPr>
                <w:color w:val="auto"/>
              </w:rPr>
              <w:t>当 n=1 时，取单台熔化设备的铸件</w:t>
            </w:r>
            <w:r>
              <w:rPr>
                <w:rFonts w:hint="eastAsia"/>
                <w:color w:val="auto"/>
                <w:lang w:val="en-US" w:eastAsia="zh-CN"/>
              </w:rPr>
              <w:t>生产能力；</w:t>
            </w:r>
          </w:p>
          <w:p w14:paraId="3C7D2AFF">
            <w:pPr>
              <w:spacing w:line="360" w:lineRule="auto"/>
              <w:ind w:firstLine="1104" w:firstLineChars="526"/>
              <w:rPr>
                <w:color w:val="auto"/>
              </w:rPr>
            </w:pPr>
            <w:r>
              <w:rPr>
                <w:color w:val="auto"/>
              </w:rPr>
              <w:t>当 n&gt;1 时，每台熔化设备可满足同时按照设计熔化率生产时，取所有设备铸件 生产能力之和；</w:t>
            </w:r>
          </w:p>
          <w:p w14:paraId="7A15F6B6">
            <w:pPr>
              <w:spacing w:line="360" w:lineRule="auto"/>
              <w:ind w:firstLine="480"/>
              <w:rPr>
                <w:color w:val="auto"/>
              </w:rPr>
            </w:pPr>
            <w:r>
              <w:rPr>
                <w:color w:val="auto"/>
              </w:rPr>
              <w:t>本项目设置</w:t>
            </w:r>
            <w:r>
              <w:rPr>
                <w:rFonts w:hint="eastAsia"/>
                <w:color w:val="auto"/>
                <w:lang w:val="en-US" w:eastAsia="zh-CN"/>
              </w:rPr>
              <w:t>1</w:t>
            </w:r>
            <w:r>
              <w:rPr>
                <w:color w:val="auto"/>
              </w:rPr>
              <w:t>台倾倒式电坩埚熔铝炉，熔化工序能力</w:t>
            </w:r>
            <w:r>
              <w:rPr>
                <w:rFonts w:hint="eastAsia"/>
                <w:color w:val="auto"/>
                <w:lang w:val="en-US" w:eastAsia="zh-CN"/>
              </w:rPr>
              <w:t>3032</w:t>
            </w:r>
            <w:r>
              <w:rPr>
                <w:color w:val="auto"/>
              </w:rPr>
              <w:t xml:space="preserve">t/a，本项目设计年铸件量为 </w:t>
            </w:r>
            <w:r>
              <w:rPr>
                <w:rFonts w:hint="eastAsia"/>
                <w:color w:val="auto"/>
                <w:lang w:val="en-US" w:eastAsia="zh-CN"/>
              </w:rPr>
              <w:t>300</w:t>
            </w:r>
            <w:r>
              <w:rPr>
                <w:color w:val="auto"/>
              </w:rPr>
              <w:t>0t，项目选用的生产设备能够满足本项目使用需求。</w:t>
            </w:r>
          </w:p>
          <w:p w14:paraId="753E84F4">
            <w:pPr>
              <w:numPr>
                <w:ilvl w:val="0"/>
                <w:numId w:val="0"/>
              </w:numPr>
              <w:spacing w:line="360" w:lineRule="auto"/>
              <w:ind w:firstLine="420" w:firstLineChars="20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制芯（造型）</w:t>
            </w:r>
            <w:r>
              <w:rPr>
                <w:color w:val="auto"/>
              </w:rPr>
              <w:t xml:space="preserve">工序生产能力核算 </w:t>
            </w:r>
          </w:p>
          <w:p w14:paraId="30A37337">
            <w:pPr>
              <w:spacing w:line="360" w:lineRule="auto"/>
              <w:ind w:firstLine="420" w:firstLineChars="200"/>
              <w:rPr>
                <w:color w:val="auto"/>
              </w:rPr>
            </w:pPr>
            <w:r>
              <w:rPr>
                <w:color w:val="auto"/>
              </w:rPr>
              <w:t>①</w:t>
            </w:r>
            <w:r>
              <w:rPr>
                <w:rFonts w:hint="eastAsia"/>
                <w:color w:val="auto"/>
                <w:lang w:val="en-US" w:eastAsia="zh-CN"/>
              </w:rPr>
              <w:t>制芯（造型）</w:t>
            </w:r>
            <w:r>
              <w:rPr>
                <w:color w:val="auto"/>
              </w:rPr>
              <w:t xml:space="preserve">设备生产能力 </w:t>
            </w:r>
          </w:p>
          <w:p w14:paraId="1963E04C">
            <w:pPr>
              <w:spacing w:line="360" w:lineRule="auto"/>
              <w:ind w:firstLine="420" w:firstLineChars="200"/>
              <w:rPr>
                <w:color w:val="auto"/>
              </w:rPr>
            </w:pPr>
            <w:r>
              <w:rPr>
                <w:color w:val="auto"/>
              </w:rPr>
              <w:t xml:space="preserve">按公式计算：Zi=Zj×G </w:t>
            </w:r>
          </w:p>
          <w:p w14:paraId="45B0212E">
            <w:pPr>
              <w:spacing w:line="360" w:lineRule="auto"/>
              <w:ind w:firstLine="420" w:firstLineChars="200"/>
              <w:rPr>
                <w:color w:val="auto"/>
              </w:rPr>
            </w:pPr>
            <w:r>
              <w:rPr>
                <w:color w:val="auto"/>
              </w:rPr>
              <w:t xml:space="preserve">式中：Zi—单台造型设备生产能力（t/a） </w:t>
            </w:r>
          </w:p>
          <w:p w14:paraId="465E2B06">
            <w:pPr>
              <w:spacing w:line="360" w:lineRule="auto"/>
              <w:ind w:firstLine="1050" w:firstLineChars="500"/>
              <w:rPr>
                <w:color w:val="auto"/>
              </w:rPr>
            </w:pPr>
            <w:r>
              <w:rPr>
                <w:color w:val="auto"/>
              </w:rPr>
              <w:t xml:space="preserve">Zj—造型设备生产效率（t/h） </w:t>
            </w:r>
          </w:p>
          <w:p w14:paraId="47E5105B">
            <w:pPr>
              <w:spacing w:line="360" w:lineRule="auto"/>
              <w:ind w:firstLine="1050" w:firstLineChars="500"/>
              <w:rPr>
                <w:color w:val="auto"/>
              </w:rPr>
            </w:pPr>
            <w:r>
              <w:rPr>
                <w:color w:val="auto"/>
              </w:rPr>
              <w:t>G—设计年时基数（h/a），取</w:t>
            </w:r>
            <w:r>
              <w:rPr>
                <w:rFonts w:hint="eastAsia"/>
                <w:color w:val="auto"/>
                <w:lang w:val="en-US" w:eastAsia="zh-CN"/>
              </w:rPr>
              <w:t>4800</w:t>
            </w:r>
            <w:r>
              <w:rPr>
                <w:color w:val="auto"/>
              </w:rPr>
              <w:t xml:space="preserve">h/a。 </w:t>
            </w:r>
          </w:p>
          <w:p w14:paraId="09E6BDDA">
            <w:pPr>
              <w:spacing w:line="360" w:lineRule="auto"/>
              <w:ind w:firstLine="1050" w:firstLineChars="500"/>
              <w:rPr>
                <w:color w:val="auto"/>
              </w:rPr>
            </w:pPr>
            <w:r>
              <w:rPr>
                <w:color w:val="auto"/>
              </w:rPr>
              <w:t>经计算，造型设备生产能力=0.</w:t>
            </w:r>
            <w:r>
              <w:rPr>
                <w:rFonts w:hint="eastAsia"/>
                <w:color w:val="auto"/>
                <w:lang w:val="en-US" w:eastAsia="zh-CN"/>
              </w:rPr>
              <w:t>15</w:t>
            </w:r>
            <w:r>
              <w:rPr>
                <w:color w:val="auto"/>
              </w:rPr>
              <w:t>×</w:t>
            </w:r>
            <w:r>
              <w:rPr>
                <w:rFonts w:hint="eastAsia"/>
                <w:color w:val="auto"/>
                <w:lang w:val="en-US" w:eastAsia="zh-CN"/>
              </w:rPr>
              <w:t>4800</w:t>
            </w:r>
            <w:r>
              <w:rPr>
                <w:color w:val="auto"/>
              </w:rPr>
              <w:t>=</w:t>
            </w:r>
            <w:r>
              <w:rPr>
                <w:rFonts w:hint="eastAsia"/>
                <w:color w:val="auto"/>
                <w:lang w:val="en-US" w:eastAsia="zh-CN"/>
              </w:rPr>
              <w:t>720</w:t>
            </w:r>
            <w:r>
              <w:rPr>
                <w:color w:val="auto"/>
              </w:rPr>
              <w:t xml:space="preserve">t/a。 </w:t>
            </w:r>
          </w:p>
          <w:p w14:paraId="7DB05D07">
            <w:pPr>
              <w:spacing w:line="360" w:lineRule="auto"/>
              <w:ind w:firstLine="420" w:firstLineChars="200"/>
              <w:rPr>
                <w:color w:val="auto"/>
              </w:rPr>
            </w:pPr>
            <w:r>
              <w:rPr>
                <w:rFonts w:hint="eastAsia"/>
                <w:color w:val="auto"/>
                <w:lang w:val="en-US" w:eastAsia="zh-CN"/>
              </w:rPr>
              <w:t>②制芯（造型）</w:t>
            </w:r>
            <w:r>
              <w:rPr>
                <w:color w:val="auto"/>
              </w:rPr>
              <w:t xml:space="preserve">工序生产能力 </w:t>
            </w:r>
          </w:p>
          <w:p w14:paraId="75C3F178">
            <w:pPr>
              <w:spacing w:line="360" w:lineRule="auto"/>
              <w:ind w:firstLine="420" w:firstLineChars="200"/>
              <w:rPr>
                <w:color w:val="auto"/>
              </w:rPr>
            </w:pPr>
            <w:r>
              <w:rPr>
                <w:color w:val="auto"/>
              </w:rPr>
              <w:t>本项目采用</w:t>
            </w:r>
            <w:r>
              <w:rPr>
                <w:rFonts w:hint="eastAsia"/>
                <w:color w:val="auto"/>
                <w:lang w:val="en-US" w:eastAsia="zh-CN"/>
              </w:rPr>
              <w:t>2台</w:t>
            </w:r>
            <w:r>
              <w:rPr>
                <w:rFonts w:hint="eastAsia"/>
                <w:color w:val="auto"/>
                <w:szCs w:val="21"/>
              </w:rPr>
              <w:t>制芯机</w:t>
            </w:r>
            <w:r>
              <w:rPr>
                <w:rFonts w:hint="eastAsia"/>
                <w:color w:val="auto"/>
                <w:lang w:val="en-US" w:eastAsia="zh-CN"/>
              </w:rPr>
              <w:t>制芯（造型）</w:t>
            </w:r>
            <w:r>
              <w:rPr>
                <w:color w:val="auto"/>
              </w:rPr>
              <w:t>，</w:t>
            </w:r>
            <w:r>
              <w:rPr>
                <w:rFonts w:hint="eastAsia"/>
                <w:color w:val="auto"/>
                <w:lang w:val="en-US" w:eastAsia="zh-CN"/>
              </w:rPr>
              <w:t>制芯（造型）</w:t>
            </w:r>
            <w:r>
              <w:rPr>
                <w:color w:val="auto"/>
              </w:rPr>
              <w:t>工序生产能力为</w:t>
            </w:r>
            <w:r>
              <w:rPr>
                <w:rFonts w:hint="eastAsia"/>
                <w:color w:val="auto"/>
                <w:lang w:val="en-US" w:eastAsia="zh-CN"/>
              </w:rPr>
              <w:t>制芯（造型）</w:t>
            </w:r>
            <w:r>
              <w:rPr>
                <w:color w:val="auto"/>
              </w:rPr>
              <w:t>设备生产能力，即</w:t>
            </w:r>
            <w:r>
              <w:rPr>
                <w:rFonts w:hint="eastAsia"/>
                <w:color w:val="auto"/>
                <w:lang w:val="en-US" w:eastAsia="zh-CN"/>
              </w:rPr>
              <w:t>720</w:t>
            </w:r>
            <w:r>
              <w:rPr>
                <w:color w:val="auto"/>
              </w:rPr>
              <w:t>×</w:t>
            </w:r>
            <w:r>
              <w:rPr>
                <w:rFonts w:hint="eastAsia"/>
                <w:color w:val="auto"/>
                <w:lang w:val="en-US" w:eastAsia="zh-CN"/>
              </w:rPr>
              <w:t>2=1440</w:t>
            </w:r>
            <w:r>
              <w:rPr>
                <w:color w:val="auto"/>
              </w:rPr>
              <w:t>t/a，</w:t>
            </w:r>
            <w:r>
              <w:rPr>
                <w:rFonts w:hint="eastAsia"/>
                <w:color w:val="auto"/>
                <w:lang w:val="en-US" w:eastAsia="zh-CN"/>
              </w:rPr>
              <w:t>本项目设计使用覆膜砂1000t，</w:t>
            </w:r>
            <w:r>
              <w:rPr>
                <w:color w:val="auto"/>
              </w:rPr>
              <w:t>能够满足本项目生产需求。</w:t>
            </w:r>
          </w:p>
          <w:p w14:paraId="5AA8FA2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
                <w:bCs/>
                <w:color w:val="auto"/>
                <w:szCs w:val="21"/>
              </w:rPr>
            </w:pPr>
            <w:r>
              <w:rPr>
                <w:rFonts w:hint="eastAsia" w:cs="Times New Roman"/>
                <w:b/>
                <w:bCs/>
                <w:color w:val="auto"/>
                <w:szCs w:val="21"/>
                <w:lang w:val="en-US" w:eastAsia="zh-CN"/>
              </w:rPr>
              <w:t>2.4</w:t>
            </w:r>
            <w:r>
              <w:rPr>
                <w:rFonts w:ascii="Times New Roman" w:hAnsi="Times New Roman" w:eastAsia="宋体" w:cs="Times New Roman"/>
                <w:b/>
                <w:bCs/>
                <w:color w:val="auto"/>
                <w:szCs w:val="21"/>
              </w:rPr>
              <w:t>主要原辅材料消耗情况、理化性质及危险特性：</w:t>
            </w:r>
          </w:p>
          <w:p w14:paraId="3C7ACE2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Ansi="宋体"/>
                <w:b/>
                <w:bCs/>
                <w:color w:val="auto"/>
                <w:sz w:val="21"/>
                <w:szCs w:val="21"/>
              </w:rPr>
            </w:pPr>
            <w:r>
              <w:rPr>
                <w:rFonts w:hint="eastAsia" w:ascii="Times New Roman" w:hAnsi="Times New Roman" w:eastAsia="宋体" w:cs="Times New Roman"/>
                <w:color w:val="auto"/>
                <w:szCs w:val="21"/>
              </w:rPr>
              <w:t>本</w:t>
            </w:r>
            <w:r>
              <w:rPr>
                <w:rFonts w:ascii="Times New Roman" w:hAnsi="Times New Roman" w:eastAsia="宋体" w:cs="Times New Roman"/>
                <w:color w:val="auto"/>
                <w:szCs w:val="21"/>
              </w:rPr>
              <w:t>项目主要原辅材料消耗情况见表</w:t>
            </w:r>
            <w:r>
              <w:rPr>
                <w:rFonts w:hint="eastAsia" w:ascii="Times New Roman" w:hAnsi="Times New Roman" w:eastAsia="宋体" w:cs="Times New Roman"/>
                <w:color w:val="auto"/>
                <w:szCs w:val="21"/>
              </w:rPr>
              <w:t>2</w:t>
            </w:r>
            <w:r>
              <w:rPr>
                <w:rFonts w:hint="eastAsia" w:cs="Times New Roman"/>
                <w:color w:val="auto"/>
                <w:szCs w:val="21"/>
                <w:lang w:val="en-US" w:eastAsia="zh-CN"/>
              </w:rPr>
              <w:t>-5</w:t>
            </w:r>
            <w:r>
              <w:rPr>
                <w:rFonts w:ascii="Times New Roman" w:hAnsi="Times New Roman" w:eastAsia="宋体" w:cs="Times New Roman"/>
                <w:color w:val="auto"/>
                <w:szCs w:val="21"/>
              </w:rPr>
              <w:t>。</w:t>
            </w:r>
          </w:p>
          <w:p w14:paraId="4CA1B1F3">
            <w:pPr>
              <w:spacing w:line="240" w:lineRule="auto"/>
              <w:ind w:firstLine="0" w:firstLineChars="0"/>
              <w:jc w:val="center"/>
              <w:rPr>
                <w:b/>
                <w:bCs/>
                <w:color w:val="auto"/>
                <w:sz w:val="21"/>
                <w:szCs w:val="21"/>
              </w:rPr>
            </w:pPr>
            <w:r>
              <w:rPr>
                <w:rFonts w:hAnsi="宋体"/>
                <w:b/>
                <w:bCs/>
                <w:color w:val="auto"/>
                <w:sz w:val="21"/>
                <w:szCs w:val="21"/>
              </w:rPr>
              <w:t>表</w:t>
            </w:r>
            <w:r>
              <w:rPr>
                <w:rFonts w:hint="eastAsia"/>
                <w:b/>
                <w:bCs/>
                <w:color w:val="auto"/>
                <w:sz w:val="21"/>
                <w:szCs w:val="21"/>
              </w:rPr>
              <w:t>2</w:t>
            </w:r>
            <w:r>
              <w:rPr>
                <w:b/>
                <w:bCs/>
                <w:color w:val="auto"/>
                <w:sz w:val="21"/>
                <w:szCs w:val="21"/>
              </w:rPr>
              <w:t>-</w:t>
            </w:r>
            <w:r>
              <w:rPr>
                <w:rFonts w:hint="eastAsia"/>
                <w:b/>
                <w:bCs/>
                <w:color w:val="auto"/>
                <w:sz w:val="21"/>
                <w:szCs w:val="21"/>
                <w:lang w:val="en-US" w:eastAsia="zh-CN"/>
              </w:rPr>
              <w:t>5</w:t>
            </w:r>
            <w:r>
              <w:rPr>
                <w:rFonts w:hint="eastAsia"/>
                <w:b/>
                <w:bCs/>
                <w:color w:val="auto"/>
                <w:sz w:val="21"/>
                <w:szCs w:val="21"/>
              </w:rPr>
              <w:t xml:space="preserve">  本项目</w:t>
            </w:r>
            <w:r>
              <w:rPr>
                <w:rFonts w:hint="eastAsia" w:hAnsi="宋体"/>
                <w:b/>
                <w:bCs/>
                <w:color w:val="auto"/>
                <w:sz w:val="21"/>
                <w:szCs w:val="21"/>
              </w:rPr>
              <w:t>主要原</w:t>
            </w:r>
            <w:r>
              <w:rPr>
                <w:rFonts w:hint="eastAsia"/>
                <w:b/>
                <w:bCs/>
                <w:color w:val="auto"/>
                <w:sz w:val="21"/>
                <w:szCs w:val="21"/>
              </w:rPr>
              <w:t xml:space="preserve">辅材料消耗情况 </w:t>
            </w:r>
            <w:r>
              <w:rPr>
                <w:b/>
                <w:bCs/>
                <w:color w:val="auto"/>
                <w:sz w:val="21"/>
                <w:szCs w:val="21"/>
              </w:rPr>
              <w:t>单位（t/a）</w:t>
            </w:r>
          </w:p>
          <w:tbl>
            <w:tblPr>
              <w:tblStyle w:val="25"/>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725"/>
              <w:gridCol w:w="2400"/>
              <w:gridCol w:w="825"/>
              <w:gridCol w:w="975"/>
              <w:gridCol w:w="990"/>
              <w:gridCol w:w="750"/>
              <w:gridCol w:w="1375"/>
            </w:tblGrid>
            <w:tr w14:paraId="1FB8D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34" w:type="pct"/>
                  <w:noWrap w:val="0"/>
                  <w:vAlign w:val="center"/>
                </w:tcPr>
                <w:p w14:paraId="084F07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b/>
                      <w:bCs/>
                      <w:color w:val="auto"/>
                      <w:sz w:val="21"/>
                      <w:szCs w:val="21"/>
                    </w:rPr>
                    <w:t>序号</w:t>
                  </w:r>
                </w:p>
              </w:tc>
              <w:tc>
                <w:tcPr>
                  <w:tcW w:w="429" w:type="pct"/>
                  <w:noWrap w:val="0"/>
                  <w:vAlign w:val="center"/>
                </w:tcPr>
                <w:p w14:paraId="1A2867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b/>
                      <w:bCs/>
                      <w:color w:val="auto"/>
                      <w:sz w:val="21"/>
                      <w:szCs w:val="21"/>
                    </w:rPr>
                    <w:t>材料</w:t>
                  </w:r>
                </w:p>
                <w:p w14:paraId="7E1CAA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b/>
                      <w:bCs/>
                      <w:color w:val="auto"/>
                      <w:sz w:val="21"/>
                      <w:szCs w:val="21"/>
                    </w:rPr>
                    <w:t>名称</w:t>
                  </w:r>
                </w:p>
              </w:tc>
              <w:tc>
                <w:tcPr>
                  <w:tcW w:w="1422" w:type="pct"/>
                  <w:noWrap w:val="0"/>
                  <w:vAlign w:val="center"/>
                </w:tcPr>
                <w:p w14:paraId="3C718A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b/>
                      <w:bCs/>
                      <w:color w:val="auto"/>
                      <w:sz w:val="21"/>
                      <w:szCs w:val="21"/>
                    </w:rPr>
                    <w:t>规格</w:t>
                  </w:r>
                  <w:r>
                    <w:rPr>
                      <w:rFonts w:hint="eastAsia"/>
                      <w:b/>
                      <w:bCs/>
                      <w:color w:val="auto"/>
                      <w:sz w:val="21"/>
                      <w:szCs w:val="21"/>
                    </w:rPr>
                    <w:t>及</w:t>
                  </w:r>
                </w:p>
                <w:p w14:paraId="4F2FC2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成分</w:t>
                  </w:r>
                </w:p>
              </w:tc>
              <w:tc>
                <w:tcPr>
                  <w:tcW w:w="488" w:type="pct"/>
                  <w:noWrap w:val="0"/>
                  <w:vAlign w:val="center"/>
                </w:tcPr>
                <w:p w14:paraId="43D243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b/>
                      <w:bCs/>
                      <w:color w:val="auto"/>
                      <w:sz w:val="21"/>
                      <w:szCs w:val="21"/>
                    </w:rPr>
                    <w:t>年</w:t>
                  </w:r>
                  <w:r>
                    <w:rPr>
                      <w:b/>
                      <w:bCs/>
                      <w:color w:val="auto"/>
                      <w:sz w:val="21"/>
                      <w:szCs w:val="21"/>
                    </w:rPr>
                    <w:t>用量</w:t>
                  </w:r>
                </w:p>
              </w:tc>
              <w:tc>
                <w:tcPr>
                  <w:tcW w:w="577" w:type="pct"/>
                  <w:noWrap w:val="0"/>
                  <w:vAlign w:val="center"/>
                </w:tcPr>
                <w:p w14:paraId="4B75B7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最大存</w:t>
                  </w:r>
                </w:p>
                <w:p w14:paraId="636F16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b/>
                      <w:bCs/>
                      <w:color w:val="auto"/>
                      <w:sz w:val="21"/>
                      <w:szCs w:val="21"/>
                    </w:rPr>
                    <w:t>储量</w:t>
                  </w:r>
                </w:p>
              </w:tc>
              <w:tc>
                <w:tcPr>
                  <w:tcW w:w="586" w:type="pct"/>
                  <w:noWrap w:val="0"/>
                  <w:vAlign w:val="center"/>
                </w:tcPr>
                <w:p w14:paraId="394B2E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b/>
                      <w:bCs/>
                      <w:color w:val="auto"/>
                      <w:sz w:val="21"/>
                      <w:szCs w:val="21"/>
                    </w:rPr>
                    <w:t>储存</w:t>
                  </w:r>
                </w:p>
                <w:p w14:paraId="5E36CE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b/>
                      <w:bCs/>
                      <w:color w:val="auto"/>
                      <w:sz w:val="21"/>
                      <w:szCs w:val="21"/>
                    </w:rPr>
                    <w:t>方式</w:t>
                  </w:r>
                </w:p>
              </w:tc>
              <w:tc>
                <w:tcPr>
                  <w:tcW w:w="444" w:type="pct"/>
                  <w:noWrap w:val="0"/>
                  <w:vAlign w:val="center"/>
                </w:tcPr>
                <w:p w14:paraId="3A2C6B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储存</w:t>
                  </w:r>
                </w:p>
                <w:p w14:paraId="444D99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位置</w:t>
                  </w:r>
                </w:p>
              </w:tc>
              <w:tc>
                <w:tcPr>
                  <w:tcW w:w="814" w:type="pct"/>
                  <w:noWrap w:val="0"/>
                  <w:vAlign w:val="center"/>
                </w:tcPr>
                <w:p w14:paraId="5C219F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备注</w:t>
                  </w:r>
                </w:p>
              </w:tc>
            </w:tr>
            <w:tr w14:paraId="721EB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4" w:type="pct"/>
                  <w:noWrap w:val="0"/>
                  <w:vAlign w:val="center"/>
                </w:tcPr>
                <w:p w14:paraId="7AAA3EC7">
                  <w:pPr>
                    <w:pStyle w:val="45"/>
                    <w:keepNext w:val="0"/>
                    <w:keepLines w:val="0"/>
                    <w:pageBreakBefore w:val="0"/>
                    <w:kinsoku/>
                    <w:wordWrap/>
                    <w:overflowPunct/>
                    <w:topLinePunct w:val="0"/>
                    <w:autoSpaceDE/>
                    <w:autoSpaceDN/>
                    <w:bidi w:val="0"/>
                    <w:spacing w:line="240" w:lineRule="auto"/>
                    <w:textAlignment w:val="auto"/>
                    <w:rPr>
                      <w:color w:val="auto"/>
                      <w:lang w:val="en-US" w:eastAsia="zh-CN"/>
                    </w:rPr>
                  </w:pPr>
                  <w:r>
                    <w:rPr>
                      <w:rFonts w:hint="eastAsia"/>
                      <w:color w:val="auto"/>
                      <w:lang w:val="en-US" w:eastAsia="zh-CN"/>
                    </w:rPr>
                    <w:t>1</w:t>
                  </w:r>
                </w:p>
              </w:tc>
              <w:tc>
                <w:tcPr>
                  <w:tcW w:w="429" w:type="pct"/>
                  <w:noWrap w:val="0"/>
                  <w:vAlign w:val="center"/>
                </w:tcPr>
                <w:p w14:paraId="3C0BBC7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铝锭</w:t>
                  </w:r>
                </w:p>
              </w:tc>
              <w:tc>
                <w:tcPr>
                  <w:tcW w:w="1422" w:type="pct"/>
                  <w:noWrap w:val="0"/>
                  <w:vAlign w:val="center"/>
                </w:tcPr>
                <w:p w14:paraId="06ABC126">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HYPERLINK "https://baike.baidu.com/item/%E7%A1%85/2142941?fromModule=lemma_inlink" \t "_blank"</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硅</w:t>
                  </w:r>
                  <w:r>
                    <w:rPr>
                      <w:rFonts w:hint="eastAsia"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6.5～7.5%、</w:t>
                  </w:r>
                </w:p>
                <w:p w14:paraId="3A40ACA2">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HYPERLINK "https://baike.baidu.com/item/%E9%95%81/164735?fromModule=lemma_inlink" \t "_blank"</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镁</w:t>
                  </w:r>
                  <w:r>
                    <w:rPr>
                      <w:rFonts w:hint="eastAsia"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 0.25～0.45%、</w:t>
                  </w:r>
                </w:p>
                <w:p w14:paraId="1CD92CC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HYPERLINK "https://baike.baidu.com/item/%E9%92%9B/499070?fromModule=lemma_inlink" \t "_blank"</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钛</w:t>
                  </w:r>
                  <w:r>
                    <w:rPr>
                      <w:rFonts w:hint="eastAsia"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0.08-0.20%、</w:t>
                  </w:r>
                </w:p>
                <w:p w14:paraId="3CB0C32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HYPERLINK "https://baike.baidu.com/item/%E9%93%9D/7206938?fromModule=lemma_inlink" \t "_blank"</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铝</w:t>
                  </w:r>
                  <w:r>
                    <w:rPr>
                      <w:rFonts w:hint="eastAsia"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余量</w:t>
                  </w:r>
                </w:p>
              </w:tc>
              <w:tc>
                <w:tcPr>
                  <w:tcW w:w="488" w:type="pct"/>
                  <w:noWrap w:val="0"/>
                  <w:vAlign w:val="center"/>
                </w:tcPr>
                <w:p w14:paraId="3C6C08F2">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t</w:t>
                  </w:r>
                </w:p>
              </w:tc>
              <w:tc>
                <w:tcPr>
                  <w:tcW w:w="577" w:type="pct"/>
                  <w:noWrap w:val="0"/>
                  <w:vAlign w:val="center"/>
                </w:tcPr>
                <w:p w14:paraId="4B553B3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30t</w:t>
                  </w:r>
                </w:p>
              </w:tc>
              <w:tc>
                <w:tcPr>
                  <w:tcW w:w="586" w:type="pct"/>
                  <w:noWrap w:val="0"/>
                  <w:vAlign w:val="center"/>
                </w:tcPr>
                <w:p w14:paraId="70DF5142">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堆放</w:t>
                  </w:r>
                </w:p>
              </w:tc>
              <w:tc>
                <w:tcPr>
                  <w:tcW w:w="444" w:type="pct"/>
                  <w:noWrap w:val="0"/>
                  <w:vAlign w:val="center"/>
                </w:tcPr>
                <w:p w14:paraId="7D93CA8B">
                  <w:pPr>
                    <w:pStyle w:val="43"/>
                    <w:keepNext w:val="0"/>
                    <w:keepLines w:val="0"/>
                    <w:pageBreakBefore w:val="0"/>
                    <w:kinsoku/>
                    <w:wordWrap/>
                    <w:overflowPunct/>
                    <w:topLinePunct w:val="0"/>
                    <w:autoSpaceDE/>
                    <w:autoSpaceDN/>
                    <w:bidi w:val="0"/>
                    <w:spacing w:line="240" w:lineRule="auto"/>
                    <w:textAlignment w:val="auto"/>
                    <w:rPr>
                      <w:rFonts w:hint="eastAsia"/>
                      <w:color w:val="auto"/>
                      <w:lang w:val="en-US" w:eastAsia="zh-CN"/>
                    </w:rPr>
                  </w:pPr>
                  <w:r>
                    <w:rPr>
                      <w:rFonts w:hint="eastAsia"/>
                      <w:color w:val="auto"/>
                      <w:lang w:val="en-US" w:eastAsia="zh-CN"/>
                    </w:rPr>
                    <w:t>生产</w:t>
                  </w:r>
                </w:p>
                <w:p w14:paraId="6EAEE8FC">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车间</w:t>
                  </w:r>
                </w:p>
              </w:tc>
              <w:tc>
                <w:tcPr>
                  <w:tcW w:w="814" w:type="pct"/>
                  <w:noWrap w:val="0"/>
                  <w:vAlign w:val="center"/>
                </w:tcPr>
                <w:p w14:paraId="672531AA">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执行国家标准GB/T1173-1995</w:t>
                  </w:r>
                </w:p>
              </w:tc>
            </w:tr>
            <w:tr w14:paraId="33CB9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234" w:type="pct"/>
                  <w:noWrap w:val="0"/>
                  <w:vAlign w:val="center"/>
                </w:tcPr>
                <w:p w14:paraId="63168371">
                  <w:pPr>
                    <w:pStyle w:val="45"/>
                    <w:keepNext w:val="0"/>
                    <w:keepLines w:val="0"/>
                    <w:pageBreakBefore w:val="0"/>
                    <w:kinsoku/>
                    <w:wordWrap/>
                    <w:overflowPunct/>
                    <w:topLinePunct w:val="0"/>
                    <w:autoSpaceDE/>
                    <w:autoSpaceDN/>
                    <w:bidi w:val="0"/>
                    <w:spacing w:line="240" w:lineRule="auto"/>
                    <w:textAlignment w:val="auto"/>
                    <w:rPr>
                      <w:rFonts w:hint="eastAsia"/>
                      <w:color w:val="auto"/>
                      <w:lang w:val="en-US" w:eastAsia="zh-CN"/>
                    </w:rPr>
                  </w:pPr>
                  <w:r>
                    <w:rPr>
                      <w:rFonts w:hint="eastAsia"/>
                      <w:color w:val="auto"/>
                      <w:lang w:val="en-US" w:eastAsia="zh-CN"/>
                    </w:rPr>
                    <w:t>2</w:t>
                  </w:r>
                </w:p>
              </w:tc>
              <w:tc>
                <w:tcPr>
                  <w:tcW w:w="429" w:type="pct"/>
                  <w:noWrap w:val="0"/>
                  <w:vAlign w:val="center"/>
                </w:tcPr>
                <w:p w14:paraId="4C66E6FD">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覆膜砂</w:t>
                  </w:r>
                </w:p>
              </w:tc>
              <w:tc>
                <w:tcPr>
                  <w:tcW w:w="1422" w:type="pct"/>
                  <w:noWrap w:val="0"/>
                  <w:vAlign w:val="center"/>
                </w:tcPr>
                <w:p w14:paraId="3FE34C64">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石英砂96.7%、酚醛树脂2.9%、乌洛托品</w:t>
                  </w:r>
                  <w:r>
                    <w:rPr>
                      <w:rFonts w:hint="eastAsia" w:ascii="Times New Roman" w:hAnsi="Times New Roman" w:cs="Times New Roman"/>
                      <w:color w:val="auto"/>
                      <w:szCs w:val="21"/>
                      <w:lang w:val="en-US" w:eastAsia="zh-CN"/>
                    </w:rPr>
                    <w:t>（固化剂）</w:t>
                  </w:r>
                  <w:r>
                    <w:rPr>
                      <w:rFonts w:hint="default" w:ascii="Times New Roman" w:hAnsi="Times New Roman" w:eastAsia="宋体" w:cs="Times New Roman"/>
                      <w:color w:val="auto"/>
                      <w:szCs w:val="21"/>
                      <w:lang w:val="en-US" w:eastAsia="zh-CN"/>
                    </w:rPr>
                    <w:t>0.3%、硬脂酸钙0.1%</w:t>
                  </w:r>
                </w:p>
              </w:tc>
              <w:tc>
                <w:tcPr>
                  <w:tcW w:w="488" w:type="pct"/>
                  <w:noWrap w:val="0"/>
                  <w:vAlign w:val="center"/>
                </w:tcPr>
                <w:p w14:paraId="5C3D835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r>
                    <w:rPr>
                      <w:rFonts w:hint="default" w:ascii="Times New Roman" w:hAnsi="Times New Roman" w:eastAsia="宋体" w:cs="Times New Roman"/>
                      <w:color w:val="auto"/>
                      <w:sz w:val="21"/>
                      <w:szCs w:val="21"/>
                      <w:lang w:val="en-US" w:eastAsia="zh-CN"/>
                    </w:rPr>
                    <w:t>0t</w:t>
                  </w:r>
                </w:p>
              </w:tc>
              <w:tc>
                <w:tcPr>
                  <w:tcW w:w="577" w:type="pct"/>
                  <w:noWrap w:val="0"/>
                  <w:vAlign w:val="center"/>
                </w:tcPr>
                <w:p w14:paraId="435AD00F">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t</w:t>
                  </w:r>
                </w:p>
              </w:tc>
              <w:tc>
                <w:tcPr>
                  <w:tcW w:w="586" w:type="pct"/>
                  <w:noWrap w:val="0"/>
                  <w:vAlign w:val="center"/>
                </w:tcPr>
                <w:p w14:paraId="5667CD24">
                  <w:pPr>
                    <w:pStyle w:val="43"/>
                    <w:keepNext w:val="0"/>
                    <w:keepLines w:val="0"/>
                    <w:pageBreakBefore w:val="0"/>
                    <w:kinsoku/>
                    <w:wordWrap/>
                    <w:overflowPunct/>
                    <w:topLinePunct w:val="0"/>
                    <w:autoSpaceDE/>
                    <w:autoSpaceDN/>
                    <w:bidi w:val="0"/>
                    <w:spacing w:line="240" w:lineRule="auto"/>
                    <w:textAlignment w:val="auto"/>
                    <w:rPr>
                      <w:color w:val="auto"/>
                      <w:lang w:val="en-US" w:eastAsia="zh-CN"/>
                    </w:rPr>
                  </w:pPr>
                  <w:r>
                    <w:rPr>
                      <w:rFonts w:hint="eastAsia"/>
                      <w:color w:val="auto"/>
                      <w:lang w:val="en-US" w:eastAsia="zh-CN"/>
                    </w:rPr>
                    <w:t>袋装</w:t>
                  </w:r>
                </w:p>
              </w:tc>
              <w:tc>
                <w:tcPr>
                  <w:tcW w:w="444" w:type="pct"/>
                  <w:noWrap w:val="0"/>
                  <w:vAlign w:val="center"/>
                </w:tcPr>
                <w:p w14:paraId="120A1077">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生产</w:t>
                  </w:r>
                </w:p>
                <w:p w14:paraId="0956FF4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车间</w:t>
                  </w:r>
                </w:p>
              </w:tc>
              <w:tc>
                <w:tcPr>
                  <w:tcW w:w="814" w:type="pct"/>
                  <w:noWrap w:val="0"/>
                  <w:vAlign w:val="center"/>
                </w:tcPr>
                <w:p w14:paraId="3455DCF0">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rPr>
                  </w:pPr>
                  <w:r>
                    <w:rPr>
                      <w:rFonts w:hAnsi="Times New Roman"/>
                      <w:color w:val="auto"/>
                      <w:lang w:eastAsia="zh-CN"/>
                    </w:rPr>
                    <w:t>酚醛树脂中甲醛含量为≤0.1%，酚醛树脂中苯酚含量为≤0.3%</w:t>
                  </w:r>
                </w:p>
              </w:tc>
            </w:tr>
            <w:tr w14:paraId="2B616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234" w:type="pct"/>
                  <w:noWrap w:val="0"/>
                  <w:vAlign w:val="center"/>
                </w:tcPr>
                <w:p w14:paraId="2681247E">
                  <w:pPr>
                    <w:pStyle w:val="45"/>
                    <w:keepNext w:val="0"/>
                    <w:keepLines w:val="0"/>
                    <w:pageBreakBefore w:val="0"/>
                    <w:kinsoku/>
                    <w:wordWrap/>
                    <w:overflowPunct/>
                    <w:topLinePunct w:val="0"/>
                    <w:autoSpaceDE/>
                    <w:autoSpaceDN/>
                    <w:bidi w:val="0"/>
                    <w:spacing w:line="240" w:lineRule="auto"/>
                    <w:textAlignment w:val="auto"/>
                    <w:rPr>
                      <w:rFonts w:hint="eastAsia"/>
                      <w:color w:val="auto"/>
                      <w:lang w:val="en-US" w:eastAsia="zh-CN"/>
                    </w:rPr>
                  </w:pPr>
                  <w:r>
                    <w:rPr>
                      <w:rFonts w:hint="eastAsia"/>
                      <w:color w:val="auto"/>
                      <w:lang w:val="en-US" w:eastAsia="zh-CN"/>
                    </w:rPr>
                    <w:t>3</w:t>
                  </w:r>
                </w:p>
              </w:tc>
              <w:tc>
                <w:tcPr>
                  <w:tcW w:w="429" w:type="pct"/>
                  <w:noWrap w:val="0"/>
                  <w:vAlign w:val="center"/>
                </w:tcPr>
                <w:p w14:paraId="6870DAC0">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w:t>
                  </w:r>
                  <w:r>
                    <w:rPr>
                      <w:rFonts w:hint="eastAsia" w:ascii="Times New Roman" w:hAnsi="Times New Roman" w:eastAsia="宋体" w:cs="Times New Roman"/>
                      <w:color w:val="auto"/>
                      <w:sz w:val="21"/>
                      <w:szCs w:val="21"/>
                      <w:lang w:val="en-US" w:eastAsia="zh-CN"/>
                    </w:rPr>
                    <w:t>渣剂</w:t>
                  </w:r>
                </w:p>
              </w:tc>
              <w:tc>
                <w:tcPr>
                  <w:tcW w:w="1422" w:type="pct"/>
                  <w:noWrap w:val="0"/>
                  <w:vAlign w:val="center"/>
                </w:tcPr>
                <w:p w14:paraId="166AC7CD">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二氧化硅</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72.72~74.3</w:t>
                  </w:r>
                  <w:r>
                    <w:rPr>
                      <w:rFonts w:hint="eastAsia" w:ascii="Times New Roman" w:hAnsi="Times New Roman" w:eastAsia="宋体" w:cs="Times New Roman"/>
                      <w:color w:val="auto"/>
                      <w:szCs w:val="21"/>
                      <w:lang w:val="en-US" w:eastAsia="zh-CN"/>
                    </w:rPr>
                    <w:t>%</w:t>
                  </w:r>
                </w:p>
                <w:p w14:paraId="3756748C">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氧化铝</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12.7</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w:t>
                  </w:r>
                  <w:r>
                    <w:rPr>
                      <w:rFonts w:hint="eastAsia" w:ascii="Times New Roman" w:hAnsi="Times New Roman" w:cs="Times New Roman"/>
                      <w:color w:val="auto"/>
                      <w:szCs w:val="21"/>
                      <w:lang w:val="en-US" w:eastAsia="zh-CN"/>
                    </w:rPr>
                    <w:t>6.41</w:t>
                  </w:r>
                  <w:r>
                    <w:rPr>
                      <w:rFonts w:hint="eastAsia" w:ascii="Times New Roman" w:hAnsi="Times New Roman" w:eastAsia="宋体" w:cs="Times New Roman"/>
                      <w:color w:val="auto"/>
                      <w:szCs w:val="21"/>
                      <w:lang w:val="en-US" w:eastAsia="zh-CN"/>
                    </w:rPr>
                    <w:t>%</w:t>
                  </w:r>
                </w:p>
                <w:p w14:paraId="08CDDB83">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氧化铁</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0.99~1.18</w:t>
                  </w:r>
                  <w:r>
                    <w:rPr>
                      <w:rFonts w:hint="eastAsia" w:ascii="Times New Roman" w:hAnsi="Times New Roman" w:eastAsia="宋体" w:cs="Times New Roman"/>
                      <w:color w:val="auto"/>
                      <w:szCs w:val="21"/>
                      <w:lang w:val="en-US" w:eastAsia="zh-CN"/>
                    </w:rPr>
                    <w:t>%</w:t>
                  </w:r>
                </w:p>
                <w:p w14:paraId="23BAF54F">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氧化钙</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0.77~1.13</w:t>
                  </w:r>
                  <w:r>
                    <w:rPr>
                      <w:rFonts w:hint="eastAsia" w:ascii="Times New Roman" w:hAnsi="Times New Roman" w:eastAsia="宋体" w:cs="Times New Roman"/>
                      <w:color w:val="auto"/>
                      <w:szCs w:val="21"/>
                      <w:lang w:val="en-US" w:eastAsia="zh-CN"/>
                    </w:rPr>
                    <w:t>%</w:t>
                  </w:r>
                </w:p>
                <w:p w14:paraId="0C2730AD">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氧化镁0.07~0.21%</w:t>
                  </w:r>
                </w:p>
                <w:p w14:paraId="5D90E963">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氧化钾1.92~4.59%</w:t>
                  </w:r>
                </w:p>
                <w:p w14:paraId="6656CF41">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氧化钠1.77~3.43%</w:t>
                  </w:r>
                </w:p>
                <w:p w14:paraId="6B2394CB">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lang w:val="en-US" w:eastAsia="zh-CN"/>
                    </w:rPr>
                  </w:pPr>
                  <w:r>
                    <w:rPr>
                      <w:rFonts w:hint="eastAsia" w:ascii="Times New Roman" w:hAnsi="Times New Roman" w:cs="Times New Roman"/>
                      <w:color w:val="auto"/>
                      <w:szCs w:val="21"/>
                      <w:lang w:val="en-US" w:eastAsia="zh-CN"/>
                    </w:rPr>
                    <w:t>其他2.76~3.76%</w:t>
                  </w:r>
                </w:p>
              </w:tc>
              <w:tc>
                <w:tcPr>
                  <w:tcW w:w="488" w:type="pct"/>
                  <w:noWrap w:val="0"/>
                  <w:vAlign w:val="center"/>
                </w:tcPr>
                <w:p w14:paraId="32235A9C">
                  <w:pPr>
                    <w:pStyle w:val="1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3t</w:t>
                  </w:r>
                </w:p>
              </w:tc>
              <w:tc>
                <w:tcPr>
                  <w:tcW w:w="577" w:type="pct"/>
                  <w:noWrap w:val="0"/>
                  <w:vAlign w:val="center"/>
                </w:tcPr>
                <w:p w14:paraId="2322BFA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0.3t</w:t>
                  </w:r>
                </w:p>
              </w:tc>
              <w:tc>
                <w:tcPr>
                  <w:tcW w:w="586" w:type="pct"/>
                  <w:noWrap w:val="0"/>
                  <w:vAlign w:val="center"/>
                </w:tcPr>
                <w:p w14:paraId="156EE8FC">
                  <w:pPr>
                    <w:pStyle w:val="43"/>
                    <w:keepNext w:val="0"/>
                    <w:keepLines w:val="0"/>
                    <w:pageBreakBefore w:val="0"/>
                    <w:kinsoku/>
                    <w:wordWrap/>
                    <w:overflowPunct/>
                    <w:topLinePunct w:val="0"/>
                    <w:autoSpaceDE/>
                    <w:autoSpaceDN/>
                    <w:bidi w:val="0"/>
                    <w:spacing w:line="240" w:lineRule="auto"/>
                    <w:ind w:firstLine="0" w:firstLineChars="0"/>
                    <w:textAlignment w:val="auto"/>
                    <w:rPr>
                      <w:rFonts w:hint="eastAsia"/>
                      <w:color w:val="auto"/>
                      <w:lang w:val="en-US" w:eastAsia="zh-CN"/>
                    </w:rPr>
                  </w:pPr>
                  <w:r>
                    <w:rPr>
                      <w:rFonts w:hint="eastAsia"/>
                      <w:color w:val="auto"/>
                      <w:lang w:val="en-US" w:eastAsia="zh-CN"/>
                    </w:rPr>
                    <w:t>桶装</w:t>
                  </w:r>
                </w:p>
                <w:p w14:paraId="71488B3A">
                  <w:pPr>
                    <w:pStyle w:val="43"/>
                    <w:keepNext w:val="0"/>
                    <w:keepLines w:val="0"/>
                    <w:pageBreakBefore w:val="0"/>
                    <w:kinsoku/>
                    <w:wordWrap/>
                    <w:overflowPunct/>
                    <w:topLinePunct w:val="0"/>
                    <w:autoSpaceDE/>
                    <w:autoSpaceDN/>
                    <w:bidi w:val="0"/>
                    <w:spacing w:line="240" w:lineRule="auto"/>
                    <w:ind w:firstLine="0" w:firstLineChars="0"/>
                    <w:textAlignment w:val="auto"/>
                    <w:rPr>
                      <w:rFonts w:hint="default"/>
                      <w:color w:val="auto"/>
                      <w:lang w:val="en-US" w:eastAsia="zh-CN"/>
                    </w:rPr>
                  </w:pPr>
                  <w:r>
                    <w:rPr>
                      <w:rFonts w:hint="eastAsia"/>
                      <w:color w:val="auto"/>
                      <w:szCs w:val="21"/>
                      <w:lang w:val="en-US" w:eastAsia="zh-CN"/>
                    </w:rPr>
                    <w:t>25kg/桶</w:t>
                  </w:r>
                </w:p>
              </w:tc>
              <w:tc>
                <w:tcPr>
                  <w:tcW w:w="444" w:type="pct"/>
                  <w:noWrap w:val="0"/>
                  <w:vAlign w:val="center"/>
                </w:tcPr>
                <w:p w14:paraId="4450FDA4">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原料</w:t>
                  </w:r>
                </w:p>
                <w:p w14:paraId="16FF94C6">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rPr>
                  </w:pPr>
                  <w:r>
                    <w:rPr>
                      <w:rFonts w:hint="eastAsia"/>
                      <w:color w:val="auto"/>
                      <w:kern w:val="0"/>
                      <w:sz w:val="21"/>
                      <w:szCs w:val="21"/>
                      <w:lang w:val="en-US" w:eastAsia="zh-CN"/>
                    </w:rPr>
                    <w:t>仓库</w:t>
                  </w:r>
                </w:p>
              </w:tc>
              <w:tc>
                <w:tcPr>
                  <w:tcW w:w="814" w:type="pct"/>
                  <w:noWrap w:val="0"/>
                  <w:vAlign w:val="center"/>
                </w:tcPr>
                <w:p w14:paraId="3DF14379">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57602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34" w:type="pct"/>
                  <w:noWrap w:val="0"/>
                  <w:vAlign w:val="center"/>
                </w:tcPr>
                <w:p w14:paraId="5C041D55">
                  <w:pPr>
                    <w:pStyle w:val="45"/>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4</w:t>
                  </w:r>
                </w:p>
              </w:tc>
              <w:tc>
                <w:tcPr>
                  <w:tcW w:w="429" w:type="pct"/>
                  <w:noWrap w:val="0"/>
                  <w:vAlign w:val="center"/>
                </w:tcPr>
                <w:p w14:paraId="303A293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氮气</w:t>
                  </w:r>
                </w:p>
              </w:tc>
              <w:tc>
                <w:tcPr>
                  <w:tcW w:w="1422" w:type="pct"/>
                  <w:noWrap w:val="0"/>
                  <w:vAlign w:val="center"/>
                </w:tcPr>
                <w:p w14:paraId="4F8B461D">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w:t>
                  </w:r>
                </w:p>
              </w:tc>
              <w:tc>
                <w:tcPr>
                  <w:tcW w:w="488" w:type="pct"/>
                  <w:noWrap w:val="0"/>
                  <w:vAlign w:val="center"/>
                </w:tcPr>
                <w:p w14:paraId="6827820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64000L</w:t>
                  </w:r>
                </w:p>
              </w:tc>
              <w:tc>
                <w:tcPr>
                  <w:tcW w:w="577" w:type="pct"/>
                  <w:noWrap w:val="0"/>
                  <w:vAlign w:val="center"/>
                </w:tcPr>
                <w:p w14:paraId="64DDF44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800L</w:t>
                  </w:r>
                </w:p>
              </w:tc>
              <w:tc>
                <w:tcPr>
                  <w:tcW w:w="586" w:type="pct"/>
                  <w:noWrap w:val="0"/>
                  <w:vAlign w:val="center"/>
                </w:tcPr>
                <w:p w14:paraId="0A6D579D">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100L/钢瓶</w:t>
                  </w:r>
                </w:p>
              </w:tc>
              <w:tc>
                <w:tcPr>
                  <w:tcW w:w="444" w:type="pct"/>
                  <w:noWrap w:val="0"/>
                  <w:vAlign w:val="center"/>
                </w:tcPr>
                <w:p w14:paraId="170878AB">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原料</w:t>
                  </w:r>
                </w:p>
                <w:p w14:paraId="762170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仓库</w:t>
                  </w:r>
                </w:p>
              </w:tc>
              <w:tc>
                <w:tcPr>
                  <w:tcW w:w="814" w:type="pct"/>
                  <w:noWrap w:val="0"/>
                  <w:vAlign w:val="center"/>
                </w:tcPr>
                <w:p w14:paraId="20DFA54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钢瓶厂家回收</w:t>
                  </w:r>
                </w:p>
              </w:tc>
            </w:tr>
            <w:tr w14:paraId="6196C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234" w:type="pct"/>
                  <w:noWrap w:val="0"/>
                  <w:vAlign w:val="center"/>
                </w:tcPr>
                <w:p w14:paraId="1B2D1A02">
                  <w:pPr>
                    <w:pStyle w:val="45"/>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5</w:t>
                  </w:r>
                </w:p>
              </w:tc>
              <w:tc>
                <w:tcPr>
                  <w:tcW w:w="429" w:type="pct"/>
                  <w:noWrap w:val="0"/>
                  <w:vAlign w:val="center"/>
                </w:tcPr>
                <w:p w14:paraId="237BC12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切削液</w:t>
                  </w:r>
                </w:p>
              </w:tc>
              <w:tc>
                <w:tcPr>
                  <w:tcW w:w="1422" w:type="pct"/>
                  <w:noWrap w:val="0"/>
                  <w:vAlign w:val="center"/>
                </w:tcPr>
                <w:p w14:paraId="25C2E6CD">
                  <w:pPr>
                    <w:jc w:val="center"/>
                    <w:rPr>
                      <w:rFonts w:hint="default" w:ascii="Times New Roman" w:hAnsi="Times New Roman" w:eastAsia="宋体" w:cs="Times New Roman"/>
                      <w:color w:val="auto"/>
                      <w:sz w:val="21"/>
                      <w:szCs w:val="21"/>
                      <w:lang w:val="en-US" w:eastAsia="zh-CN"/>
                    </w:rPr>
                  </w:pPr>
                  <w:r>
                    <w:rPr>
                      <w:rFonts w:hAnsi="宋体"/>
                      <w:color w:val="auto"/>
                      <w:kern w:val="0"/>
                      <w:szCs w:val="21"/>
                    </w:rPr>
                    <w:t>乙醇胺</w:t>
                  </w:r>
                  <w:r>
                    <w:rPr>
                      <w:color w:val="auto"/>
                      <w:kern w:val="0"/>
                      <w:szCs w:val="21"/>
                    </w:rPr>
                    <w:t>1-10%</w:t>
                  </w:r>
                  <w:r>
                    <w:rPr>
                      <w:rFonts w:hAnsi="宋体"/>
                      <w:color w:val="auto"/>
                      <w:kern w:val="0"/>
                      <w:szCs w:val="21"/>
                    </w:rPr>
                    <w:t>、</w:t>
                  </w:r>
                  <w:r>
                    <w:rPr>
                      <w:color w:val="auto"/>
                      <w:kern w:val="0"/>
                      <w:szCs w:val="21"/>
                    </w:rPr>
                    <w:t>1,2-</w:t>
                  </w:r>
                  <w:r>
                    <w:rPr>
                      <w:rFonts w:hAnsi="宋体"/>
                      <w:color w:val="auto"/>
                      <w:kern w:val="0"/>
                      <w:szCs w:val="21"/>
                    </w:rPr>
                    <w:t>苯并异噻唑</w:t>
                  </w:r>
                  <w:r>
                    <w:rPr>
                      <w:color w:val="auto"/>
                      <w:kern w:val="0"/>
                      <w:szCs w:val="21"/>
                    </w:rPr>
                    <w:t>-3-</w:t>
                  </w:r>
                  <w:r>
                    <w:rPr>
                      <w:rFonts w:hAnsi="宋体"/>
                      <w:color w:val="auto"/>
                      <w:kern w:val="0"/>
                      <w:szCs w:val="21"/>
                    </w:rPr>
                    <w:t>酮</w:t>
                  </w:r>
                  <w:r>
                    <w:rPr>
                      <w:color w:val="auto"/>
                      <w:kern w:val="0"/>
                      <w:szCs w:val="21"/>
                    </w:rPr>
                    <w:t>1-5%</w:t>
                  </w:r>
                  <w:r>
                    <w:rPr>
                      <w:rFonts w:hAnsi="宋体"/>
                      <w:color w:val="auto"/>
                      <w:kern w:val="0"/>
                      <w:szCs w:val="21"/>
                    </w:rPr>
                    <w:t>、杀菌剂</w:t>
                  </w:r>
                  <w:r>
                    <w:rPr>
                      <w:color w:val="auto"/>
                      <w:kern w:val="0"/>
                      <w:szCs w:val="21"/>
                    </w:rPr>
                    <w:t>1-5%</w:t>
                  </w:r>
                  <w:r>
                    <w:rPr>
                      <w:rFonts w:hAnsi="宋体"/>
                      <w:color w:val="auto"/>
                      <w:kern w:val="0"/>
                      <w:szCs w:val="21"/>
                    </w:rPr>
                    <w:t>、其余水</w:t>
                  </w:r>
                </w:p>
              </w:tc>
              <w:tc>
                <w:tcPr>
                  <w:tcW w:w="488" w:type="pct"/>
                  <w:noWrap w:val="0"/>
                  <w:vAlign w:val="center"/>
                </w:tcPr>
                <w:p w14:paraId="2630315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0.5t</w:t>
                  </w:r>
                </w:p>
              </w:tc>
              <w:tc>
                <w:tcPr>
                  <w:tcW w:w="577" w:type="pct"/>
                  <w:noWrap w:val="0"/>
                  <w:vAlign w:val="center"/>
                </w:tcPr>
                <w:p w14:paraId="047B1317">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586" w:type="pct"/>
                  <w:noWrap w:val="0"/>
                  <w:vAlign w:val="center"/>
                </w:tcPr>
                <w:p w14:paraId="5B5E98F5">
                  <w:pPr>
                    <w:pStyle w:val="43"/>
                    <w:keepNext w:val="0"/>
                    <w:keepLines w:val="0"/>
                    <w:pageBreakBefore w:val="0"/>
                    <w:kinsoku/>
                    <w:wordWrap/>
                    <w:overflowPunct/>
                    <w:topLinePunct w:val="0"/>
                    <w:autoSpaceDE/>
                    <w:autoSpaceDN/>
                    <w:bidi w:val="0"/>
                    <w:spacing w:line="240" w:lineRule="auto"/>
                    <w:ind w:firstLine="0" w:firstLineChars="0"/>
                    <w:textAlignment w:val="auto"/>
                    <w:rPr>
                      <w:rFonts w:hint="eastAsia"/>
                      <w:color w:val="auto"/>
                      <w:lang w:val="en-US" w:eastAsia="zh-CN"/>
                    </w:rPr>
                  </w:pPr>
                  <w:r>
                    <w:rPr>
                      <w:rFonts w:hint="eastAsia"/>
                      <w:color w:val="auto"/>
                      <w:lang w:val="en-US" w:eastAsia="zh-CN"/>
                    </w:rPr>
                    <w:t>桶装</w:t>
                  </w:r>
                </w:p>
                <w:p w14:paraId="6A7D0C70">
                  <w:pPr>
                    <w:pStyle w:val="43"/>
                    <w:keepNext w:val="0"/>
                    <w:keepLines w:val="0"/>
                    <w:pageBreakBefore w:val="0"/>
                    <w:kinsoku/>
                    <w:wordWrap/>
                    <w:overflowPunct/>
                    <w:topLinePunct w:val="0"/>
                    <w:autoSpaceDE/>
                    <w:autoSpaceDN/>
                    <w:bidi w:val="0"/>
                    <w:spacing w:line="240" w:lineRule="auto"/>
                    <w:ind w:firstLine="0" w:firstLineChars="0"/>
                    <w:textAlignment w:val="auto"/>
                    <w:rPr>
                      <w:rFonts w:hint="default"/>
                      <w:color w:val="auto"/>
                      <w:lang w:val="en-US" w:eastAsia="zh-CN"/>
                    </w:rPr>
                  </w:pPr>
                  <w:r>
                    <w:rPr>
                      <w:rFonts w:hint="eastAsia"/>
                      <w:color w:val="auto"/>
                      <w:lang w:val="en-US" w:eastAsia="zh-CN"/>
                    </w:rPr>
                    <w:t>25kg/桶</w:t>
                  </w:r>
                </w:p>
              </w:tc>
              <w:tc>
                <w:tcPr>
                  <w:tcW w:w="444" w:type="pct"/>
                  <w:noWrap w:val="0"/>
                  <w:vAlign w:val="center"/>
                </w:tcPr>
                <w:p w14:paraId="352FE7A7">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原料</w:t>
                  </w:r>
                </w:p>
                <w:p w14:paraId="5098671E">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rPr>
                  </w:pPr>
                  <w:r>
                    <w:rPr>
                      <w:rFonts w:hint="eastAsia"/>
                      <w:color w:val="auto"/>
                      <w:kern w:val="0"/>
                      <w:sz w:val="21"/>
                      <w:szCs w:val="21"/>
                      <w:lang w:val="en-US" w:eastAsia="zh-CN"/>
                    </w:rPr>
                    <w:t>仓库</w:t>
                  </w:r>
                </w:p>
              </w:tc>
              <w:tc>
                <w:tcPr>
                  <w:tcW w:w="814" w:type="pct"/>
                  <w:noWrap w:val="0"/>
                  <w:vAlign w:val="center"/>
                </w:tcPr>
                <w:p w14:paraId="677B7B06">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涉及挥发性成分及含量的为</w:t>
                  </w:r>
                  <w:r>
                    <w:rPr>
                      <w:rFonts w:hAnsi="宋体"/>
                      <w:color w:val="auto"/>
                      <w:kern w:val="0"/>
                      <w:szCs w:val="21"/>
                    </w:rPr>
                    <w:t>乙醇胺</w:t>
                  </w:r>
                  <w:r>
                    <w:rPr>
                      <w:color w:val="auto"/>
                      <w:kern w:val="0"/>
                      <w:szCs w:val="21"/>
                    </w:rPr>
                    <w:t>1-10%</w:t>
                  </w:r>
                </w:p>
              </w:tc>
            </w:tr>
            <w:tr w14:paraId="57898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34" w:type="pct"/>
                  <w:noWrap w:val="0"/>
                  <w:vAlign w:val="center"/>
                </w:tcPr>
                <w:p w14:paraId="1B80DFD2">
                  <w:pPr>
                    <w:pStyle w:val="45"/>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6</w:t>
                  </w:r>
                </w:p>
              </w:tc>
              <w:tc>
                <w:tcPr>
                  <w:tcW w:w="429" w:type="pct"/>
                  <w:noWrap w:val="0"/>
                  <w:vAlign w:val="center"/>
                </w:tcPr>
                <w:p w14:paraId="1B89BF87">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脱膜剂</w:t>
                  </w:r>
                </w:p>
              </w:tc>
              <w:tc>
                <w:tcPr>
                  <w:tcW w:w="1422" w:type="pct"/>
                  <w:noWrap w:val="0"/>
                  <w:vAlign w:val="center"/>
                </w:tcPr>
                <w:p w14:paraId="3D298CFA">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szCs w:val="21"/>
                      <w:lang w:val="en-US" w:eastAsia="zh-CN"/>
                    </w:rPr>
                    <w:t>金刚石纳米粉30%、合成表面活性剂10%、悬浮剂10%、水30%、渗透剂20%</w:t>
                  </w:r>
                </w:p>
              </w:tc>
              <w:tc>
                <w:tcPr>
                  <w:tcW w:w="488" w:type="pct"/>
                  <w:noWrap w:val="0"/>
                  <w:vAlign w:val="center"/>
                </w:tcPr>
                <w:p w14:paraId="7A8D117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t</w:t>
                  </w:r>
                </w:p>
              </w:tc>
              <w:tc>
                <w:tcPr>
                  <w:tcW w:w="577" w:type="pct"/>
                  <w:noWrap w:val="0"/>
                  <w:vAlign w:val="center"/>
                </w:tcPr>
                <w:p w14:paraId="3EABC75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0.01t</w:t>
                  </w:r>
                </w:p>
              </w:tc>
              <w:tc>
                <w:tcPr>
                  <w:tcW w:w="586" w:type="pct"/>
                  <w:noWrap w:val="0"/>
                  <w:vAlign w:val="center"/>
                </w:tcPr>
                <w:p w14:paraId="4F554452">
                  <w:pPr>
                    <w:pStyle w:val="43"/>
                    <w:keepNext w:val="0"/>
                    <w:keepLines w:val="0"/>
                    <w:pageBreakBefore w:val="0"/>
                    <w:kinsoku/>
                    <w:wordWrap/>
                    <w:overflowPunct/>
                    <w:topLinePunct w:val="0"/>
                    <w:autoSpaceDE/>
                    <w:autoSpaceDN/>
                    <w:bidi w:val="0"/>
                    <w:spacing w:line="240" w:lineRule="auto"/>
                    <w:ind w:firstLine="0" w:firstLineChars="0"/>
                    <w:textAlignment w:val="auto"/>
                    <w:rPr>
                      <w:rFonts w:hint="eastAsia"/>
                      <w:color w:val="auto"/>
                      <w:lang w:val="en-US" w:eastAsia="zh-CN"/>
                    </w:rPr>
                  </w:pPr>
                  <w:r>
                    <w:rPr>
                      <w:rFonts w:hint="eastAsia"/>
                      <w:color w:val="auto"/>
                      <w:lang w:val="en-US" w:eastAsia="zh-CN"/>
                    </w:rPr>
                    <w:t>桶装</w:t>
                  </w:r>
                </w:p>
                <w:p w14:paraId="492FF4CF">
                  <w:pPr>
                    <w:pStyle w:val="43"/>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szCs w:val="21"/>
                      <w:lang w:val="en-US" w:eastAsia="zh-CN"/>
                    </w:rPr>
                    <w:t>2kg/桶</w:t>
                  </w:r>
                </w:p>
              </w:tc>
              <w:tc>
                <w:tcPr>
                  <w:tcW w:w="444" w:type="pct"/>
                  <w:noWrap w:val="0"/>
                  <w:vAlign w:val="center"/>
                </w:tcPr>
                <w:p w14:paraId="1BA63D38">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原料</w:t>
                  </w:r>
                </w:p>
                <w:p w14:paraId="5A779CD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仓库</w:t>
                  </w:r>
                </w:p>
              </w:tc>
              <w:tc>
                <w:tcPr>
                  <w:tcW w:w="814" w:type="pct"/>
                  <w:noWrap w:val="0"/>
                  <w:vAlign w:val="center"/>
                </w:tcPr>
                <w:p w14:paraId="019673A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586A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34" w:type="pct"/>
                  <w:noWrap w:val="0"/>
                  <w:vAlign w:val="center"/>
                </w:tcPr>
                <w:p w14:paraId="6F2991BE">
                  <w:pPr>
                    <w:pStyle w:val="45"/>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7</w:t>
                  </w:r>
                </w:p>
              </w:tc>
              <w:tc>
                <w:tcPr>
                  <w:tcW w:w="429" w:type="pct"/>
                  <w:noWrap w:val="0"/>
                  <w:vAlign w:val="center"/>
                </w:tcPr>
                <w:p w14:paraId="4608F912">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润滑油</w:t>
                  </w:r>
                </w:p>
              </w:tc>
              <w:tc>
                <w:tcPr>
                  <w:tcW w:w="1422" w:type="pct"/>
                  <w:noWrap w:val="0"/>
                  <w:vAlign w:val="center"/>
                </w:tcPr>
                <w:p w14:paraId="42B18236">
                  <w:pPr>
                    <w:jc w:val="center"/>
                    <w:rPr>
                      <w:rFonts w:hint="eastAsia" w:eastAsia="宋体"/>
                      <w:color w:val="auto"/>
                      <w:sz w:val="21"/>
                      <w:szCs w:val="21"/>
                      <w:lang w:val="en-US" w:eastAsia="zh-CN"/>
                    </w:rPr>
                  </w:pPr>
                  <w:r>
                    <w:rPr>
                      <w:rFonts w:hint="eastAsia"/>
                      <w:color w:val="auto"/>
                      <w:sz w:val="21"/>
                      <w:szCs w:val="21"/>
                      <w:lang w:val="en-US" w:eastAsia="zh-CN"/>
                    </w:rPr>
                    <w:t>/</w:t>
                  </w:r>
                </w:p>
              </w:tc>
              <w:tc>
                <w:tcPr>
                  <w:tcW w:w="488" w:type="pct"/>
                  <w:noWrap w:val="0"/>
                  <w:vAlign w:val="center"/>
                </w:tcPr>
                <w:p w14:paraId="1990C9D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0.5t</w:t>
                  </w:r>
                </w:p>
              </w:tc>
              <w:tc>
                <w:tcPr>
                  <w:tcW w:w="577" w:type="pct"/>
                  <w:noWrap w:val="0"/>
                  <w:vAlign w:val="center"/>
                </w:tcPr>
                <w:p w14:paraId="362968F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6" w:type="pct"/>
                  <w:noWrap w:val="0"/>
                  <w:vAlign w:val="center"/>
                </w:tcPr>
                <w:p w14:paraId="6DB0584F">
                  <w:pPr>
                    <w:pStyle w:val="43"/>
                    <w:keepNext w:val="0"/>
                    <w:keepLines w:val="0"/>
                    <w:pageBreakBefore w:val="0"/>
                    <w:kinsoku/>
                    <w:wordWrap/>
                    <w:overflowPunct/>
                    <w:topLinePunct w:val="0"/>
                    <w:autoSpaceDE/>
                    <w:autoSpaceDN/>
                    <w:bidi w:val="0"/>
                    <w:spacing w:line="240" w:lineRule="auto"/>
                    <w:ind w:firstLine="0" w:firstLineChars="0"/>
                    <w:textAlignment w:val="auto"/>
                    <w:rPr>
                      <w:rFonts w:hint="eastAsia"/>
                      <w:color w:val="auto"/>
                      <w:lang w:val="en-US" w:eastAsia="zh-CN"/>
                    </w:rPr>
                  </w:pPr>
                  <w:r>
                    <w:rPr>
                      <w:rFonts w:hint="eastAsia"/>
                      <w:color w:val="auto"/>
                      <w:lang w:val="en-US" w:eastAsia="zh-CN"/>
                    </w:rPr>
                    <w:t>桶装</w:t>
                  </w:r>
                </w:p>
                <w:p w14:paraId="404137F9">
                  <w:pPr>
                    <w:pStyle w:val="43"/>
                    <w:keepNext w:val="0"/>
                    <w:keepLines w:val="0"/>
                    <w:pageBreakBefore w:val="0"/>
                    <w:kinsoku/>
                    <w:wordWrap/>
                    <w:overflowPunct/>
                    <w:topLinePunct w:val="0"/>
                    <w:autoSpaceDE/>
                    <w:autoSpaceDN/>
                    <w:bidi w:val="0"/>
                    <w:spacing w:line="240" w:lineRule="auto"/>
                    <w:ind w:firstLine="0" w:firstLineChars="0"/>
                    <w:textAlignment w:val="auto"/>
                    <w:rPr>
                      <w:rFonts w:hint="default"/>
                      <w:color w:val="auto"/>
                      <w:lang w:val="en-US" w:eastAsia="zh-CN"/>
                    </w:rPr>
                  </w:pPr>
                  <w:r>
                    <w:rPr>
                      <w:rFonts w:hint="eastAsia"/>
                      <w:color w:val="auto"/>
                      <w:lang w:val="en-US" w:eastAsia="zh-CN"/>
                    </w:rPr>
                    <w:t>25kg/桶</w:t>
                  </w:r>
                </w:p>
              </w:tc>
              <w:tc>
                <w:tcPr>
                  <w:tcW w:w="444" w:type="pct"/>
                  <w:noWrap w:val="0"/>
                  <w:vAlign w:val="center"/>
                </w:tcPr>
                <w:p w14:paraId="47FB8DFB">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原料</w:t>
                  </w:r>
                </w:p>
                <w:p w14:paraId="64B5116E">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kern w:val="0"/>
                      <w:sz w:val="21"/>
                      <w:szCs w:val="21"/>
                    </w:rPr>
                  </w:pPr>
                  <w:r>
                    <w:rPr>
                      <w:rFonts w:hint="eastAsia"/>
                      <w:color w:val="auto"/>
                      <w:kern w:val="0"/>
                      <w:sz w:val="21"/>
                      <w:szCs w:val="21"/>
                      <w:lang w:val="en-US" w:eastAsia="zh-CN"/>
                    </w:rPr>
                    <w:t>仓库</w:t>
                  </w:r>
                </w:p>
              </w:tc>
              <w:tc>
                <w:tcPr>
                  <w:tcW w:w="814" w:type="pct"/>
                  <w:noWrap w:val="0"/>
                  <w:vAlign w:val="center"/>
                </w:tcPr>
                <w:p w14:paraId="0F47876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由维修保养单位提供，</w:t>
                  </w:r>
                </w:p>
                <w:p w14:paraId="1B1615F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不在厂内暂存</w:t>
                  </w:r>
                </w:p>
              </w:tc>
            </w:tr>
            <w:tr w14:paraId="5C65E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noWrap w:val="0"/>
                  <w:vAlign w:val="center"/>
                </w:tcPr>
                <w:p w14:paraId="1CDDA94A">
                  <w:pPr>
                    <w:pStyle w:val="45"/>
                    <w:keepNext w:val="0"/>
                    <w:keepLines w:val="0"/>
                    <w:pageBreakBefore w:val="0"/>
                    <w:kinsoku/>
                    <w:wordWrap/>
                    <w:overflowPunct/>
                    <w:topLinePunct w:val="0"/>
                    <w:autoSpaceDE/>
                    <w:autoSpaceDN/>
                    <w:bidi w:val="0"/>
                    <w:spacing w:line="240" w:lineRule="auto"/>
                    <w:textAlignment w:val="auto"/>
                    <w:rPr>
                      <w:rFonts w:hint="default"/>
                      <w:color w:val="auto"/>
                      <w:lang w:val="en-US" w:eastAsia="zh-CN"/>
                    </w:rPr>
                  </w:pPr>
                  <w:r>
                    <w:rPr>
                      <w:rFonts w:hint="eastAsia"/>
                      <w:color w:val="auto"/>
                      <w:lang w:val="en-US" w:eastAsia="zh-CN"/>
                    </w:rPr>
                    <w:t>8</w:t>
                  </w:r>
                </w:p>
              </w:tc>
              <w:tc>
                <w:tcPr>
                  <w:tcW w:w="429" w:type="pct"/>
                  <w:noWrap w:val="0"/>
                  <w:vAlign w:val="center"/>
                </w:tcPr>
                <w:p w14:paraId="6178EBBB">
                  <w:pPr>
                    <w:adjustRightInd w:val="0"/>
                    <w:snapToGrid w:val="0"/>
                    <w:jc w:val="center"/>
                    <w:rPr>
                      <w:rFonts w:hint="default"/>
                      <w:color w:val="auto"/>
                      <w:sz w:val="21"/>
                      <w:szCs w:val="21"/>
                      <w:lang w:val="en-US" w:eastAsia="zh-CN"/>
                    </w:rPr>
                  </w:pPr>
                  <w:r>
                    <w:rPr>
                      <w:rFonts w:hint="eastAsia"/>
                      <w:color w:val="auto"/>
                      <w:sz w:val="21"/>
                      <w:szCs w:val="21"/>
                      <w:lang w:val="en-US" w:eastAsia="zh-CN"/>
                    </w:rPr>
                    <w:t>砂纸</w:t>
                  </w:r>
                </w:p>
              </w:tc>
              <w:tc>
                <w:tcPr>
                  <w:tcW w:w="1422" w:type="pct"/>
                  <w:noWrap w:val="0"/>
                  <w:vAlign w:val="center"/>
                </w:tcPr>
                <w:p w14:paraId="43B9194E">
                  <w:pPr>
                    <w:jc w:val="center"/>
                    <w:rPr>
                      <w:rFonts w:hint="default"/>
                      <w:color w:val="auto"/>
                      <w:sz w:val="21"/>
                      <w:szCs w:val="21"/>
                      <w:lang w:val="en-US" w:eastAsia="zh-CN"/>
                    </w:rPr>
                  </w:pPr>
                  <w:r>
                    <w:rPr>
                      <w:rFonts w:hint="eastAsia"/>
                      <w:color w:val="auto"/>
                      <w:sz w:val="21"/>
                      <w:szCs w:val="21"/>
                      <w:lang w:val="en-US" w:eastAsia="zh-CN"/>
                    </w:rPr>
                    <w:t>/</w:t>
                  </w:r>
                </w:p>
              </w:tc>
              <w:tc>
                <w:tcPr>
                  <w:tcW w:w="488" w:type="pct"/>
                  <w:noWrap w:val="0"/>
                  <w:vAlign w:val="center"/>
                </w:tcPr>
                <w:p w14:paraId="542EE43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577" w:type="pct"/>
                  <w:noWrap w:val="0"/>
                  <w:vAlign w:val="center"/>
                </w:tcPr>
                <w:p w14:paraId="5B2A805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586" w:type="pct"/>
                  <w:noWrap w:val="0"/>
                  <w:vAlign w:val="center"/>
                </w:tcPr>
                <w:p w14:paraId="722C7DC1">
                  <w:pPr>
                    <w:pStyle w:val="43"/>
                    <w:keepNext w:val="0"/>
                    <w:keepLines w:val="0"/>
                    <w:pageBreakBefore w:val="0"/>
                    <w:kinsoku/>
                    <w:wordWrap/>
                    <w:overflowPunct/>
                    <w:topLinePunct w:val="0"/>
                    <w:autoSpaceDE/>
                    <w:autoSpaceDN/>
                    <w:bidi w:val="0"/>
                    <w:spacing w:line="240" w:lineRule="auto"/>
                    <w:ind w:firstLine="0" w:firstLineChars="0"/>
                    <w:textAlignment w:val="auto"/>
                    <w:rPr>
                      <w:rFonts w:hint="default"/>
                      <w:color w:val="auto"/>
                      <w:lang w:val="en-US" w:eastAsia="zh-CN"/>
                    </w:rPr>
                  </w:pPr>
                  <w:r>
                    <w:rPr>
                      <w:rFonts w:hint="eastAsia"/>
                      <w:color w:val="auto"/>
                      <w:lang w:val="en-US" w:eastAsia="zh-CN"/>
                    </w:rPr>
                    <w:t>袋装</w:t>
                  </w:r>
                </w:p>
              </w:tc>
              <w:tc>
                <w:tcPr>
                  <w:tcW w:w="444" w:type="pct"/>
                  <w:noWrap w:val="0"/>
                  <w:vAlign w:val="center"/>
                </w:tcPr>
                <w:p w14:paraId="7EEB40B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原料仓库</w:t>
                  </w:r>
                </w:p>
              </w:tc>
              <w:tc>
                <w:tcPr>
                  <w:tcW w:w="814" w:type="pct"/>
                  <w:noWrap w:val="0"/>
                  <w:vAlign w:val="center"/>
                </w:tcPr>
                <w:p w14:paraId="33DD56C6">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4826F5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Ansi="宋体"/>
                <w:color w:val="auto"/>
                <w:sz w:val="21"/>
                <w:szCs w:val="21"/>
              </w:rPr>
            </w:pPr>
            <w:r>
              <w:rPr>
                <w:rFonts w:hAnsi="宋体"/>
                <w:color w:val="auto"/>
                <w:sz w:val="21"/>
                <w:szCs w:val="21"/>
              </w:rPr>
              <w:t>主要原辅材料的理化性质及毒理性质分析详见表2-</w:t>
            </w:r>
            <w:r>
              <w:rPr>
                <w:rFonts w:hint="eastAsia" w:hAnsi="宋体"/>
                <w:color w:val="auto"/>
                <w:sz w:val="21"/>
                <w:szCs w:val="21"/>
                <w:lang w:val="en-US" w:eastAsia="zh-CN"/>
              </w:rPr>
              <w:t>6</w:t>
            </w:r>
            <w:r>
              <w:rPr>
                <w:rFonts w:hAnsi="宋体"/>
                <w:color w:val="auto"/>
                <w:sz w:val="21"/>
                <w:szCs w:val="21"/>
              </w:rPr>
              <w:t>所示。</w:t>
            </w:r>
          </w:p>
          <w:p w14:paraId="75627BA3">
            <w:pPr>
              <w:jc w:val="center"/>
              <w:rPr>
                <w:b/>
                <w:color w:val="auto"/>
                <w:szCs w:val="21"/>
              </w:rPr>
            </w:pPr>
            <w:r>
              <w:rPr>
                <w:b/>
                <w:color w:val="auto"/>
                <w:szCs w:val="21"/>
              </w:rPr>
              <w:t>表2-</w:t>
            </w:r>
            <w:r>
              <w:rPr>
                <w:rFonts w:hint="eastAsia"/>
                <w:b/>
                <w:color w:val="auto"/>
                <w:szCs w:val="21"/>
                <w:lang w:val="en-US" w:eastAsia="zh-CN"/>
              </w:rPr>
              <w:t>6</w:t>
            </w:r>
            <w:r>
              <w:rPr>
                <w:b/>
                <w:color w:val="auto"/>
                <w:szCs w:val="21"/>
              </w:rPr>
              <w:t>主要原辅材料理化特性一览表</w:t>
            </w:r>
          </w:p>
          <w:tbl>
            <w:tblPr>
              <w:tblStyle w:val="25"/>
              <w:tblW w:w="84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
              <w:gridCol w:w="384"/>
              <w:gridCol w:w="879"/>
              <w:gridCol w:w="4731"/>
              <w:gridCol w:w="990"/>
              <w:gridCol w:w="1113"/>
            </w:tblGrid>
            <w:tr w14:paraId="0A160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gridSpan w:val="2"/>
                  <w:noWrap/>
                  <w:vAlign w:val="center"/>
                </w:tcPr>
                <w:p w14:paraId="2165A31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518" w:type="pct"/>
                  <w:noWrap/>
                  <w:vAlign w:val="center"/>
                </w:tcPr>
                <w:p w14:paraId="32D82BA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结构式</w:t>
                  </w:r>
                </w:p>
              </w:tc>
              <w:tc>
                <w:tcPr>
                  <w:tcW w:w="2789" w:type="pct"/>
                  <w:noWrap/>
                  <w:vAlign w:val="center"/>
                </w:tcPr>
                <w:p w14:paraId="2C1F072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理化性质</w:t>
                  </w:r>
                </w:p>
              </w:tc>
              <w:tc>
                <w:tcPr>
                  <w:tcW w:w="583" w:type="pct"/>
                  <w:noWrap/>
                  <w:vAlign w:val="center"/>
                </w:tcPr>
                <w:p w14:paraId="67BE60D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燃烧爆炸性</w:t>
                  </w:r>
                </w:p>
              </w:tc>
              <w:tc>
                <w:tcPr>
                  <w:tcW w:w="656" w:type="pct"/>
                  <w:noWrap/>
                  <w:vAlign w:val="center"/>
                </w:tcPr>
                <w:p w14:paraId="3AF72BB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毒性及危害性</w:t>
                  </w:r>
                </w:p>
              </w:tc>
            </w:tr>
            <w:tr w14:paraId="37659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6" w:type="pct"/>
                  <w:vMerge w:val="restart"/>
                  <w:noWrap/>
                  <w:vAlign w:val="center"/>
                </w:tcPr>
                <w:p w14:paraId="575B0EEC">
                  <w:pPr>
                    <w:adjustRightInd w:val="0"/>
                    <w:snapToGrid w:val="0"/>
                    <w:jc w:val="center"/>
                    <w:rPr>
                      <w:rFonts w:hint="default" w:ascii="Times New Roman" w:hAnsi="Times New Roman" w:cs="Times New Roman"/>
                      <w:color w:val="auto"/>
                      <w:kern w:val="0"/>
                      <w:szCs w:val="21"/>
                    </w:rPr>
                  </w:pPr>
                  <w:r>
                    <w:rPr>
                      <w:rFonts w:hint="eastAsia" w:ascii="Times New Roman" w:hAnsi="Times New Roman" w:eastAsia="宋体" w:cs="Times New Roman"/>
                      <w:color w:val="auto"/>
                      <w:sz w:val="21"/>
                      <w:szCs w:val="21"/>
                      <w:lang w:val="en-US" w:eastAsia="zh-CN"/>
                    </w:rPr>
                    <w:t>覆膜砂</w:t>
                  </w:r>
                </w:p>
              </w:tc>
              <w:tc>
                <w:tcPr>
                  <w:tcW w:w="226" w:type="pct"/>
                  <w:noWrap/>
                  <w:vAlign w:val="center"/>
                </w:tcPr>
                <w:p w14:paraId="7EE66C19">
                  <w:pPr>
                    <w:adjustRightInd w:val="0"/>
                    <w:snapToGrid w:val="0"/>
                    <w:jc w:val="center"/>
                    <w:rPr>
                      <w:rFonts w:hint="default"/>
                      <w:color w:val="auto"/>
                      <w:szCs w:val="21"/>
                      <w:lang w:val="en-US" w:eastAsia="zh-CN"/>
                    </w:rPr>
                  </w:pPr>
                  <w:r>
                    <w:rPr>
                      <w:rFonts w:hint="eastAsia"/>
                      <w:color w:val="auto"/>
                      <w:szCs w:val="21"/>
                      <w:lang w:val="en-US" w:eastAsia="zh-CN"/>
                    </w:rPr>
                    <w:t>石英砂</w:t>
                  </w:r>
                </w:p>
              </w:tc>
              <w:tc>
                <w:tcPr>
                  <w:tcW w:w="518" w:type="pct"/>
                  <w:noWrap/>
                  <w:vAlign w:val="center"/>
                </w:tcPr>
                <w:p w14:paraId="59B0B99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c>
                <w:tcPr>
                  <w:tcW w:w="2789" w:type="pct"/>
                  <w:noWrap/>
                  <w:vAlign w:val="center"/>
                </w:tcPr>
                <w:p w14:paraId="5D3A6C1F">
                  <w:pPr>
                    <w:adjustRightInd w:val="0"/>
                    <w:snapToGrid w:val="0"/>
                    <w:jc w:val="left"/>
                    <w:rPr>
                      <w:rFonts w:ascii="Helvetica" w:hAnsi="Helvetica" w:eastAsia="Helvetica" w:cs="Helvetica"/>
                      <w:i w:val="0"/>
                      <w:iCs w:val="0"/>
                      <w:caps w:val="0"/>
                      <w:color w:val="auto"/>
                      <w:spacing w:val="0"/>
                      <w:sz w:val="21"/>
                      <w:szCs w:val="21"/>
                      <w:shd w:val="clear" w:fill="FFFFFF"/>
                    </w:rPr>
                  </w:pPr>
                  <w:r>
                    <w:rPr>
                      <w:rFonts w:hAnsiTheme="minorEastAsia"/>
                      <w:color w:val="auto"/>
                      <w:szCs w:val="21"/>
                    </w:rPr>
                    <w:t>石英砂是一种坚硬、耐磨、化学性能稳定的</w:t>
                  </w:r>
                  <w:r>
                    <w:rPr>
                      <w:color w:val="auto"/>
                    </w:rPr>
                    <w:fldChar w:fldCharType="begin"/>
                  </w:r>
                  <w:r>
                    <w:rPr>
                      <w:color w:val="auto"/>
                    </w:rPr>
                    <w:instrText xml:space="preserve"> HYPERLINK "https://baike.so.com/doc/5804023-6016822.html" \t "_blank" </w:instrText>
                  </w:r>
                  <w:r>
                    <w:rPr>
                      <w:color w:val="auto"/>
                    </w:rPr>
                    <w:fldChar w:fldCharType="separate"/>
                  </w:r>
                  <w:r>
                    <w:rPr>
                      <w:rFonts w:hAnsiTheme="minorEastAsia"/>
                      <w:color w:val="auto"/>
                    </w:rPr>
                    <w:t>硅酸盐矿物</w:t>
                  </w:r>
                  <w:r>
                    <w:rPr>
                      <w:rFonts w:hAnsiTheme="minorEastAsia"/>
                      <w:color w:val="auto"/>
                    </w:rPr>
                    <w:fldChar w:fldCharType="end"/>
                  </w:r>
                  <w:r>
                    <w:rPr>
                      <w:rFonts w:hAnsiTheme="minorEastAsia"/>
                      <w:color w:val="auto"/>
                      <w:szCs w:val="21"/>
                    </w:rPr>
                    <w:t>，其主要矿物成分是SiO</w:t>
                  </w:r>
                  <w:r>
                    <w:rPr>
                      <w:rFonts w:hAnsiTheme="minorEastAsia"/>
                      <w:color w:val="auto"/>
                      <w:szCs w:val="21"/>
                      <w:vertAlign w:val="subscript"/>
                    </w:rPr>
                    <w:t>2</w:t>
                  </w:r>
                  <w:r>
                    <w:rPr>
                      <w:rFonts w:hAnsiTheme="minorEastAsia"/>
                      <w:color w:val="auto"/>
                      <w:szCs w:val="21"/>
                    </w:rPr>
                    <w:t xml:space="preserve"> ，石英砂的颜色为</w:t>
                  </w:r>
                  <w:r>
                    <w:rPr>
                      <w:color w:val="auto"/>
                    </w:rPr>
                    <w:fldChar w:fldCharType="begin"/>
                  </w:r>
                  <w:r>
                    <w:rPr>
                      <w:color w:val="auto"/>
                    </w:rPr>
                    <w:instrText xml:space="preserve"> HYPERLINK "https://baike.so.com/doc/3390903-3569456.html" \t "_blank" </w:instrText>
                  </w:r>
                  <w:r>
                    <w:rPr>
                      <w:color w:val="auto"/>
                    </w:rPr>
                    <w:fldChar w:fldCharType="separate"/>
                  </w:r>
                  <w:r>
                    <w:rPr>
                      <w:rFonts w:hAnsiTheme="minorEastAsia"/>
                      <w:color w:val="auto"/>
                    </w:rPr>
                    <w:t>乳白</w:t>
                  </w:r>
                  <w:r>
                    <w:rPr>
                      <w:rFonts w:hAnsiTheme="minorEastAsia"/>
                      <w:color w:val="auto"/>
                    </w:rPr>
                    <w:fldChar w:fldCharType="end"/>
                  </w:r>
                  <w:r>
                    <w:rPr>
                      <w:rFonts w:hAnsiTheme="minorEastAsia"/>
                      <w:color w:val="auto"/>
                      <w:szCs w:val="21"/>
                    </w:rPr>
                    <w:t>色、或无色半透明状，硬度7，性脆无</w:t>
                  </w:r>
                  <w:r>
                    <w:rPr>
                      <w:color w:val="auto"/>
                    </w:rPr>
                    <w:fldChar w:fldCharType="begin"/>
                  </w:r>
                  <w:r>
                    <w:rPr>
                      <w:color w:val="auto"/>
                    </w:rPr>
                    <w:instrText xml:space="preserve">HYPERLINK "https://baike.so.com/doc/5903541-6116442.html" \t "_blank"</w:instrText>
                  </w:r>
                  <w:r>
                    <w:rPr>
                      <w:color w:val="auto"/>
                    </w:rPr>
                    <w:fldChar w:fldCharType="separate"/>
                  </w:r>
                  <w:r>
                    <w:rPr>
                      <w:rFonts w:hAnsiTheme="minorEastAsia"/>
                      <w:color w:val="auto"/>
                    </w:rPr>
                    <w:t>解理</w:t>
                  </w:r>
                  <w:r>
                    <w:rPr>
                      <w:color w:val="auto"/>
                    </w:rPr>
                    <w:fldChar w:fldCharType="end"/>
                  </w:r>
                  <w:r>
                    <w:rPr>
                      <w:rFonts w:hAnsiTheme="minorEastAsia"/>
                      <w:color w:val="auto"/>
                      <w:szCs w:val="21"/>
                    </w:rPr>
                    <w:t>，贝壳状断口，</w:t>
                  </w:r>
                  <w:r>
                    <w:rPr>
                      <w:color w:val="auto"/>
                    </w:rPr>
                    <w:fldChar w:fldCharType="begin"/>
                  </w:r>
                  <w:r>
                    <w:rPr>
                      <w:color w:val="auto"/>
                    </w:rPr>
                    <w:instrText xml:space="preserve"> HYPERLINK "https://baike.so.com/doc/481220-509574.html" \t "_blank" </w:instrText>
                  </w:r>
                  <w:r>
                    <w:rPr>
                      <w:color w:val="auto"/>
                    </w:rPr>
                    <w:fldChar w:fldCharType="separate"/>
                  </w:r>
                  <w:r>
                    <w:rPr>
                      <w:rFonts w:hAnsiTheme="minorEastAsia"/>
                      <w:color w:val="auto"/>
                    </w:rPr>
                    <w:t>油脂光泽</w:t>
                  </w:r>
                  <w:r>
                    <w:rPr>
                      <w:rFonts w:hAnsiTheme="minorEastAsia"/>
                      <w:color w:val="auto"/>
                    </w:rPr>
                    <w:fldChar w:fldCharType="end"/>
                  </w:r>
                  <w:r>
                    <w:rPr>
                      <w:rFonts w:hAnsiTheme="minorEastAsia"/>
                      <w:color w:val="auto"/>
                      <w:szCs w:val="21"/>
                    </w:rPr>
                    <w:t>，密度为2.65，</w:t>
                  </w:r>
                  <w:r>
                    <w:rPr>
                      <w:color w:val="auto"/>
                    </w:rPr>
                    <w:fldChar w:fldCharType="begin"/>
                  </w:r>
                  <w:r>
                    <w:rPr>
                      <w:color w:val="auto"/>
                    </w:rPr>
                    <w:instrText xml:space="preserve"> HYPERLINK "https://baike.so.com/doc/6977347-7200047.html" \t "_blank" </w:instrText>
                  </w:r>
                  <w:r>
                    <w:rPr>
                      <w:color w:val="auto"/>
                    </w:rPr>
                    <w:fldChar w:fldCharType="separate"/>
                  </w:r>
                  <w:r>
                    <w:rPr>
                      <w:rFonts w:hAnsiTheme="minorEastAsia"/>
                      <w:color w:val="auto"/>
                    </w:rPr>
                    <w:t>堆积密度</w:t>
                  </w:r>
                  <w:r>
                    <w:rPr>
                      <w:rFonts w:hAnsiTheme="minorEastAsia"/>
                      <w:color w:val="auto"/>
                    </w:rPr>
                    <w:fldChar w:fldCharType="end"/>
                  </w:r>
                  <w:r>
                    <w:rPr>
                      <w:rFonts w:hAnsiTheme="minorEastAsia"/>
                      <w:color w:val="auto"/>
                      <w:szCs w:val="21"/>
                    </w:rPr>
                    <w:t>(1-20目为1.6~1.8)，20-200目为1.5，其化学、热学和</w:t>
                  </w:r>
                  <w:r>
                    <w:rPr>
                      <w:color w:val="auto"/>
                    </w:rPr>
                    <w:fldChar w:fldCharType="begin"/>
                  </w:r>
                  <w:r>
                    <w:rPr>
                      <w:color w:val="auto"/>
                    </w:rPr>
                    <w:instrText xml:space="preserve"> HYPERLINK "https://baike.so.com/doc/6286679-6500161.html" \t "_blank" </w:instrText>
                  </w:r>
                  <w:r>
                    <w:rPr>
                      <w:color w:val="auto"/>
                    </w:rPr>
                    <w:fldChar w:fldCharType="separate"/>
                  </w:r>
                  <w:r>
                    <w:rPr>
                      <w:rFonts w:hAnsiTheme="minorEastAsia"/>
                      <w:color w:val="auto"/>
                    </w:rPr>
                    <w:t>机械性能</w:t>
                  </w:r>
                  <w:r>
                    <w:rPr>
                      <w:rFonts w:hAnsiTheme="minorEastAsia"/>
                      <w:color w:val="auto"/>
                    </w:rPr>
                    <w:fldChar w:fldCharType="end"/>
                  </w:r>
                  <w:r>
                    <w:rPr>
                      <w:rFonts w:hAnsiTheme="minorEastAsia"/>
                      <w:color w:val="auto"/>
                      <w:szCs w:val="21"/>
                    </w:rPr>
                    <w:t>具有明显的异向性，不溶于酸，微溶于KOH溶液，熔点1750</w:t>
                  </w:r>
                  <w:r>
                    <w:rPr>
                      <w:rFonts w:hint="eastAsia" w:hAnsiTheme="minorEastAsia"/>
                      <w:color w:val="auto"/>
                      <w:szCs w:val="21"/>
                    </w:rPr>
                    <w:t>℃</w:t>
                  </w:r>
                  <w:r>
                    <w:rPr>
                      <w:rFonts w:hAnsiTheme="minorEastAsia"/>
                      <w:color w:val="auto"/>
                      <w:szCs w:val="21"/>
                    </w:rPr>
                    <w:t>。</w:t>
                  </w:r>
                </w:p>
              </w:tc>
              <w:tc>
                <w:tcPr>
                  <w:tcW w:w="583" w:type="pct"/>
                  <w:noWrap/>
                  <w:vAlign w:val="center"/>
                </w:tcPr>
                <w:p w14:paraId="00CBE478">
                  <w:pPr>
                    <w:adjustRightInd w:val="0"/>
                    <w:snapToGrid w:val="0"/>
                    <w:spacing w:line="240" w:lineRule="exact"/>
                    <w:jc w:val="center"/>
                    <w:rPr>
                      <w:rFonts w:hint="eastAsia" w:ascii="Helvetica" w:hAnsi="Helvetica" w:eastAsia="Helvetica" w:cs="Helvetica"/>
                      <w:i w:val="0"/>
                      <w:iCs w:val="0"/>
                      <w:caps w:val="0"/>
                      <w:color w:val="auto"/>
                      <w:spacing w:val="0"/>
                      <w:sz w:val="21"/>
                      <w:szCs w:val="21"/>
                      <w:shd w:val="clear" w:fill="FFFFFF"/>
                      <w:lang w:val="en-US" w:eastAsia="zh-CN"/>
                    </w:rPr>
                  </w:pPr>
                  <w:r>
                    <w:rPr>
                      <w:rFonts w:hAnsiTheme="minorEastAsia"/>
                      <w:color w:val="auto"/>
                      <w:szCs w:val="21"/>
                    </w:rPr>
                    <w:t>不燃</w:t>
                  </w:r>
                </w:p>
              </w:tc>
              <w:tc>
                <w:tcPr>
                  <w:tcW w:w="656" w:type="pct"/>
                  <w:noWrap/>
                  <w:vAlign w:val="center"/>
                </w:tcPr>
                <w:p w14:paraId="3F6A2400">
                  <w:pPr>
                    <w:adjustRightInd w:val="0"/>
                    <w:snapToGrid w:val="0"/>
                    <w:jc w:val="center"/>
                    <w:rPr>
                      <w:rFonts w:hint="eastAsia" w:cs="Times New Roman"/>
                      <w:color w:val="auto"/>
                      <w:szCs w:val="21"/>
                      <w:lang w:val="en-US" w:eastAsia="zh-CN"/>
                    </w:rPr>
                  </w:pPr>
                  <w:r>
                    <w:rPr>
                      <w:rFonts w:hAnsiTheme="minorEastAsia"/>
                      <w:color w:val="auto"/>
                      <w:szCs w:val="21"/>
                    </w:rPr>
                    <w:t>/</w:t>
                  </w:r>
                </w:p>
              </w:tc>
            </w:tr>
            <w:tr w14:paraId="713C9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6" w:type="pct"/>
                  <w:vMerge w:val="continue"/>
                  <w:noWrap/>
                  <w:vAlign w:val="center"/>
                </w:tcPr>
                <w:p w14:paraId="6056A637">
                  <w:pPr>
                    <w:adjustRightInd w:val="0"/>
                    <w:snapToGrid w:val="0"/>
                    <w:jc w:val="center"/>
                    <w:rPr>
                      <w:rFonts w:hint="default" w:ascii="Times New Roman" w:hAnsi="Times New Roman" w:cs="Times New Roman"/>
                      <w:color w:val="auto"/>
                      <w:kern w:val="0"/>
                      <w:szCs w:val="21"/>
                    </w:rPr>
                  </w:pPr>
                </w:p>
              </w:tc>
              <w:tc>
                <w:tcPr>
                  <w:tcW w:w="226" w:type="pct"/>
                  <w:noWrap/>
                  <w:vAlign w:val="center"/>
                </w:tcPr>
                <w:p w14:paraId="1BCA5FEA">
                  <w:pPr>
                    <w:adjustRightInd w:val="0"/>
                    <w:snapToGrid w:val="0"/>
                    <w:jc w:val="center"/>
                    <w:rPr>
                      <w:rFonts w:hint="eastAsia"/>
                      <w:color w:val="auto"/>
                      <w:szCs w:val="21"/>
                      <w:lang w:val="en-US" w:eastAsia="zh-CN"/>
                    </w:rPr>
                  </w:pPr>
                  <w:r>
                    <w:rPr>
                      <w:rFonts w:hint="eastAsia"/>
                      <w:color w:val="auto"/>
                      <w:szCs w:val="21"/>
                      <w:lang w:val="en-US" w:eastAsia="zh-CN"/>
                    </w:rPr>
                    <w:t>酚醛树脂</w:t>
                  </w:r>
                </w:p>
              </w:tc>
              <w:tc>
                <w:tcPr>
                  <w:tcW w:w="518" w:type="pct"/>
                  <w:noWrap/>
                  <w:vAlign w:val="center"/>
                </w:tcPr>
                <w:p w14:paraId="6232267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789" w:type="pct"/>
                  <w:noWrap/>
                  <w:vAlign w:val="center"/>
                </w:tcPr>
                <w:p w14:paraId="1C141961">
                  <w:pPr>
                    <w:adjustRightInd w:val="0"/>
                    <w:snapToGrid w:val="0"/>
                    <w:jc w:val="center"/>
                    <w:rPr>
                      <w:rFonts w:hint="default" w:ascii="Helvetica" w:hAnsi="Helvetica" w:eastAsia="Helvetica" w:cs="Helvetica"/>
                      <w:i w:val="0"/>
                      <w:iCs w:val="0"/>
                      <w:caps w:val="0"/>
                      <w:color w:val="auto"/>
                      <w:spacing w:val="0"/>
                      <w:sz w:val="21"/>
                      <w:szCs w:val="21"/>
                      <w:shd w:val="clear" w:fill="FFFFFF"/>
                    </w:rPr>
                  </w:pPr>
                  <w:r>
                    <w:rPr>
                      <w:rFonts w:ascii="Helvetica" w:hAnsi="Helvetica" w:eastAsia="Helvetica" w:cs="Helvetica"/>
                      <w:i w:val="0"/>
                      <w:iCs w:val="0"/>
                      <w:caps w:val="0"/>
                      <w:color w:val="auto"/>
                      <w:spacing w:val="0"/>
                      <w:sz w:val="21"/>
                      <w:szCs w:val="21"/>
                      <w:shd w:val="clear" w:fill="FFFFFF"/>
                    </w:rPr>
                    <w:t>固体酚醛树脂为黄色、透明、无定形块状物质，因含有游离酚而呈微红色，实体的比重平均1.7左右，</w:t>
                  </w:r>
                  <w:r>
                    <w:rPr>
                      <w:rFonts w:hint="default" w:ascii="Helvetica" w:hAnsi="Helvetica" w:eastAsia="Helvetica" w:cs="Helvetica"/>
                      <w:i w:val="0"/>
                      <w:iCs w:val="0"/>
                      <w:caps w:val="0"/>
                      <w:color w:val="auto"/>
                      <w:spacing w:val="0"/>
                      <w:sz w:val="21"/>
                      <w:szCs w:val="21"/>
                      <w:shd w:val="clear" w:fill="FFFFFF"/>
                    </w:rPr>
                    <w:fldChar w:fldCharType="begin"/>
                  </w:r>
                  <w:r>
                    <w:rPr>
                      <w:rFonts w:hint="default" w:ascii="Helvetica" w:hAnsi="Helvetica" w:eastAsia="Helvetica" w:cs="Helvetica"/>
                      <w:i w:val="0"/>
                      <w:iCs w:val="0"/>
                      <w:caps w:val="0"/>
                      <w:color w:val="auto"/>
                      <w:spacing w:val="0"/>
                      <w:sz w:val="21"/>
                      <w:szCs w:val="21"/>
                      <w:shd w:val="clear" w:fill="FFFFFF"/>
                    </w:rPr>
                    <w:instrText xml:space="preserve"> HYPERLINK "https://baike.baidu.com/item/%E6%98%93%E6%BA%B6/0?fromModule=lemma_inlink" \t "https://baike.baidu.com/item/%E9%85%9A%E9%86%9B%E6%A0%91%E8%84%82/_blank" </w:instrText>
                  </w:r>
                  <w:r>
                    <w:rPr>
                      <w:rFonts w:hint="default" w:ascii="Helvetica" w:hAnsi="Helvetica" w:eastAsia="Helvetica" w:cs="Helvetica"/>
                      <w:i w:val="0"/>
                      <w:iCs w:val="0"/>
                      <w:caps w:val="0"/>
                      <w:color w:val="auto"/>
                      <w:spacing w:val="0"/>
                      <w:sz w:val="21"/>
                      <w:szCs w:val="21"/>
                      <w:shd w:val="clear" w:fill="FFFFFF"/>
                    </w:rPr>
                    <w:fldChar w:fldCharType="separate"/>
                  </w:r>
                  <w:r>
                    <w:rPr>
                      <w:rFonts w:hint="default" w:ascii="Helvetica" w:hAnsi="Helvetica" w:eastAsia="Helvetica" w:cs="Helvetica"/>
                      <w:i w:val="0"/>
                      <w:iCs w:val="0"/>
                      <w:caps w:val="0"/>
                      <w:color w:val="auto"/>
                      <w:spacing w:val="0"/>
                      <w:sz w:val="21"/>
                      <w:szCs w:val="21"/>
                      <w:shd w:val="clear" w:fill="FFFFFF"/>
                    </w:rPr>
                    <w:t>易溶</w:t>
                  </w:r>
                  <w:r>
                    <w:rPr>
                      <w:rFonts w:hint="default" w:ascii="Helvetica" w:hAnsi="Helvetica" w:eastAsia="Helvetica" w:cs="Helvetica"/>
                      <w:i w:val="0"/>
                      <w:iCs w:val="0"/>
                      <w:caps w:val="0"/>
                      <w:color w:val="auto"/>
                      <w:spacing w:val="0"/>
                      <w:sz w:val="21"/>
                      <w:szCs w:val="21"/>
                      <w:shd w:val="clear" w:fill="FFFFFF"/>
                    </w:rPr>
                    <w:fldChar w:fldCharType="end"/>
                  </w:r>
                  <w:r>
                    <w:rPr>
                      <w:rFonts w:hint="default" w:ascii="Helvetica" w:hAnsi="Helvetica" w:eastAsia="Helvetica" w:cs="Helvetica"/>
                      <w:i w:val="0"/>
                      <w:iCs w:val="0"/>
                      <w:caps w:val="0"/>
                      <w:color w:val="auto"/>
                      <w:spacing w:val="0"/>
                      <w:sz w:val="21"/>
                      <w:szCs w:val="21"/>
                      <w:shd w:val="clear" w:fill="FFFFFF"/>
                    </w:rPr>
                    <w:t>于醇，不溶于水，对水、弱酸、弱碱</w:t>
                  </w:r>
                  <w:r>
                    <w:rPr>
                      <w:rFonts w:hint="default" w:ascii="Helvetica" w:hAnsi="Helvetica" w:eastAsia="Helvetica" w:cs="Helvetica"/>
                      <w:i w:val="0"/>
                      <w:iCs w:val="0"/>
                      <w:caps w:val="0"/>
                      <w:color w:val="auto"/>
                      <w:spacing w:val="0"/>
                      <w:sz w:val="21"/>
                      <w:szCs w:val="21"/>
                      <w:shd w:val="clear" w:fill="FFFFFF"/>
                    </w:rPr>
                    <w:fldChar w:fldCharType="begin"/>
                  </w:r>
                  <w:r>
                    <w:rPr>
                      <w:rFonts w:hint="default" w:ascii="Helvetica" w:hAnsi="Helvetica" w:eastAsia="Helvetica" w:cs="Helvetica"/>
                      <w:i w:val="0"/>
                      <w:iCs w:val="0"/>
                      <w:caps w:val="0"/>
                      <w:color w:val="auto"/>
                      <w:spacing w:val="0"/>
                      <w:sz w:val="21"/>
                      <w:szCs w:val="21"/>
                      <w:shd w:val="clear" w:fill="FFFFFF"/>
                    </w:rPr>
                    <w:instrText xml:space="preserve"> HYPERLINK "https://baike.baidu.com/item/%E6%BA%B6%E6%B6%B2/0?fromModule=lemma_inlink" \t "https://baike.baidu.com/item/%E9%85%9A%E9%86%9B%E6%A0%91%E8%84%82/_blank" </w:instrText>
                  </w:r>
                  <w:r>
                    <w:rPr>
                      <w:rFonts w:hint="default" w:ascii="Helvetica" w:hAnsi="Helvetica" w:eastAsia="Helvetica" w:cs="Helvetica"/>
                      <w:i w:val="0"/>
                      <w:iCs w:val="0"/>
                      <w:caps w:val="0"/>
                      <w:color w:val="auto"/>
                      <w:spacing w:val="0"/>
                      <w:sz w:val="21"/>
                      <w:szCs w:val="21"/>
                      <w:shd w:val="clear" w:fill="FFFFFF"/>
                    </w:rPr>
                    <w:fldChar w:fldCharType="separate"/>
                  </w:r>
                  <w:r>
                    <w:rPr>
                      <w:rFonts w:hint="default" w:ascii="Helvetica" w:hAnsi="Helvetica" w:eastAsia="Helvetica" w:cs="Helvetica"/>
                      <w:i w:val="0"/>
                      <w:iCs w:val="0"/>
                      <w:caps w:val="0"/>
                      <w:color w:val="auto"/>
                      <w:spacing w:val="0"/>
                      <w:sz w:val="21"/>
                      <w:szCs w:val="21"/>
                      <w:shd w:val="clear" w:fill="FFFFFF"/>
                    </w:rPr>
                    <w:t>溶液</w:t>
                  </w:r>
                  <w:r>
                    <w:rPr>
                      <w:rFonts w:hint="default" w:ascii="Helvetica" w:hAnsi="Helvetica" w:eastAsia="Helvetica" w:cs="Helvetica"/>
                      <w:i w:val="0"/>
                      <w:iCs w:val="0"/>
                      <w:caps w:val="0"/>
                      <w:color w:val="auto"/>
                      <w:spacing w:val="0"/>
                      <w:sz w:val="21"/>
                      <w:szCs w:val="21"/>
                      <w:shd w:val="clear" w:fill="FFFFFF"/>
                    </w:rPr>
                    <w:fldChar w:fldCharType="end"/>
                  </w:r>
                  <w:r>
                    <w:rPr>
                      <w:rFonts w:hint="default" w:ascii="Helvetica" w:hAnsi="Helvetica" w:eastAsia="Helvetica" w:cs="Helvetica"/>
                      <w:i w:val="0"/>
                      <w:iCs w:val="0"/>
                      <w:caps w:val="0"/>
                      <w:color w:val="auto"/>
                      <w:spacing w:val="0"/>
                      <w:sz w:val="21"/>
                      <w:szCs w:val="21"/>
                      <w:shd w:val="clear" w:fill="FFFFFF"/>
                    </w:rPr>
                    <w:t>稳定。由苯酚和</w:t>
                  </w:r>
                  <w:r>
                    <w:rPr>
                      <w:rFonts w:hint="default" w:ascii="Helvetica" w:hAnsi="Helvetica" w:eastAsia="Helvetica" w:cs="Helvetica"/>
                      <w:i w:val="0"/>
                      <w:iCs w:val="0"/>
                      <w:caps w:val="0"/>
                      <w:color w:val="auto"/>
                      <w:spacing w:val="0"/>
                      <w:sz w:val="21"/>
                      <w:szCs w:val="21"/>
                      <w:shd w:val="clear" w:fill="FFFFFF"/>
                    </w:rPr>
                    <w:fldChar w:fldCharType="begin"/>
                  </w:r>
                  <w:r>
                    <w:rPr>
                      <w:rFonts w:hint="default" w:ascii="Helvetica" w:hAnsi="Helvetica" w:eastAsia="Helvetica" w:cs="Helvetica"/>
                      <w:i w:val="0"/>
                      <w:iCs w:val="0"/>
                      <w:caps w:val="0"/>
                      <w:color w:val="auto"/>
                      <w:spacing w:val="0"/>
                      <w:sz w:val="21"/>
                      <w:szCs w:val="21"/>
                      <w:shd w:val="clear" w:fill="FFFFFF"/>
                    </w:rPr>
                    <w:instrText xml:space="preserve"> HYPERLINK "https://baike.baidu.com/item/%E7%94%B2%E9%86%9B/167033?fromModule=lemma_inlink" \t "https://baike.baidu.com/item/%E9%85%9A%E9%86%9B%E6%A0%91%E8%84%82/_blank" </w:instrText>
                  </w:r>
                  <w:r>
                    <w:rPr>
                      <w:rFonts w:hint="default" w:ascii="Helvetica" w:hAnsi="Helvetica" w:eastAsia="Helvetica" w:cs="Helvetica"/>
                      <w:i w:val="0"/>
                      <w:iCs w:val="0"/>
                      <w:caps w:val="0"/>
                      <w:color w:val="auto"/>
                      <w:spacing w:val="0"/>
                      <w:sz w:val="21"/>
                      <w:szCs w:val="21"/>
                      <w:shd w:val="clear" w:fill="FFFFFF"/>
                    </w:rPr>
                    <w:fldChar w:fldCharType="separate"/>
                  </w:r>
                  <w:r>
                    <w:rPr>
                      <w:rFonts w:hint="default" w:ascii="Helvetica" w:hAnsi="Helvetica" w:eastAsia="Helvetica" w:cs="Helvetica"/>
                      <w:i w:val="0"/>
                      <w:iCs w:val="0"/>
                      <w:caps w:val="0"/>
                      <w:color w:val="auto"/>
                      <w:spacing w:val="0"/>
                      <w:sz w:val="21"/>
                      <w:szCs w:val="21"/>
                      <w:shd w:val="clear" w:fill="FFFFFF"/>
                    </w:rPr>
                    <w:t>甲醛</w:t>
                  </w:r>
                  <w:r>
                    <w:rPr>
                      <w:rFonts w:hint="default" w:ascii="Helvetica" w:hAnsi="Helvetica" w:eastAsia="Helvetica" w:cs="Helvetica"/>
                      <w:i w:val="0"/>
                      <w:iCs w:val="0"/>
                      <w:caps w:val="0"/>
                      <w:color w:val="auto"/>
                      <w:spacing w:val="0"/>
                      <w:sz w:val="21"/>
                      <w:szCs w:val="21"/>
                      <w:shd w:val="clear" w:fill="FFFFFF"/>
                    </w:rPr>
                    <w:fldChar w:fldCharType="end"/>
                  </w:r>
                  <w:r>
                    <w:rPr>
                      <w:rFonts w:hint="default" w:ascii="Helvetica" w:hAnsi="Helvetica" w:eastAsia="Helvetica" w:cs="Helvetica"/>
                      <w:i w:val="0"/>
                      <w:iCs w:val="0"/>
                      <w:caps w:val="0"/>
                      <w:color w:val="auto"/>
                      <w:spacing w:val="0"/>
                      <w:sz w:val="21"/>
                      <w:szCs w:val="21"/>
                      <w:shd w:val="clear" w:fill="FFFFFF"/>
                    </w:rPr>
                    <w:t>在催化剂条件下缩聚、经</w:t>
                  </w:r>
                  <w:r>
                    <w:rPr>
                      <w:rFonts w:hint="default" w:ascii="Helvetica" w:hAnsi="Helvetica" w:eastAsia="Helvetica" w:cs="Helvetica"/>
                      <w:i w:val="0"/>
                      <w:iCs w:val="0"/>
                      <w:caps w:val="0"/>
                      <w:color w:val="auto"/>
                      <w:spacing w:val="0"/>
                      <w:sz w:val="21"/>
                      <w:szCs w:val="21"/>
                      <w:shd w:val="clear" w:fill="FFFFFF"/>
                    </w:rPr>
                    <w:fldChar w:fldCharType="begin"/>
                  </w:r>
                  <w:r>
                    <w:rPr>
                      <w:rFonts w:hint="default" w:ascii="Helvetica" w:hAnsi="Helvetica" w:eastAsia="Helvetica" w:cs="Helvetica"/>
                      <w:i w:val="0"/>
                      <w:iCs w:val="0"/>
                      <w:caps w:val="0"/>
                      <w:color w:val="auto"/>
                      <w:spacing w:val="0"/>
                      <w:sz w:val="21"/>
                      <w:szCs w:val="21"/>
                      <w:shd w:val="clear" w:fill="FFFFFF"/>
                    </w:rPr>
                    <w:instrText xml:space="preserve"> HYPERLINK "https://baike.baidu.com/item/%E4%B8%AD%E5%92%8C/0?fromModule=lemma_inlink" \t "https://baike.baidu.com/item/%E9%85%9A%E9%86%9B%E6%A0%91%E8%84%82/_blank" </w:instrText>
                  </w:r>
                  <w:r>
                    <w:rPr>
                      <w:rFonts w:hint="default" w:ascii="Helvetica" w:hAnsi="Helvetica" w:eastAsia="Helvetica" w:cs="Helvetica"/>
                      <w:i w:val="0"/>
                      <w:iCs w:val="0"/>
                      <w:caps w:val="0"/>
                      <w:color w:val="auto"/>
                      <w:spacing w:val="0"/>
                      <w:sz w:val="21"/>
                      <w:szCs w:val="21"/>
                      <w:shd w:val="clear" w:fill="FFFFFF"/>
                    </w:rPr>
                    <w:fldChar w:fldCharType="separate"/>
                  </w:r>
                  <w:r>
                    <w:rPr>
                      <w:rFonts w:hint="default" w:ascii="Helvetica" w:hAnsi="Helvetica" w:eastAsia="Helvetica" w:cs="Helvetica"/>
                      <w:i w:val="0"/>
                      <w:iCs w:val="0"/>
                      <w:caps w:val="0"/>
                      <w:color w:val="auto"/>
                      <w:spacing w:val="0"/>
                      <w:sz w:val="21"/>
                      <w:szCs w:val="21"/>
                      <w:shd w:val="clear" w:fill="FFFFFF"/>
                    </w:rPr>
                    <w:t>中和</w:t>
                  </w:r>
                  <w:r>
                    <w:rPr>
                      <w:rFonts w:hint="default" w:ascii="Helvetica" w:hAnsi="Helvetica" w:eastAsia="Helvetica" w:cs="Helvetica"/>
                      <w:i w:val="0"/>
                      <w:iCs w:val="0"/>
                      <w:caps w:val="0"/>
                      <w:color w:val="auto"/>
                      <w:spacing w:val="0"/>
                      <w:sz w:val="21"/>
                      <w:szCs w:val="21"/>
                      <w:shd w:val="clear" w:fill="FFFFFF"/>
                    </w:rPr>
                    <w:fldChar w:fldCharType="end"/>
                  </w:r>
                  <w:r>
                    <w:rPr>
                      <w:rFonts w:hint="default" w:ascii="Helvetica" w:hAnsi="Helvetica" w:eastAsia="Helvetica" w:cs="Helvetica"/>
                      <w:i w:val="0"/>
                      <w:iCs w:val="0"/>
                      <w:caps w:val="0"/>
                      <w:color w:val="auto"/>
                      <w:spacing w:val="0"/>
                      <w:sz w:val="21"/>
                      <w:szCs w:val="21"/>
                      <w:shd w:val="clear" w:fill="FFFFFF"/>
                    </w:rPr>
                    <w:t>、水洗而制成的树脂。因选用催化剂的不同，可分为热固性和热塑性两类。酚醛树脂具有良好的耐酸性能、力学性能、耐热性能，广泛应用于防腐蚀工程、</w:t>
                  </w:r>
                  <w:r>
                    <w:rPr>
                      <w:rFonts w:hint="default" w:ascii="Helvetica" w:hAnsi="Helvetica" w:eastAsia="Helvetica" w:cs="Helvetica"/>
                      <w:i w:val="0"/>
                      <w:iCs w:val="0"/>
                      <w:caps w:val="0"/>
                      <w:color w:val="auto"/>
                      <w:spacing w:val="0"/>
                      <w:sz w:val="21"/>
                      <w:szCs w:val="21"/>
                      <w:shd w:val="clear" w:fill="FFFFFF"/>
                    </w:rPr>
                    <w:fldChar w:fldCharType="begin"/>
                  </w:r>
                  <w:r>
                    <w:rPr>
                      <w:rFonts w:hint="default" w:ascii="Helvetica" w:hAnsi="Helvetica" w:eastAsia="Helvetica" w:cs="Helvetica"/>
                      <w:i w:val="0"/>
                      <w:iCs w:val="0"/>
                      <w:caps w:val="0"/>
                      <w:color w:val="auto"/>
                      <w:spacing w:val="0"/>
                      <w:sz w:val="21"/>
                      <w:szCs w:val="21"/>
                      <w:shd w:val="clear" w:fill="FFFFFF"/>
                    </w:rPr>
                    <w:instrText xml:space="preserve"> HYPERLINK "https://baike.baidu.com/item/%E8%83%B6%E7%B2%98%E5%89%82/0?fromModule=lemma_inlink" \t "https://baike.baidu.com/item/%E9%85%9A%E9%86%9B%E6%A0%91%E8%84%82/_blank" </w:instrText>
                  </w:r>
                  <w:r>
                    <w:rPr>
                      <w:rFonts w:hint="default" w:ascii="Helvetica" w:hAnsi="Helvetica" w:eastAsia="Helvetica" w:cs="Helvetica"/>
                      <w:i w:val="0"/>
                      <w:iCs w:val="0"/>
                      <w:caps w:val="0"/>
                      <w:color w:val="auto"/>
                      <w:spacing w:val="0"/>
                      <w:sz w:val="21"/>
                      <w:szCs w:val="21"/>
                      <w:shd w:val="clear" w:fill="FFFFFF"/>
                    </w:rPr>
                    <w:fldChar w:fldCharType="separate"/>
                  </w:r>
                  <w:r>
                    <w:rPr>
                      <w:rFonts w:hint="default" w:ascii="Helvetica" w:hAnsi="Helvetica" w:eastAsia="Helvetica" w:cs="Helvetica"/>
                      <w:i w:val="0"/>
                      <w:iCs w:val="0"/>
                      <w:caps w:val="0"/>
                      <w:color w:val="auto"/>
                      <w:spacing w:val="0"/>
                      <w:sz w:val="21"/>
                      <w:szCs w:val="21"/>
                      <w:shd w:val="clear" w:fill="FFFFFF"/>
                    </w:rPr>
                    <w:t>胶粘剂</w:t>
                  </w:r>
                  <w:r>
                    <w:rPr>
                      <w:rFonts w:hint="default" w:ascii="Helvetica" w:hAnsi="Helvetica" w:eastAsia="Helvetica" w:cs="Helvetica"/>
                      <w:i w:val="0"/>
                      <w:iCs w:val="0"/>
                      <w:caps w:val="0"/>
                      <w:color w:val="auto"/>
                      <w:spacing w:val="0"/>
                      <w:sz w:val="21"/>
                      <w:szCs w:val="21"/>
                      <w:shd w:val="clear" w:fill="FFFFFF"/>
                    </w:rPr>
                    <w:fldChar w:fldCharType="end"/>
                  </w:r>
                  <w:r>
                    <w:rPr>
                      <w:rFonts w:hint="default" w:ascii="Helvetica" w:hAnsi="Helvetica" w:eastAsia="Helvetica" w:cs="Helvetica"/>
                      <w:i w:val="0"/>
                      <w:iCs w:val="0"/>
                      <w:caps w:val="0"/>
                      <w:color w:val="auto"/>
                      <w:spacing w:val="0"/>
                      <w:sz w:val="21"/>
                      <w:szCs w:val="21"/>
                      <w:shd w:val="clear" w:fill="FFFFFF"/>
                    </w:rPr>
                    <w:t>、阻燃材料、砂轮片制造等行业。</w:t>
                  </w:r>
                </w:p>
              </w:tc>
              <w:tc>
                <w:tcPr>
                  <w:tcW w:w="583" w:type="pct"/>
                  <w:noWrap/>
                  <w:vAlign w:val="center"/>
                </w:tcPr>
                <w:p w14:paraId="090112DE">
                  <w:pPr>
                    <w:adjustRightInd w:val="0"/>
                    <w:snapToGrid w:val="0"/>
                    <w:jc w:val="center"/>
                    <w:rPr>
                      <w:rFonts w:hint="eastAsia" w:ascii="Helvetica" w:hAnsi="Helvetica" w:eastAsia="Helvetica" w:cs="Helvetica"/>
                      <w:i w:val="0"/>
                      <w:iCs w:val="0"/>
                      <w:caps w:val="0"/>
                      <w:color w:val="auto"/>
                      <w:spacing w:val="0"/>
                      <w:sz w:val="21"/>
                      <w:szCs w:val="21"/>
                      <w:shd w:val="clear" w:fill="FFFFFF"/>
                      <w:lang w:val="en-US" w:eastAsia="zh-CN"/>
                    </w:rPr>
                  </w:pPr>
                  <w:r>
                    <w:rPr>
                      <w:rFonts w:hint="eastAsia" w:ascii="Helvetica" w:hAnsi="Helvetica" w:eastAsia="Helvetica" w:cs="Helvetica"/>
                      <w:i w:val="0"/>
                      <w:iCs w:val="0"/>
                      <w:caps w:val="0"/>
                      <w:color w:val="auto"/>
                      <w:spacing w:val="0"/>
                      <w:sz w:val="21"/>
                      <w:szCs w:val="21"/>
                      <w:shd w:val="clear" w:fill="FFFFFF"/>
                      <w:lang w:val="en-US" w:eastAsia="zh-CN"/>
                    </w:rPr>
                    <w:t>易燃</w:t>
                  </w:r>
                </w:p>
              </w:tc>
              <w:tc>
                <w:tcPr>
                  <w:tcW w:w="656" w:type="pct"/>
                  <w:noWrap/>
                  <w:vAlign w:val="center"/>
                </w:tcPr>
                <w:p w14:paraId="1797088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有毒</w:t>
                  </w:r>
                </w:p>
              </w:tc>
            </w:tr>
            <w:tr w14:paraId="3652D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26" w:type="pct"/>
                  <w:vMerge w:val="continue"/>
                  <w:noWrap/>
                  <w:vAlign w:val="center"/>
                </w:tcPr>
                <w:p w14:paraId="5E98AF60">
                  <w:pPr>
                    <w:adjustRightInd w:val="0"/>
                    <w:snapToGrid w:val="0"/>
                    <w:jc w:val="center"/>
                    <w:rPr>
                      <w:rFonts w:hint="default" w:ascii="Times New Roman" w:hAnsi="Times New Roman" w:cs="Times New Roman"/>
                      <w:color w:val="auto"/>
                      <w:kern w:val="0"/>
                      <w:szCs w:val="21"/>
                    </w:rPr>
                  </w:pPr>
                </w:p>
              </w:tc>
              <w:tc>
                <w:tcPr>
                  <w:tcW w:w="226" w:type="pct"/>
                  <w:noWrap/>
                  <w:vAlign w:val="center"/>
                </w:tcPr>
                <w:p w14:paraId="34C9A99A">
                  <w:pPr>
                    <w:adjustRightInd w:val="0"/>
                    <w:snapToGrid w:val="0"/>
                    <w:jc w:val="center"/>
                    <w:rPr>
                      <w:rFonts w:hint="eastAsia"/>
                      <w:color w:val="auto"/>
                      <w:szCs w:val="21"/>
                      <w:lang w:val="en-US" w:eastAsia="zh-CN"/>
                    </w:rPr>
                  </w:pPr>
                  <w:r>
                    <w:rPr>
                      <w:rFonts w:hint="eastAsia"/>
                      <w:color w:val="auto"/>
                      <w:szCs w:val="21"/>
                      <w:lang w:val="en-US" w:eastAsia="zh-CN"/>
                    </w:rPr>
                    <w:t>乌洛托品</w:t>
                  </w:r>
                </w:p>
              </w:tc>
              <w:tc>
                <w:tcPr>
                  <w:tcW w:w="518" w:type="pct"/>
                  <w:noWrap/>
                  <w:vAlign w:val="center"/>
                </w:tcPr>
                <w:p w14:paraId="595227C7">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C</w:t>
                  </w:r>
                  <w:r>
                    <w:rPr>
                      <w:rFonts w:hint="default" w:ascii="Times New Roman" w:hAnsi="Times New Roman" w:eastAsia="宋体" w:cs="Times New Roman"/>
                      <w:b w:val="0"/>
                      <w:bCs w:val="0"/>
                      <w:color w:val="auto"/>
                      <w:kern w:val="2"/>
                      <w:sz w:val="21"/>
                      <w:szCs w:val="21"/>
                      <w:vertAlign w:val="subscript"/>
                      <w:lang w:val="en-US" w:eastAsia="zh-CN" w:bidi="ar-SA"/>
                    </w:rPr>
                    <w:t>6</w:t>
                  </w:r>
                  <w:r>
                    <w:rPr>
                      <w:rFonts w:hint="default" w:ascii="Times New Roman" w:hAnsi="Times New Roman" w:eastAsia="宋体" w:cs="Times New Roman"/>
                      <w:b w:val="0"/>
                      <w:bCs w:val="0"/>
                      <w:color w:val="auto"/>
                      <w:kern w:val="2"/>
                      <w:sz w:val="21"/>
                      <w:szCs w:val="21"/>
                      <w:lang w:val="en-US" w:eastAsia="zh-CN" w:bidi="ar-SA"/>
                    </w:rPr>
                    <w:t>H</w:t>
                  </w:r>
                  <w:r>
                    <w:rPr>
                      <w:rFonts w:hint="default" w:ascii="Times New Roman" w:hAnsi="Times New Roman" w:eastAsia="宋体" w:cs="Times New Roman"/>
                      <w:b w:val="0"/>
                      <w:bCs w:val="0"/>
                      <w:color w:val="auto"/>
                      <w:kern w:val="2"/>
                      <w:sz w:val="21"/>
                      <w:szCs w:val="21"/>
                      <w:vertAlign w:val="subscript"/>
                      <w:lang w:val="en-US" w:eastAsia="zh-CN" w:bidi="ar-SA"/>
                    </w:rPr>
                    <w:t>12</w:t>
                  </w:r>
                  <w:r>
                    <w:rPr>
                      <w:rFonts w:hint="default" w:ascii="Times New Roman" w:hAnsi="Times New Roman" w:eastAsia="宋体" w:cs="Times New Roman"/>
                      <w:b w:val="0"/>
                      <w:bCs w:val="0"/>
                      <w:color w:val="auto"/>
                      <w:kern w:val="2"/>
                      <w:sz w:val="21"/>
                      <w:szCs w:val="21"/>
                      <w:lang w:val="en-US" w:eastAsia="zh-CN" w:bidi="ar-SA"/>
                    </w:rPr>
                    <w:t>N</w:t>
                  </w:r>
                  <w:r>
                    <w:rPr>
                      <w:rFonts w:hint="default" w:ascii="Times New Roman" w:hAnsi="Times New Roman" w:eastAsia="宋体" w:cs="Times New Roman"/>
                      <w:b w:val="0"/>
                      <w:bCs w:val="0"/>
                      <w:color w:val="auto"/>
                      <w:kern w:val="2"/>
                      <w:sz w:val="21"/>
                      <w:szCs w:val="21"/>
                      <w:vertAlign w:val="subscript"/>
                      <w:lang w:val="en-US" w:eastAsia="zh-CN" w:bidi="ar-SA"/>
                    </w:rPr>
                    <w:t>4</w:t>
                  </w:r>
                </w:p>
              </w:tc>
              <w:tc>
                <w:tcPr>
                  <w:tcW w:w="2789" w:type="pct"/>
                  <w:noWrap/>
                  <w:vAlign w:val="center"/>
                </w:tcPr>
                <w:p w14:paraId="73110909">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乌洛托品，是一种树脂固化剂，也称六亚甲基四胺，分子式为C</w:t>
                  </w:r>
                  <w:r>
                    <w:rPr>
                      <w:rFonts w:hint="default" w:ascii="Times New Roman" w:hAnsi="Times New Roman" w:eastAsia="宋体" w:cs="Times New Roman"/>
                      <w:b w:val="0"/>
                      <w:bCs w:val="0"/>
                      <w:color w:val="auto"/>
                      <w:kern w:val="2"/>
                      <w:sz w:val="21"/>
                      <w:szCs w:val="21"/>
                      <w:vertAlign w:val="subscript"/>
                      <w:lang w:val="en-US" w:eastAsia="zh-CN" w:bidi="ar-SA"/>
                    </w:rPr>
                    <w:t>6</w:t>
                  </w:r>
                  <w:r>
                    <w:rPr>
                      <w:rFonts w:hint="default" w:ascii="Times New Roman" w:hAnsi="Times New Roman" w:eastAsia="宋体" w:cs="Times New Roman"/>
                      <w:b w:val="0"/>
                      <w:bCs w:val="0"/>
                      <w:color w:val="auto"/>
                      <w:kern w:val="2"/>
                      <w:sz w:val="21"/>
                      <w:szCs w:val="21"/>
                      <w:lang w:val="en-US" w:eastAsia="zh-CN" w:bidi="ar-SA"/>
                    </w:rPr>
                    <w:t>H</w:t>
                  </w:r>
                  <w:r>
                    <w:rPr>
                      <w:rFonts w:hint="default" w:ascii="Times New Roman" w:hAnsi="Times New Roman" w:eastAsia="宋体" w:cs="Times New Roman"/>
                      <w:b w:val="0"/>
                      <w:bCs w:val="0"/>
                      <w:color w:val="auto"/>
                      <w:kern w:val="2"/>
                      <w:sz w:val="21"/>
                      <w:szCs w:val="21"/>
                      <w:vertAlign w:val="subscript"/>
                      <w:lang w:val="en-US" w:eastAsia="zh-CN" w:bidi="ar-SA"/>
                    </w:rPr>
                    <w:t>12</w:t>
                  </w:r>
                  <w:r>
                    <w:rPr>
                      <w:rFonts w:hint="default" w:ascii="Times New Roman" w:hAnsi="Times New Roman" w:eastAsia="宋体" w:cs="Times New Roman"/>
                      <w:b w:val="0"/>
                      <w:bCs w:val="0"/>
                      <w:color w:val="auto"/>
                      <w:kern w:val="2"/>
                      <w:sz w:val="21"/>
                      <w:szCs w:val="21"/>
                      <w:lang w:val="en-US" w:eastAsia="zh-CN" w:bidi="ar-SA"/>
                    </w:rPr>
                    <w:t>N</w:t>
                  </w:r>
                  <w:r>
                    <w:rPr>
                      <w:rFonts w:hint="default" w:ascii="Times New Roman" w:hAnsi="Times New Roman" w:eastAsia="宋体" w:cs="Times New Roman"/>
                      <w:b w:val="0"/>
                      <w:bCs w:val="0"/>
                      <w:color w:val="auto"/>
                      <w:kern w:val="2"/>
                      <w:sz w:val="21"/>
                      <w:szCs w:val="21"/>
                      <w:vertAlign w:val="subscript"/>
                      <w:lang w:val="en-US" w:eastAsia="zh-CN" w:bidi="ar-SA"/>
                    </w:rPr>
                    <w:t>4</w:t>
                  </w:r>
                  <w:r>
                    <w:rPr>
                      <w:rFonts w:hint="default" w:ascii="Times New Roman" w:hAnsi="Times New Roman" w:eastAsia="宋体" w:cs="Times New Roman"/>
                      <w:b w:val="0"/>
                      <w:bCs w:val="0"/>
                      <w:color w:val="auto"/>
                      <w:kern w:val="2"/>
                      <w:sz w:val="21"/>
                      <w:szCs w:val="21"/>
                      <w:lang w:val="en-US" w:eastAsia="zh-CN" w:bidi="ar-SA"/>
                    </w:rPr>
                    <w:t>，是一种有机化合物。沸点：263℃（升华）</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密度：1.33g/cm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闪点：250℃</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燃烧热：-239.7kJ/mol</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临界压力：3.69MPa</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外观：白色结晶性粉末</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溶解性：溶于水、乙醇、氯仿、四氯化碳，不溶于乙醚、石油醚、芳烃</w:t>
                  </w:r>
                  <w:r>
                    <w:rPr>
                      <w:rFonts w:hint="eastAsia" w:ascii="Times New Roman" w:hAnsi="Times New Roman" w:eastAsia="宋体" w:cs="Times New Roman"/>
                      <w:b w:val="0"/>
                      <w:bCs w:val="0"/>
                      <w:color w:val="auto"/>
                      <w:kern w:val="2"/>
                      <w:sz w:val="21"/>
                      <w:szCs w:val="21"/>
                      <w:lang w:val="en-US" w:eastAsia="zh-CN" w:bidi="ar-SA"/>
                    </w:rPr>
                    <w:t>。</w:t>
                  </w:r>
                </w:p>
              </w:tc>
              <w:tc>
                <w:tcPr>
                  <w:tcW w:w="583" w:type="pct"/>
                  <w:noWrap/>
                  <w:vAlign w:val="center"/>
                </w:tcPr>
                <w:p w14:paraId="3765AACA">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易燃</w:t>
                  </w:r>
                </w:p>
              </w:tc>
              <w:tc>
                <w:tcPr>
                  <w:tcW w:w="656" w:type="pct"/>
                  <w:noWrap/>
                  <w:vAlign w:val="center"/>
                </w:tcPr>
                <w:p w14:paraId="23D55336">
                  <w:pPr>
                    <w:adjustRightInd w:val="0"/>
                    <w:snapToGrid w:val="0"/>
                    <w:jc w:val="center"/>
                    <w:rPr>
                      <w:rFonts w:hint="default" w:ascii="Times New Roman" w:hAnsi="Times New Roman" w:cs="Times New Roman"/>
                      <w:color w:val="auto"/>
                      <w:szCs w:val="21"/>
                    </w:rPr>
                  </w:pPr>
                  <w:r>
                    <w:rPr>
                      <w:rFonts w:ascii="Helvetica" w:hAnsi="Helvetica" w:eastAsia="Helvetica" w:cs="Helvetica"/>
                      <w:i w:val="0"/>
                      <w:iCs w:val="0"/>
                      <w:caps w:val="0"/>
                      <w:color w:val="auto"/>
                      <w:spacing w:val="0"/>
                      <w:sz w:val="21"/>
                      <w:szCs w:val="21"/>
                      <w:shd w:val="clear" w:fill="FFFFFF"/>
                    </w:rPr>
                    <w:t>LD</w:t>
                  </w:r>
                  <w:r>
                    <w:rPr>
                      <w:rFonts w:hint="default" w:ascii="Helvetica" w:hAnsi="Helvetica" w:eastAsia="Helvetica" w:cs="Helvetica"/>
                      <w:i w:val="0"/>
                      <w:iCs w:val="0"/>
                      <w:caps w:val="0"/>
                      <w:color w:val="auto"/>
                      <w:spacing w:val="0"/>
                      <w:sz w:val="15"/>
                      <w:szCs w:val="15"/>
                      <w:shd w:val="clear" w:fill="FFFFFF"/>
                      <w:vertAlign w:val="baseline"/>
                    </w:rPr>
                    <w:t>50</w:t>
                  </w:r>
                  <w:r>
                    <w:rPr>
                      <w:rFonts w:hint="default" w:ascii="Helvetica" w:hAnsi="Helvetica" w:eastAsia="Helvetica" w:cs="Helvetica"/>
                      <w:i w:val="0"/>
                      <w:iCs w:val="0"/>
                      <w:caps w:val="0"/>
                      <w:color w:val="auto"/>
                      <w:spacing w:val="0"/>
                      <w:sz w:val="21"/>
                      <w:szCs w:val="21"/>
                      <w:shd w:val="clear" w:fill="FFFFFF"/>
                    </w:rPr>
                    <w:t>：9200mg/kg（大鼠静脉）；569mg/kg（小鼠经口）</w:t>
                  </w:r>
                </w:p>
              </w:tc>
            </w:tr>
            <w:tr w14:paraId="4FAAB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26" w:type="pct"/>
                  <w:vMerge w:val="continue"/>
                  <w:noWrap/>
                  <w:vAlign w:val="center"/>
                </w:tcPr>
                <w:p w14:paraId="1130C19F">
                  <w:pPr>
                    <w:pStyle w:val="3"/>
                    <w:adjustRightInd w:val="0"/>
                    <w:snapToGrid w:val="0"/>
                    <w:jc w:val="center"/>
                    <w:rPr>
                      <w:rFonts w:hint="default" w:ascii="Times New Roman" w:hAnsi="Times New Roman" w:cs="Times New Roman"/>
                      <w:color w:val="auto"/>
                      <w:kern w:val="0"/>
                      <w:szCs w:val="21"/>
                    </w:rPr>
                  </w:pPr>
                </w:p>
              </w:tc>
              <w:tc>
                <w:tcPr>
                  <w:tcW w:w="226" w:type="pct"/>
                  <w:noWrap/>
                  <w:vAlign w:val="center"/>
                </w:tcPr>
                <w:p w14:paraId="53570B68">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硬脂酸钙</w:t>
                  </w:r>
                </w:p>
              </w:tc>
              <w:tc>
                <w:tcPr>
                  <w:tcW w:w="518" w:type="pct"/>
                  <w:noWrap/>
                  <w:vAlign w:val="center"/>
                </w:tcPr>
                <w:p w14:paraId="4AFEE9FD">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C</w:t>
                  </w:r>
                  <w:r>
                    <w:rPr>
                      <w:rFonts w:hint="default" w:ascii="Times New Roman" w:hAnsi="Times New Roman" w:eastAsia="宋体" w:cs="Times New Roman"/>
                      <w:b w:val="0"/>
                      <w:bCs w:val="0"/>
                      <w:color w:val="auto"/>
                      <w:kern w:val="2"/>
                      <w:sz w:val="21"/>
                      <w:szCs w:val="21"/>
                      <w:vertAlign w:val="subscript"/>
                      <w:lang w:val="en-US" w:eastAsia="zh-CN" w:bidi="ar-SA"/>
                    </w:rPr>
                    <w:t>36</w:t>
                  </w:r>
                  <w:r>
                    <w:rPr>
                      <w:rFonts w:hint="default" w:ascii="Times New Roman" w:hAnsi="Times New Roman" w:eastAsia="宋体" w:cs="Times New Roman"/>
                      <w:b w:val="0"/>
                      <w:bCs w:val="0"/>
                      <w:color w:val="auto"/>
                      <w:kern w:val="2"/>
                      <w:sz w:val="21"/>
                      <w:szCs w:val="21"/>
                      <w:lang w:val="en-US" w:eastAsia="zh-CN" w:bidi="ar-SA"/>
                    </w:rPr>
                    <w:t>H</w:t>
                  </w:r>
                  <w:r>
                    <w:rPr>
                      <w:rFonts w:hint="default" w:ascii="Times New Roman" w:hAnsi="Times New Roman" w:eastAsia="宋体" w:cs="Times New Roman"/>
                      <w:b w:val="0"/>
                      <w:bCs w:val="0"/>
                      <w:color w:val="auto"/>
                      <w:kern w:val="2"/>
                      <w:sz w:val="21"/>
                      <w:szCs w:val="21"/>
                      <w:vertAlign w:val="subscript"/>
                      <w:lang w:val="en-US" w:eastAsia="zh-CN" w:bidi="ar-SA"/>
                    </w:rPr>
                    <w:t>70</w:t>
                  </w:r>
                  <w:r>
                    <w:rPr>
                      <w:rFonts w:hint="default" w:ascii="Times New Roman" w:hAnsi="Times New Roman" w:eastAsia="宋体" w:cs="Times New Roman"/>
                      <w:b w:val="0"/>
                      <w:bCs w:val="0"/>
                      <w:color w:val="auto"/>
                      <w:kern w:val="2"/>
                      <w:sz w:val="21"/>
                      <w:szCs w:val="21"/>
                      <w:lang w:val="en-US" w:eastAsia="zh-CN" w:bidi="ar-SA"/>
                    </w:rPr>
                    <w:t>CaO</w:t>
                  </w:r>
                  <w:r>
                    <w:rPr>
                      <w:rFonts w:hint="default" w:ascii="Times New Roman" w:hAnsi="Times New Roman" w:eastAsia="宋体" w:cs="Times New Roman"/>
                      <w:b w:val="0"/>
                      <w:bCs w:val="0"/>
                      <w:color w:val="auto"/>
                      <w:kern w:val="2"/>
                      <w:sz w:val="21"/>
                      <w:szCs w:val="21"/>
                      <w:vertAlign w:val="subscript"/>
                      <w:lang w:val="en-US" w:eastAsia="zh-CN" w:bidi="ar-SA"/>
                    </w:rPr>
                    <w:t>4</w:t>
                  </w:r>
                </w:p>
              </w:tc>
              <w:tc>
                <w:tcPr>
                  <w:tcW w:w="2789" w:type="pct"/>
                  <w:noWrap/>
                  <w:vAlign w:val="center"/>
                </w:tcPr>
                <w:p w14:paraId="359D1578">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硬脂酸钙是一种有机化合物，分子式为C</w:t>
                  </w:r>
                  <w:r>
                    <w:rPr>
                      <w:rFonts w:hint="default" w:ascii="Times New Roman" w:hAnsi="Times New Roman" w:eastAsia="宋体" w:cs="Times New Roman"/>
                      <w:b w:val="0"/>
                      <w:bCs w:val="0"/>
                      <w:color w:val="auto"/>
                      <w:kern w:val="2"/>
                      <w:sz w:val="21"/>
                      <w:szCs w:val="21"/>
                      <w:vertAlign w:val="subscript"/>
                      <w:lang w:val="en-US" w:eastAsia="zh-CN" w:bidi="ar-SA"/>
                    </w:rPr>
                    <w:t>36</w:t>
                  </w:r>
                  <w:r>
                    <w:rPr>
                      <w:rFonts w:hint="default" w:ascii="Times New Roman" w:hAnsi="Times New Roman" w:eastAsia="宋体" w:cs="Times New Roman"/>
                      <w:b w:val="0"/>
                      <w:bCs w:val="0"/>
                      <w:color w:val="auto"/>
                      <w:kern w:val="2"/>
                      <w:sz w:val="21"/>
                      <w:szCs w:val="21"/>
                      <w:lang w:val="en-US" w:eastAsia="zh-CN" w:bidi="ar-SA"/>
                    </w:rPr>
                    <w:t>H</w:t>
                  </w:r>
                  <w:r>
                    <w:rPr>
                      <w:rFonts w:hint="default" w:ascii="Times New Roman" w:hAnsi="Times New Roman" w:eastAsia="宋体" w:cs="Times New Roman"/>
                      <w:b w:val="0"/>
                      <w:bCs w:val="0"/>
                      <w:color w:val="auto"/>
                      <w:kern w:val="2"/>
                      <w:sz w:val="21"/>
                      <w:szCs w:val="21"/>
                      <w:vertAlign w:val="subscript"/>
                      <w:lang w:val="en-US" w:eastAsia="zh-CN" w:bidi="ar-SA"/>
                    </w:rPr>
                    <w:t>70</w:t>
                  </w:r>
                  <w:r>
                    <w:rPr>
                      <w:rFonts w:hint="default" w:ascii="Times New Roman" w:hAnsi="Times New Roman" w:eastAsia="宋体" w:cs="Times New Roman"/>
                      <w:b w:val="0"/>
                      <w:bCs w:val="0"/>
                      <w:color w:val="auto"/>
                      <w:kern w:val="2"/>
                      <w:sz w:val="21"/>
                      <w:szCs w:val="21"/>
                      <w:lang w:val="en-US" w:eastAsia="zh-CN" w:bidi="ar-SA"/>
                    </w:rPr>
                    <w:t>CaO</w:t>
                  </w:r>
                  <w:r>
                    <w:rPr>
                      <w:rFonts w:hint="default" w:ascii="Times New Roman" w:hAnsi="Times New Roman" w:eastAsia="宋体" w:cs="Times New Roman"/>
                      <w:b w:val="0"/>
                      <w:bCs w:val="0"/>
                      <w:color w:val="auto"/>
                      <w:kern w:val="2"/>
                      <w:sz w:val="21"/>
                      <w:szCs w:val="21"/>
                      <w:vertAlign w:val="subscript"/>
                      <w:lang w:val="en-US" w:eastAsia="zh-CN" w:bidi="ar-SA"/>
                    </w:rPr>
                    <w:t>4</w:t>
                  </w:r>
                  <w:r>
                    <w:rPr>
                      <w:rFonts w:hint="default" w:ascii="Times New Roman" w:hAnsi="Times New Roman" w:eastAsia="宋体" w:cs="Times New Roman"/>
                      <w:b w:val="0"/>
                      <w:bCs w:val="0"/>
                      <w:color w:val="auto"/>
                      <w:kern w:val="2"/>
                      <w:sz w:val="21"/>
                      <w:szCs w:val="21"/>
                      <w:lang w:val="en-US" w:eastAsia="zh-CN" w:bidi="ar-SA"/>
                    </w:rPr>
                    <w:t>，白色粉末，不溶于水，可用作防水剂、润滑剂和塑料助剂等。密度：1.08g/cm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熔点：147-149°C</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沸点：359.4ºC at 760 mmHg</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闪点：162.4ºC</w:t>
                  </w:r>
                  <w:r>
                    <w:rPr>
                      <w:rFonts w:hint="eastAsia" w:ascii="Times New Roman" w:hAnsi="Times New Roman" w:eastAsia="宋体" w:cs="Times New Roman"/>
                      <w:b w:val="0"/>
                      <w:bCs w:val="0"/>
                      <w:color w:val="auto"/>
                      <w:kern w:val="2"/>
                      <w:sz w:val="21"/>
                      <w:szCs w:val="21"/>
                      <w:lang w:val="en-US" w:eastAsia="zh-CN" w:bidi="ar-SA"/>
                    </w:rPr>
                    <w:t>。</w:t>
                  </w:r>
                </w:p>
              </w:tc>
              <w:tc>
                <w:tcPr>
                  <w:tcW w:w="583" w:type="pct"/>
                  <w:noWrap/>
                  <w:vAlign w:val="center"/>
                </w:tcPr>
                <w:p w14:paraId="7E2B92A0">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可燃</w:t>
                  </w:r>
                </w:p>
              </w:tc>
              <w:tc>
                <w:tcPr>
                  <w:tcW w:w="656" w:type="pct"/>
                  <w:noWrap/>
                  <w:vAlign w:val="center"/>
                </w:tcPr>
                <w:p w14:paraId="09AE56C3">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有毒</w:t>
                  </w:r>
                </w:p>
              </w:tc>
            </w:tr>
            <w:tr w14:paraId="5E5E5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52" w:type="pct"/>
                  <w:gridSpan w:val="2"/>
                  <w:noWrap/>
                  <w:vAlign w:val="center"/>
                </w:tcPr>
                <w:p w14:paraId="5C29FD3E">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p>
                <w:p w14:paraId="7EC895BF">
                  <w:pPr>
                    <w:pStyle w:val="3"/>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-460375</wp:posOffset>
                            </wp:positionH>
                            <wp:positionV relativeFrom="paragraph">
                              <wp:posOffset>-154305</wp:posOffset>
                            </wp:positionV>
                            <wp:extent cx="327660" cy="8255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7660" cy="825500"/>
                                    </a:xfrm>
                                    <a:prstGeom prst="rect">
                                      <a:avLst/>
                                    </a:prstGeom>
                                    <a:noFill/>
                                    <a:ln>
                                      <a:noFill/>
                                    </a:ln>
                                  </wps:spPr>
                                  <wps:txbx>
                                    <w:txbxContent>
                                      <w:p w14:paraId="03A4DD13">
                                        <w:pPr>
                                          <w:jc w:val="center"/>
                                          <w:rPr>
                                            <w:rFonts w:hint="eastAsia" w:cs="宋体"/>
                                            <w:szCs w:val="21"/>
                                          </w:rPr>
                                        </w:pPr>
                                        <w:r>
                                          <w:rPr>
                                            <w:rFonts w:hint="eastAsia" w:cs="宋体"/>
                                            <w:szCs w:val="21"/>
                                          </w:rPr>
                                          <w:t>建</w:t>
                                        </w:r>
                                      </w:p>
                                      <w:p w14:paraId="0EFE866C">
                                        <w:pPr>
                                          <w:jc w:val="center"/>
                                          <w:rPr>
                                            <w:rFonts w:hint="eastAsia" w:cs="宋体"/>
                                            <w:szCs w:val="21"/>
                                          </w:rPr>
                                        </w:pPr>
                                        <w:r>
                                          <w:rPr>
                                            <w:rFonts w:hint="eastAsia" w:cs="宋体"/>
                                            <w:szCs w:val="21"/>
                                          </w:rPr>
                                          <w:t>设</w:t>
                                        </w:r>
                                      </w:p>
                                      <w:p w14:paraId="280BFAD4">
                                        <w:pPr>
                                          <w:jc w:val="center"/>
                                          <w:rPr>
                                            <w:rFonts w:hint="eastAsia" w:cs="宋体"/>
                                            <w:szCs w:val="21"/>
                                          </w:rPr>
                                        </w:pPr>
                                        <w:r>
                                          <w:rPr>
                                            <w:rFonts w:hint="eastAsia" w:cs="宋体"/>
                                            <w:szCs w:val="21"/>
                                          </w:rPr>
                                          <w:t>内</w:t>
                                        </w:r>
                                      </w:p>
                                      <w:p w14:paraId="74C5FEFB">
                                        <w:pPr>
                                          <w:jc w:val="center"/>
                                        </w:pPr>
                                        <w:r>
                                          <w:rPr>
                                            <w:rFonts w:hint="eastAsia" w:cs="宋体"/>
                                            <w:szCs w:val="21"/>
                                          </w:rPr>
                                          <w:t>容</w:t>
                                        </w:r>
                                      </w:p>
                                    </w:txbxContent>
                                  </wps:txbx>
                                  <wps:bodyPr upright="1"/>
                                </wps:wsp>
                              </a:graphicData>
                            </a:graphic>
                          </wp:anchor>
                        </w:drawing>
                      </mc:Choice>
                      <mc:Fallback>
                        <w:pict>
                          <v:shape id="_x0000_s1026" o:spid="_x0000_s1026" o:spt="202" type="#_x0000_t202" style="position:absolute;left:0pt;margin-left:-36.25pt;margin-top:-12.15pt;height:65pt;width:25.8pt;z-index:251672576;mso-width-relative:page;mso-height-relative:page;" filled="f" stroked="f" coordsize="21600,21600" o:gfxdata="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V9wSvY&#10;AAAACwEAAA8AAAAAAAAAAQAgAAAAIgAAAGRycy9kb3ducmV2LnhtbFBLAQIUABQAAAAIAIdO4kAQ&#10;k6hqrgEAAE8DAAAOAAAAAAAAAAEAIAAAACcBAABkcnMvZTJvRG9jLnhtbFBLBQYAAAAABgAGAFkB&#10;AABHBQAAAAA=&#10;">
                            <v:fill on="f" focussize="0,0"/>
                            <v:stroke on="f"/>
                            <v:imagedata o:title=""/>
                            <o:lock v:ext="edit" aspectratio="f"/>
                            <v:textbox>
                              <w:txbxContent>
                                <w:p w14:paraId="03A4DD13">
                                  <w:pPr>
                                    <w:jc w:val="center"/>
                                    <w:rPr>
                                      <w:rFonts w:hint="eastAsia" w:cs="宋体"/>
                                      <w:szCs w:val="21"/>
                                    </w:rPr>
                                  </w:pPr>
                                  <w:r>
                                    <w:rPr>
                                      <w:rFonts w:hint="eastAsia" w:cs="宋体"/>
                                      <w:szCs w:val="21"/>
                                    </w:rPr>
                                    <w:t>建</w:t>
                                  </w:r>
                                </w:p>
                                <w:p w14:paraId="0EFE866C">
                                  <w:pPr>
                                    <w:jc w:val="center"/>
                                    <w:rPr>
                                      <w:rFonts w:hint="eastAsia" w:cs="宋体"/>
                                      <w:szCs w:val="21"/>
                                    </w:rPr>
                                  </w:pPr>
                                  <w:r>
                                    <w:rPr>
                                      <w:rFonts w:hint="eastAsia" w:cs="宋体"/>
                                      <w:szCs w:val="21"/>
                                    </w:rPr>
                                    <w:t>设</w:t>
                                  </w:r>
                                </w:p>
                                <w:p w14:paraId="280BFAD4">
                                  <w:pPr>
                                    <w:jc w:val="center"/>
                                    <w:rPr>
                                      <w:rFonts w:hint="eastAsia" w:cs="宋体"/>
                                      <w:szCs w:val="21"/>
                                    </w:rPr>
                                  </w:pPr>
                                  <w:r>
                                    <w:rPr>
                                      <w:rFonts w:hint="eastAsia" w:cs="宋体"/>
                                      <w:szCs w:val="21"/>
                                    </w:rPr>
                                    <w:t>内</w:t>
                                  </w:r>
                                </w:p>
                                <w:p w14:paraId="74C5FEFB">
                                  <w:pPr>
                                    <w:jc w:val="center"/>
                                  </w:pPr>
                                  <w:r>
                                    <w:rPr>
                                      <w:rFonts w:hint="eastAsia" w:cs="宋体"/>
                                      <w:szCs w:val="21"/>
                                    </w:rPr>
                                    <w:t>容</w:t>
                                  </w:r>
                                </w:p>
                              </w:txbxContent>
                            </v:textbox>
                          </v:shape>
                        </w:pict>
                      </mc:Fallback>
                    </mc:AlternateContent>
                  </w:r>
                  <w:r>
                    <w:rPr>
                      <w:rFonts w:hint="eastAsia" w:ascii="Times New Roman" w:hAnsi="Times New Roman" w:eastAsia="宋体" w:cs="Times New Roman"/>
                      <w:b w:val="0"/>
                      <w:bCs w:val="0"/>
                      <w:color w:val="auto"/>
                      <w:kern w:val="2"/>
                      <w:sz w:val="21"/>
                      <w:szCs w:val="21"/>
                      <w:lang w:val="en-US" w:eastAsia="zh-CN" w:bidi="ar-SA"/>
                    </w:rPr>
                    <w:t>氮气</w:t>
                  </w:r>
                </w:p>
              </w:tc>
              <w:tc>
                <w:tcPr>
                  <w:tcW w:w="518" w:type="pct"/>
                  <w:noWrap/>
                  <w:vAlign w:val="center"/>
                </w:tcPr>
                <w:p w14:paraId="1A2F2590">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789" w:type="pct"/>
                  <w:noWrap/>
                  <w:vAlign w:val="center"/>
                </w:tcPr>
                <w:p w14:paraId="2B202FBC">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氮气（Nitrogen），是氮元素形成的一种单质，化学式N</w:t>
                  </w:r>
                  <w:r>
                    <w:rPr>
                      <w:rFonts w:hint="eastAsia" w:ascii="Times New Roman" w:hAnsi="Times New Roman" w:eastAsia="宋体" w:cs="Times New Roman"/>
                      <w:b w:val="0"/>
                      <w:bCs w:val="0"/>
                      <w:color w:val="auto"/>
                      <w:kern w:val="2"/>
                      <w:sz w:val="21"/>
                      <w:szCs w:val="21"/>
                      <w:vertAlign w:val="sub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。常温常压下是一种无色无味的气体。</w:t>
                  </w:r>
                </w:p>
              </w:tc>
              <w:tc>
                <w:tcPr>
                  <w:tcW w:w="583" w:type="pct"/>
                  <w:noWrap/>
                  <w:vAlign w:val="center"/>
                </w:tcPr>
                <w:p w14:paraId="7B66BDA0">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656" w:type="pct"/>
                  <w:noWrap/>
                  <w:vAlign w:val="center"/>
                </w:tcPr>
                <w:p w14:paraId="7A0066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371D2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52" w:type="pct"/>
                  <w:gridSpan w:val="2"/>
                  <w:noWrap/>
                  <w:vAlign w:val="center"/>
                </w:tcPr>
                <w:p w14:paraId="495B4E8E">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切</w:t>
                  </w:r>
                </w:p>
                <w:p w14:paraId="5967A698">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削</w:t>
                  </w:r>
                </w:p>
                <w:p w14:paraId="02F0A4D7">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液</w:t>
                  </w:r>
                </w:p>
              </w:tc>
              <w:tc>
                <w:tcPr>
                  <w:tcW w:w="518" w:type="pct"/>
                  <w:noWrap/>
                  <w:vAlign w:val="center"/>
                </w:tcPr>
                <w:p w14:paraId="6866FD0C">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789" w:type="pct"/>
                  <w:noWrap/>
                  <w:vAlign w:val="center"/>
                </w:tcPr>
                <w:p w14:paraId="4AF1F5F2">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bCs/>
                      <w:color w:val="auto"/>
                      <w:kern w:val="0"/>
                      <w:szCs w:val="21"/>
                    </w:rPr>
                    <w:t>琥珀色透明液体，具有特殊气味，相对密度（水=1）0.8~0.9g/cm</w:t>
                  </w:r>
                  <w:r>
                    <w:rPr>
                      <w:bCs/>
                      <w:color w:val="auto"/>
                      <w:kern w:val="0"/>
                      <w:szCs w:val="21"/>
                      <w:vertAlign w:val="superscript"/>
                    </w:rPr>
                    <w:t>3</w:t>
                  </w:r>
                  <w:r>
                    <w:rPr>
                      <w:bCs/>
                      <w:color w:val="auto"/>
                      <w:kern w:val="0"/>
                      <w:szCs w:val="21"/>
                    </w:rPr>
                    <w:t>，不易燃</w:t>
                  </w:r>
                </w:p>
              </w:tc>
              <w:tc>
                <w:tcPr>
                  <w:tcW w:w="583" w:type="pct"/>
                  <w:noWrap/>
                  <w:vAlign w:val="center"/>
                </w:tcPr>
                <w:p w14:paraId="40D89A2D">
                  <w:pPr>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bCs/>
                      <w:color w:val="auto"/>
                      <w:kern w:val="0"/>
                      <w:szCs w:val="21"/>
                    </w:rPr>
                    <w:t>不易燃</w:t>
                  </w:r>
                </w:p>
              </w:tc>
              <w:tc>
                <w:tcPr>
                  <w:tcW w:w="656" w:type="pct"/>
                  <w:noWrap/>
                  <w:vAlign w:val="center"/>
                </w:tcPr>
                <w:p w14:paraId="7969D1C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r>
            <w:tr w14:paraId="235E3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52" w:type="pct"/>
                  <w:gridSpan w:val="2"/>
                  <w:noWrap/>
                  <w:vAlign w:val="center"/>
                </w:tcPr>
                <w:p w14:paraId="69FABA3C">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p>
                <w:p w14:paraId="57BDA3B6">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润</w:t>
                  </w:r>
                </w:p>
                <w:p w14:paraId="41DBD4B7">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滑</w:t>
                  </w:r>
                </w:p>
                <w:p w14:paraId="4F025829">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油</w:t>
                  </w:r>
                </w:p>
              </w:tc>
              <w:tc>
                <w:tcPr>
                  <w:tcW w:w="518" w:type="pct"/>
                  <w:noWrap/>
                  <w:vAlign w:val="center"/>
                </w:tcPr>
                <w:p w14:paraId="4B3F8D83">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789" w:type="pct"/>
                  <w:noWrap/>
                  <w:vAlign w:val="center"/>
                </w:tcPr>
                <w:p w14:paraId="07B90FF2">
                  <w:pPr>
                    <w:pStyle w:val="3"/>
                    <w:adjustRightInd w:val="0"/>
                    <w:snapToGrid w:val="0"/>
                    <w:jc w:val="center"/>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淡黄色至褐色油状液体，无气味或略带气味，相对密度（水=1）0.9~0.99g/cm</w:t>
                  </w:r>
                  <w:r>
                    <w:rPr>
                      <w:rFonts w:hint="eastAsia" w:ascii="Times New Roman" w:hAnsi="Times New Roman" w:eastAsia="宋体" w:cs="Times New Roman"/>
                      <w:b w:val="0"/>
                      <w:bCs/>
                      <w:color w:val="auto"/>
                      <w:kern w:val="0"/>
                      <w:sz w:val="21"/>
                      <w:szCs w:val="21"/>
                      <w:vertAlign w:val="superscript"/>
                      <w:lang w:val="en-US" w:eastAsia="zh-CN" w:bidi="ar-SA"/>
                    </w:rPr>
                    <w:t>3</w:t>
                  </w:r>
                  <w:r>
                    <w:rPr>
                      <w:rFonts w:hint="eastAsia" w:ascii="Times New Roman" w:hAnsi="Times New Roman" w:eastAsia="宋体" w:cs="Times New Roman"/>
                      <w:b w:val="0"/>
                      <w:bCs/>
                      <w:color w:val="auto"/>
                      <w:kern w:val="0"/>
                      <w:sz w:val="21"/>
                      <w:szCs w:val="21"/>
                      <w:lang w:val="en-US" w:eastAsia="zh-CN" w:bidi="ar-SA"/>
                    </w:rPr>
                    <w:t>，不易燃。</w:t>
                  </w:r>
                </w:p>
              </w:tc>
              <w:tc>
                <w:tcPr>
                  <w:tcW w:w="583" w:type="pct"/>
                  <w:noWrap/>
                  <w:vAlign w:val="center"/>
                </w:tcPr>
                <w:p w14:paraId="7E176EF0">
                  <w:pPr>
                    <w:pStyle w:val="3"/>
                    <w:adjustRightInd w:val="0"/>
                    <w:snapToGrid w:val="0"/>
                    <w:jc w:val="center"/>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遇高热、明火可燃</w:t>
                  </w:r>
                </w:p>
              </w:tc>
              <w:tc>
                <w:tcPr>
                  <w:tcW w:w="656" w:type="pct"/>
                  <w:noWrap/>
                  <w:vAlign w:val="center"/>
                </w:tcPr>
                <w:p w14:paraId="5D9E2841">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低毒，可能刺激皮肤和引发过敏</w:t>
                  </w:r>
                </w:p>
              </w:tc>
            </w:tr>
            <w:tr w14:paraId="56C3B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52" w:type="pct"/>
                  <w:gridSpan w:val="2"/>
                  <w:noWrap/>
                  <w:vAlign w:val="center"/>
                </w:tcPr>
                <w:p w14:paraId="731B2AAC">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脱模剂</w:t>
                  </w:r>
                </w:p>
              </w:tc>
              <w:tc>
                <w:tcPr>
                  <w:tcW w:w="518" w:type="pct"/>
                  <w:noWrap/>
                  <w:vAlign w:val="center"/>
                </w:tcPr>
                <w:p w14:paraId="3022FC25">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789" w:type="pct"/>
                  <w:noWrap/>
                  <w:vAlign w:val="center"/>
                </w:tcPr>
                <w:p w14:paraId="7F08E2A6">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乳白色液体，主要成分为金刚石纳米粉30%、合成表面活性剂10%、悬浮剂10%、水30%、渗透剂20%，密度1.03g/cm</w:t>
                  </w:r>
                  <w:r>
                    <w:rPr>
                      <w:rFonts w:hint="eastAsia"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，粘度14-18，遇火不燃烧。</w:t>
                  </w:r>
                </w:p>
              </w:tc>
              <w:tc>
                <w:tcPr>
                  <w:tcW w:w="583" w:type="pct"/>
                  <w:noWrap/>
                  <w:vAlign w:val="center"/>
                </w:tcPr>
                <w:p w14:paraId="77E45156">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不易燃</w:t>
                  </w:r>
                </w:p>
              </w:tc>
              <w:tc>
                <w:tcPr>
                  <w:tcW w:w="656" w:type="pct"/>
                  <w:noWrap/>
                  <w:vAlign w:val="center"/>
                </w:tcPr>
                <w:p w14:paraId="7489FF9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r>
            <w:tr w14:paraId="792A3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52" w:type="pct"/>
                  <w:gridSpan w:val="2"/>
                  <w:noWrap/>
                  <w:vAlign w:val="center"/>
                </w:tcPr>
                <w:p w14:paraId="4272B873">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铝灰渣</w:t>
                  </w:r>
                </w:p>
              </w:tc>
              <w:tc>
                <w:tcPr>
                  <w:tcW w:w="518" w:type="pct"/>
                  <w:noWrap/>
                  <w:vAlign w:val="center"/>
                </w:tcPr>
                <w:p w14:paraId="2BC5EF06">
                  <w:pPr>
                    <w:pStyle w:val="3"/>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789" w:type="pct"/>
                  <w:noWrap/>
                  <w:vAlign w:val="center"/>
                </w:tcPr>
                <w:p w14:paraId="6CAB0097">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铝灰渣是一种含有铝的化学物质，铝灰具有物理和化学性质，常温下为灰色颗粒状或块状颜色，极易与水发生反应，产生氢气，还容易引发火灾和爆炸。</w:t>
                  </w:r>
                </w:p>
              </w:tc>
              <w:tc>
                <w:tcPr>
                  <w:tcW w:w="583" w:type="pct"/>
                  <w:noWrap/>
                  <w:vAlign w:val="center"/>
                </w:tcPr>
                <w:p w14:paraId="033DC4EE">
                  <w:pPr>
                    <w:pStyle w:val="3"/>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可燃</w:t>
                  </w:r>
                </w:p>
              </w:tc>
              <w:tc>
                <w:tcPr>
                  <w:tcW w:w="656" w:type="pct"/>
                  <w:noWrap/>
                  <w:vAlign w:val="center"/>
                </w:tcPr>
                <w:p w14:paraId="3D1C4B1B">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w:t>
                  </w:r>
                </w:p>
              </w:tc>
            </w:tr>
          </w:tbl>
          <w:p w14:paraId="54B6D1D5">
            <w:pPr>
              <w:adjustRightInd w:val="0"/>
              <w:snapToGrid w:val="0"/>
              <w:spacing w:line="360" w:lineRule="auto"/>
              <w:ind w:firstLine="422" w:firstLineChars="200"/>
              <w:jc w:val="left"/>
              <w:rPr>
                <w:rFonts w:hint="eastAsia"/>
                <w:b/>
                <w:bCs/>
                <w:color w:val="auto"/>
                <w:lang w:val="en-US" w:eastAsia="zh-CN"/>
              </w:rPr>
            </w:pPr>
          </w:p>
          <w:p w14:paraId="0F3A6384">
            <w:pPr>
              <w:adjustRightInd w:val="0"/>
              <w:snapToGrid w:val="0"/>
              <w:spacing w:line="360" w:lineRule="auto"/>
              <w:ind w:firstLine="422" w:firstLineChars="200"/>
              <w:jc w:val="left"/>
              <w:rPr>
                <w:rFonts w:hint="eastAsia"/>
                <w:b/>
                <w:bCs/>
                <w:color w:val="auto"/>
                <w:lang w:val="en-US" w:eastAsia="zh-CN"/>
              </w:rPr>
            </w:pPr>
          </w:p>
          <w:p w14:paraId="38F35632">
            <w:pPr>
              <w:adjustRightInd w:val="0"/>
              <w:snapToGrid w:val="0"/>
              <w:spacing w:line="360" w:lineRule="auto"/>
              <w:ind w:firstLine="422" w:firstLineChars="200"/>
              <w:jc w:val="left"/>
              <w:rPr>
                <w:rFonts w:hint="eastAsia"/>
                <w:b/>
                <w:bCs/>
                <w:color w:val="auto"/>
                <w:lang w:val="en-US" w:eastAsia="zh-CN"/>
              </w:rPr>
            </w:pPr>
            <w:r>
              <w:rPr>
                <w:rFonts w:hint="eastAsia"/>
                <w:b/>
                <w:bCs/>
                <w:color w:val="auto"/>
                <w:lang w:val="en-US" w:eastAsia="zh-CN"/>
              </w:rPr>
              <w:t>2.5全厂VOCs衡算</w:t>
            </w:r>
          </w:p>
          <w:p w14:paraId="2BDAA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 w:val="21"/>
                <w:szCs w:val="21"/>
              </w:rPr>
            </w:pPr>
            <w:r>
              <w:rPr>
                <w:rFonts w:hAnsi="宋体"/>
                <w:b/>
                <w:color w:val="auto"/>
                <w:sz w:val="21"/>
                <w:szCs w:val="21"/>
              </w:rPr>
              <w:t>表</w:t>
            </w:r>
            <w:r>
              <w:rPr>
                <w:rFonts w:hint="eastAsia"/>
                <w:b/>
                <w:color w:val="auto"/>
                <w:sz w:val="21"/>
                <w:szCs w:val="21"/>
              </w:rPr>
              <w:t>2-7</w:t>
            </w:r>
            <w:r>
              <w:rPr>
                <w:rFonts w:hint="eastAsia" w:hAnsi="宋体"/>
                <w:b/>
                <w:color w:val="auto"/>
                <w:sz w:val="21"/>
                <w:szCs w:val="21"/>
              </w:rPr>
              <w:t>全厂VOCs</w:t>
            </w:r>
            <w:r>
              <w:rPr>
                <w:rFonts w:hAnsi="宋体"/>
                <w:b/>
                <w:color w:val="auto"/>
                <w:sz w:val="21"/>
                <w:szCs w:val="21"/>
              </w:rPr>
              <w:t>物料平衡一览表单位：</w:t>
            </w:r>
            <w:r>
              <w:rPr>
                <w:b/>
                <w:color w:val="auto"/>
                <w:sz w:val="21"/>
                <w:szCs w:val="21"/>
              </w:rPr>
              <w:t>t/a</w:t>
            </w:r>
          </w:p>
          <w:tbl>
            <w:tblPr>
              <w:tblStyle w:val="25"/>
              <w:tblW w:w="8419"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502"/>
              <w:gridCol w:w="1431"/>
              <w:gridCol w:w="1121"/>
              <w:gridCol w:w="1121"/>
              <w:gridCol w:w="1122"/>
              <w:gridCol w:w="1122"/>
            </w:tblGrid>
            <w:tr w14:paraId="11FEBF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2" w:hRule="atLeast"/>
              </w:trPr>
              <w:tc>
                <w:tcPr>
                  <w:tcW w:w="3933" w:type="dxa"/>
                  <w:gridSpan w:val="2"/>
                  <w:shd w:val="clear" w:color="auto" w:fill="auto"/>
                  <w:noWrap/>
                  <w:vAlign w:val="center"/>
                </w:tcPr>
                <w:p w14:paraId="7698736A">
                  <w:pPr>
                    <w:widowControl/>
                    <w:jc w:val="center"/>
                    <w:rPr>
                      <w:rFonts w:ascii="宋体" w:hAnsi="宋体" w:cs="宋体"/>
                      <w:b/>
                      <w:color w:val="auto"/>
                      <w:kern w:val="0"/>
                      <w:szCs w:val="21"/>
                    </w:rPr>
                  </w:pPr>
                  <w:r>
                    <w:rPr>
                      <w:rFonts w:hint="eastAsia" w:ascii="宋体" w:hAnsi="宋体" w:cs="宋体"/>
                      <w:b/>
                      <w:color w:val="auto"/>
                      <w:kern w:val="0"/>
                      <w:szCs w:val="21"/>
                    </w:rPr>
                    <w:t>入方</w:t>
                  </w:r>
                </w:p>
              </w:tc>
              <w:tc>
                <w:tcPr>
                  <w:tcW w:w="4486" w:type="dxa"/>
                  <w:gridSpan w:val="4"/>
                  <w:shd w:val="clear" w:color="auto" w:fill="auto"/>
                  <w:noWrap/>
                  <w:vAlign w:val="center"/>
                </w:tcPr>
                <w:p w14:paraId="0F191152">
                  <w:pPr>
                    <w:widowControl/>
                    <w:jc w:val="center"/>
                    <w:rPr>
                      <w:rFonts w:ascii="宋体" w:hAnsi="宋体" w:cs="宋体"/>
                      <w:b/>
                      <w:color w:val="auto"/>
                      <w:kern w:val="0"/>
                      <w:szCs w:val="21"/>
                    </w:rPr>
                  </w:pPr>
                  <w:r>
                    <w:rPr>
                      <w:rFonts w:hint="eastAsia" w:ascii="宋体" w:hAnsi="宋体" w:cs="宋体"/>
                      <w:b/>
                      <w:color w:val="auto"/>
                      <w:kern w:val="0"/>
                      <w:szCs w:val="21"/>
                    </w:rPr>
                    <w:t>出方</w:t>
                  </w:r>
                </w:p>
              </w:tc>
            </w:tr>
            <w:tr w14:paraId="6EB208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9" w:hRule="atLeast"/>
              </w:trPr>
              <w:tc>
                <w:tcPr>
                  <w:tcW w:w="2502" w:type="dxa"/>
                  <w:shd w:val="clear" w:color="auto" w:fill="auto"/>
                  <w:noWrap/>
                  <w:vAlign w:val="center"/>
                </w:tcPr>
                <w:p w14:paraId="754B602E">
                  <w:pPr>
                    <w:widowControl/>
                    <w:jc w:val="center"/>
                    <w:rPr>
                      <w:rFonts w:ascii="宋体" w:hAnsi="宋体" w:cs="宋体"/>
                      <w:b/>
                      <w:color w:val="auto"/>
                      <w:kern w:val="0"/>
                      <w:szCs w:val="21"/>
                    </w:rPr>
                  </w:pPr>
                  <w:r>
                    <w:rPr>
                      <w:rFonts w:hint="eastAsia" w:ascii="宋体" w:hAnsi="宋体" w:cs="宋体"/>
                      <w:b/>
                      <w:color w:val="auto"/>
                      <w:kern w:val="0"/>
                      <w:szCs w:val="21"/>
                    </w:rPr>
                    <w:t>名称</w:t>
                  </w:r>
                </w:p>
              </w:tc>
              <w:tc>
                <w:tcPr>
                  <w:tcW w:w="1431" w:type="dxa"/>
                  <w:shd w:val="clear" w:color="auto" w:fill="auto"/>
                  <w:noWrap/>
                  <w:vAlign w:val="center"/>
                </w:tcPr>
                <w:p w14:paraId="07DE4A3B">
                  <w:pPr>
                    <w:widowControl/>
                    <w:jc w:val="center"/>
                    <w:rPr>
                      <w:b/>
                      <w:color w:val="auto"/>
                      <w:kern w:val="0"/>
                      <w:szCs w:val="21"/>
                    </w:rPr>
                  </w:pPr>
                  <w:r>
                    <w:rPr>
                      <w:b/>
                      <w:color w:val="auto"/>
                      <w:kern w:val="0"/>
                      <w:szCs w:val="21"/>
                    </w:rPr>
                    <w:t>VOCs</w:t>
                  </w:r>
                  <w:r>
                    <w:rPr>
                      <w:rFonts w:hint="eastAsia" w:ascii="宋体" w:hAnsi="宋体"/>
                      <w:b/>
                      <w:color w:val="auto"/>
                      <w:kern w:val="0"/>
                      <w:szCs w:val="21"/>
                    </w:rPr>
                    <w:t>含量</w:t>
                  </w:r>
                </w:p>
              </w:tc>
              <w:tc>
                <w:tcPr>
                  <w:tcW w:w="3364" w:type="dxa"/>
                  <w:gridSpan w:val="3"/>
                  <w:shd w:val="clear" w:color="auto" w:fill="auto"/>
                  <w:noWrap/>
                  <w:vAlign w:val="center"/>
                </w:tcPr>
                <w:p w14:paraId="70EB94AC">
                  <w:pPr>
                    <w:widowControl/>
                    <w:jc w:val="center"/>
                    <w:rPr>
                      <w:rFonts w:ascii="宋体" w:hAnsi="宋体" w:cs="宋体"/>
                      <w:b/>
                      <w:color w:val="auto"/>
                      <w:kern w:val="0"/>
                      <w:szCs w:val="21"/>
                    </w:rPr>
                  </w:pPr>
                  <w:r>
                    <w:rPr>
                      <w:rFonts w:hint="eastAsia" w:ascii="宋体" w:hAnsi="宋体" w:cs="宋体"/>
                      <w:b/>
                      <w:color w:val="auto"/>
                      <w:kern w:val="0"/>
                      <w:szCs w:val="21"/>
                    </w:rPr>
                    <w:t>名称</w:t>
                  </w:r>
                </w:p>
              </w:tc>
              <w:tc>
                <w:tcPr>
                  <w:tcW w:w="1122" w:type="dxa"/>
                  <w:shd w:val="clear" w:color="auto" w:fill="auto"/>
                  <w:noWrap/>
                  <w:vAlign w:val="center"/>
                </w:tcPr>
                <w:p w14:paraId="4D0D9F7B">
                  <w:pPr>
                    <w:widowControl/>
                    <w:jc w:val="center"/>
                    <w:rPr>
                      <w:rFonts w:ascii="宋体" w:hAnsi="宋体" w:cs="宋体"/>
                      <w:b/>
                      <w:color w:val="auto"/>
                      <w:kern w:val="0"/>
                      <w:szCs w:val="21"/>
                    </w:rPr>
                  </w:pPr>
                  <w:r>
                    <w:rPr>
                      <w:rFonts w:hint="eastAsia" w:ascii="宋体" w:hAnsi="宋体" w:cs="宋体"/>
                      <w:b/>
                      <w:color w:val="auto"/>
                      <w:kern w:val="0"/>
                      <w:szCs w:val="21"/>
                    </w:rPr>
                    <w:t>含量</w:t>
                  </w:r>
                </w:p>
              </w:tc>
            </w:tr>
            <w:tr w14:paraId="4360DA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4" w:hRule="atLeast"/>
              </w:trPr>
              <w:tc>
                <w:tcPr>
                  <w:tcW w:w="2502" w:type="dxa"/>
                  <w:shd w:val="clear" w:color="auto" w:fill="auto"/>
                  <w:noWrap/>
                  <w:vAlign w:val="center"/>
                </w:tcPr>
                <w:p w14:paraId="286A01C8">
                  <w:pPr>
                    <w:widowControl/>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覆膜砂</w:t>
                  </w:r>
                </w:p>
              </w:tc>
              <w:tc>
                <w:tcPr>
                  <w:tcW w:w="1431" w:type="dxa"/>
                  <w:shd w:val="clear" w:color="auto" w:fill="auto"/>
                  <w:noWrap/>
                  <w:vAlign w:val="center"/>
                </w:tcPr>
                <w:p w14:paraId="148BE73F">
                  <w:pPr>
                    <w:widowControl/>
                    <w:jc w:val="center"/>
                    <w:rPr>
                      <w:rFonts w:hint="default" w:eastAsia="宋体"/>
                      <w:color w:val="auto"/>
                      <w:kern w:val="0"/>
                      <w:szCs w:val="21"/>
                      <w:lang w:val="en-US" w:eastAsia="zh-CN"/>
                    </w:rPr>
                  </w:pPr>
                  <w:r>
                    <w:rPr>
                      <w:rFonts w:hint="eastAsia"/>
                      <w:color w:val="auto"/>
                      <w:kern w:val="0"/>
                      <w:szCs w:val="21"/>
                      <w:lang w:val="en-US" w:eastAsia="zh-CN"/>
                    </w:rPr>
                    <w:t>1.635</w:t>
                  </w:r>
                </w:p>
              </w:tc>
              <w:tc>
                <w:tcPr>
                  <w:tcW w:w="1121" w:type="dxa"/>
                  <w:vMerge w:val="restart"/>
                  <w:shd w:val="clear" w:color="auto" w:fill="auto"/>
                  <w:noWrap/>
                  <w:vAlign w:val="center"/>
                </w:tcPr>
                <w:p w14:paraId="0F72AA09">
                  <w:pPr>
                    <w:widowControl/>
                    <w:jc w:val="center"/>
                    <w:rPr>
                      <w:rFonts w:ascii="宋体" w:hAnsi="宋体" w:cs="宋体"/>
                      <w:color w:val="auto"/>
                      <w:kern w:val="0"/>
                      <w:szCs w:val="21"/>
                    </w:rPr>
                  </w:pPr>
                  <w:r>
                    <w:rPr>
                      <w:rFonts w:hint="eastAsia" w:ascii="宋体" w:hAnsi="宋体" w:cs="宋体"/>
                      <w:color w:val="auto"/>
                      <w:kern w:val="0"/>
                      <w:szCs w:val="21"/>
                    </w:rPr>
                    <w:t>废气</w:t>
                  </w:r>
                </w:p>
              </w:tc>
              <w:tc>
                <w:tcPr>
                  <w:tcW w:w="1121" w:type="dxa"/>
                  <w:vMerge w:val="restart"/>
                  <w:shd w:val="clear" w:color="auto" w:fill="auto"/>
                  <w:vAlign w:val="center"/>
                </w:tcPr>
                <w:p w14:paraId="2E162AFC">
                  <w:pPr>
                    <w:widowControl/>
                    <w:jc w:val="center"/>
                    <w:rPr>
                      <w:color w:val="auto"/>
                      <w:kern w:val="0"/>
                      <w:szCs w:val="21"/>
                    </w:rPr>
                  </w:pPr>
                  <w:r>
                    <w:rPr>
                      <w:color w:val="auto"/>
                      <w:kern w:val="0"/>
                      <w:szCs w:val="21"/>
                    </w:rPr>
                    <w:t>VOCs</w:t>
                  </w:r>
                </w:p>
              </w:tc>
              <w:tc>
                <w:tcPr>
                  <w:tcW w:w="1122" w:type="dxa"/>
                  <w:shd w:val="clear" w:color="auto" w:fill="auto"/>
                  <w:vAlign w:val="center"/>
                </w:tcPr>
                <w:p w14:paraId="0A385637">
                  <w:pPr>
                    <w:widowControl/>
                    <w:jc w:val="center"/>
                    <w:rPr>
                      <w:rFonts w:ascii="宋体" w:hAnsi="宋体" w:cs="宋体"/>
                      <w:color w:val="auto"/>
                      <w:kern w:val="0"/>
                      <w:szCs w:val="21"/>
                    </w:rPr>
                  </w:pPr>
                  <w:r>
                    <w:rPr>
                      <w:rFonts w:hint="eastAsia" w:ascii="宋体" w:hAnsi="宋体" w:cs="宋体"/>
                      <w:color w:val="auto"/>
                      <w:kern w:val="0"/>
                      <w:szCs w:val="21"/>
                    </w:rPr>
                    <w:t>有组织</w:t>
                  </w:r>
                </w:p>
              </w:tc>
              <w:tc>
                <w:tcPr>
                  <w:tcW w:w="1122" w:type="dxa"/>
                  <w:shd w:val="clear" w:color="auto" w:fill="auto"/>
                  <w:noWrap/>
                  <w:vAlign w:val="center"/>
                </w:tcPr>
                <w:p w14:paraId="3315DCBB">
                  <w:pPr>
                    <w:widowControl/>
                    <w:jc w:val="center"/>
                    <w:rPr>
                      <w:rFonts w:hint="default" w:eastAsia="宋体"/>
                      <w:color w:val="auto"/>
                      <w:kern w:val="0"/>
                      <w:szCs w:val="21"/>
                      <w:lang w:val="en-US" w:eastAsia="zh-CN"/>
                    </w:rPr>
                  </w:pPr>
                  <w:r>
                    <w:rPr>
                      <w:color w:val="auto"/>
                      <w:kern w:val="0"/>
                      <w:szCs w:val="21"/>
                    </w:rPr>
                    <w:t>0.</w:t>
                  </w:r>
                  <w:r>
                    <w:rPr>
                      <w:rFonts w:hint="eastAsia"/>
                      <w:color w:val="auto"/>
                      <w:kern w:val="0"/>
                      <w:szCs w:val="21"/>
                      <w:lang w:val="en-US" w:eastAsia="zh-CN"/>
                    </w:rPr>
                    <w:t>1482</w:t>
                  </w:r>
                </w:p>
              </w:tc>
            </w:tr>
            <w:tr w14:paraId="5D8A43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9" w:hRule="atLeast"/>
              </w:trPr>
              <w:tc>
                <w:tcPr>
                  <w:tcW w:w="2502" w:type="dxa"/>
                  <w:shd w:val="clear" w:color="auto" w:fill="auto"/>
                  <w:noWrap/>
                </w:tcPr>
                <w:p w14:paraId="1B0FB565">
                  <w:pPr>
                    <w:widowControl/>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脱膜剂</w:t>
                  </w:r>
                </w:p>
              </w:tc>
              <w:tc>
                <w:tcPr>
                  <w:tcW w:w="1431" w:type="dxa"/>
                  <w:shd w:val="clear" w:color="auto" w:fill="auto"/>
                  <w:noWrap/>
                </w:tcPr>
                <w:p w14:paraId="44F60A49">
                  <w:pPr>
                    <w:widowControl/>
                    <w:jc w:val="center"/>
                    <w:rPr>
                      <w:rFonts w:hint="default" w:eastAsia="宋体"/>
                      <w:color w:val="auto"/>
                      <w:kern w:val="0"/>
                      <w:szCs w:val="21"/>
                      <w:lang w:val="en-US" w:eastAsia="zh-CN"/>
                    </w:rPr>
                  </w:pPr>
                  <w:r>
                    <w:rPr>
                      <w:rFonts w:hint="eastAsia"/>
                      <w:color w:val="auto"/>
                      <w:kern w:val="0"/>
                      <w:szCs w:val="21"/>
                      <w:lang w:val="en-US" w:eastAsia="zh-CN"/>
                    </w:rPr>
                    <w:t>0.012</w:t>
                  </w:r>
                </w:p>
              </w:tc>
              <w:tc>
                <w:tcPr>
                  <w:tcW w:w="1121" w:type="dxa"/>
                  <w:vMerge w:val="continue"/>
                  <w:vAlign w:val="center"/>
                </w:tcPr>
                <w:p w14:paraId="62EE8F9D">
                  <w:pPr>
                    <w:widowControl/>
                    <w:jc w:val="left"/>
                    <w:rPr>
                      <w:rFonts w:ascii="宋体" w:hAnsi="宋体" w:cs="宋体"/>
                      <w:color w:val="auto"/>
                      <w:kern w:val="0"/>
                      <w:szCs w:val="21"/>
                    </w:rPr>
                  </w:pPr>
                </w:p>
              </w:tc>
              <w:tc>
                <w:tcPr>
                  <w:tcW w:w="1121" w:type="dxa"/>
                  <w:vMerge w:val="continue"/>
                  <w:vAlign w:val="center"/>
                </w:tcPr>
                <w:p w14:paraId="4A10529A">
                  <w:pPr>
                    <w:widowControl/>
                    <w:jc w:val="left"/>
                    <w:rPr>
                      <w:color w:val="auto"/>
                      <w:kern w:val="0"/>
                      <w:szCs w:val="21"/>
                    </w:rPr>
                  </w:pPr>
                </w:p>
              </w:tc>
              <w:tc>
                <w:tcPr>
                  <w:tcW w:w="1122" w:type="dxa"/>
                  <w:shd w:val="clear" w:color="auto" w:fill="auto"/>
                  <w:vAlign w:val="center"/>
                </w:tcPr>
                <w:p w14:paraId="78FCBE2E">
                  <w:pPr>
                    <w:widowControl/>
                    <w:jc w:val="center"/>
                    <w:rPr>
                      <w:rFonts w:ascii="宋体" w:hAnsi="宋体" w:cs="宋体"/>
                      <w:color w:val="auto"/>
                      <w:kern w:val="0"/>
                      <w:szCs w:val="21"/>
                    </w:rPr>
                  </w:pPr>
                  <w:r>
                    <w:rPr>
                      <w:rFonts w:hint="eastAsia" w:ascii="宋体" w:hAnsi="宋体" w:cs="宋体"/>
                      <w:color w:val="auto"/>
                      <w:kern w:val="0"/>
                      <w:szCs w:val="21"/>
                    </w:rPr>
                    <w:t>无组织</w:t>
                  </w:r>
                </w:p>
              </w:tc>
              <w:tc>
                <w:tcPr>
                  <w:tcW w:w="1122" w:type="dxa"/>
                  <w:shd w:val="clear" w:color="auto" w:fill="auto"/>
                  <w:noWrap/>
                  <w:vAlign w:val="center"/>
                </w:tcPr>
                <w:p w14:paraId="507A3DF0">
                  <w:pPr>
                    <w:widowControl/>
                    <w:jc w:val="center"/>
                    <w:rPr>
                      <w:rFonts w:hint="default" w:eastAsia="宋体"/>
                      <w:color w:val="auto"/>
                      <w:kern w:val="0"/>
                      <w:szCs w:val="21"/>
                      <w:lang w:val="en-US" w:eastAsia="zh-CN"/>
                    </w:rPr>
                  </w:pPr>
                  <w:r>
                    <w:rPr>
                      <w:color w:val="auto"/>
                      <w:kern w:val="0"/>
                      <w:szCs w:val="21"/>
                    </w:rPr>
                    <w:t>0.</w:t>
                  </w:r>
                  <w:r>
                    <w:rPr>
                      <w:rFonts w:hint="eastAsia"/>
                      <w:color w:val="auto"/>
                      <w:kern w:val="0"/>
                      <w:szCs w:val="21"/>
                      <w:lang w:val="en-US" w:eastAsia="zh-CN"/>
                    </w:rPr>
                    <w:t>1677</w:t>
                  </w:r>
                </w:p>
              </w:tc>
            </w:tr>
            <w:tr w14:paraId="6771EC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5" w:hRule="atLeast"/>
              </w:trPr>
              <w:tc>
                <w:tcPr>
                  <w:tcW w:w="2502" w:type="dxa"/>
                  <w:shd w:val="clear" w:color="auto" w:fill="auto"/>
                  <w:noWrap/>
                </w:tcPr>
                <w:p w14:paraId="2235DF49">
                  <w:pPr>
                    <w:widowControl/>
                    <w:jc w:val="center"/>
                    <w:rPr>
                      <w:rFonts w:ascii="宋体" w:hAnsi="宋体" w:cs="宋体"/>
                      <w:color w:val="auto"/>
                      <w:kern w:val="0"/>
                      <w:szCs w:val="21"/>
                    </w:rPr>
                  </w:pPr>
                  <w:r>
                    <w:rPr>
                      <w:rFonts w:hint="eastAsia" w:ascii="宋体" w:hAnsi="宋体" w:cs="宋体"/>
                      <w:color w:val="auto"/>
                      <w:kern w:val="0"/>
                      <w:szCs w:val="21"/>
                    </w:rPr>
                    <w:t>切削液</w:t>
                  </w:r>
                </w:p>
              </w:tc>
              <w:tc>
                <w:tcPr>
                  <w:tcW w:w="1431" w:type="dxa"/>
                  <w:shd w:val="clear" w:color="auto" w:fill="auto"/>
                  <w:noWrap/>
                </w:tcPr>
                <w:p w14:paraId="19B52B00">
                  <w:pPr>
                    <w:widowControl/>
                    <w:jc w:val="center"/>
                    <w:rPr>
                      <w:rFonts w:hint="default" w:eastAsia="宋体"/>
                      <w:color w:val="auto"/>
                      <w:kern w:val="0"/>
                      <w:szCs w:val="21"/>
                      <w:lang w:val="en-US" w:eastAsia="zh-CN"/>
                    </w:rPr>
                  </w:pPr>
                  <w:r>
                    <w:rPr>
                      <w:rFonts w:hint="eastAsia"/>
                      <w:color w:val="auto"/>
                      <w:kern w:val="0"/>
                      <w:szCs w:val="21"/>
                      <w:lang w:val="en-US" w:eastAsia="zh-CN"/>
                    </w:rPr>
                    <w:t>0.003</w:t>
                  </w:r>
                </w:p>
              </w:tc>
              <w:tc>
                <w:tcPr>
                  <w:tcW w:w="3364" w:type="dxa"/>
                  <w:gridSpan w:val="3"/>
                  <w:shd w:val="clear" w:color="auto" w:fill="auto"/>
                  <w:vAlign w:val="center"/>
                </w:tcPr>
                <w:p w14:paraId="28429A76">
                  <w:pPr>
                    <w:widowControl/>
                    <w:jc w:val="center"/>
                    <w:rPr>
                      <w:rFonts w:ascii="Calibri" w:hAnsi="Calibri" w:cs="宋体"/>
                      <w:color w:val="auto"/>
                      <w:kern w:val="0"/>
                      <w:szCs w:val="21"/>
                    </w:rPr>
                  </w:pPr>
                  <w:r>
                    <w:rPr>
                      <w:rFonts w:hint="eastAsia" w:ascii="宋体" w:hAnsi="宋体" w:cs="宋体"/>
                      <w:color w:val="auto"/>
                      <w:kern w:val="0"/>
                      <w:szCs w:val="21"/>
                    </w:rPr>
                    <w:t>吸附进入活性炭</w:t>
                  </w:r>
                </w:p>
              </w:tc>
              <w:tc>
                <w:tcPr>
                  <w:tcW w:w="1122" w:type="dxa"/>
                  <w:shd w:val="clear" w:color="auto" w:fill="auto"/>
                  <w:noWrap/>
                  <w:vAlign w:val="center"/>
                </w:tcPr>
                <w:p w14:paraId="59F987D1">
                  <w:pPr>
                    <w:widowControl/>
                    <w:jc w:val="center"/>
                    <w:rPr>
                      <w:rFonts w:hint="default" w:ascii="Calibri" w:hAnsi="Calibri" w:eastAsia="宋体" w:cs="宋体"/>
                      <w:color w:val="auto"/>
                      <w:kern w:val="0"/>
                      <w:szCs w:val="21"/>
                      <w:lang w:val="en-US" w:eastAsia="zh-CN"/>
                    </w:rPr>
                  </w:pPr>
                  <w:r>
                    <w:rPr>
                      <w:rFonts w:hint="eastAsia"/>
                      <w:color w:val="auto"/>
                      <w:kern w:val="0"/>
                      <w:szCs w:val="21"/>
                      <w:lang w:val="en-US" w:eastAsia="zh-CN"/>
                    </w:rPr>
                    <w:t>1.3341</w:t>
                  </w:r>
                </w:p>
              </w:tc>
            </w:tr>
            <w:tr w14:paraId="20A783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2502" w:type="dxa"/>
                  <w:shd w:val="clear" w:color="auto" w:fill="auto"/>
                  <w:noWrap/>
                  <w:vAlign w:val="center"/>
                </w:tcPr>
                <w:p w14:paraId="0FB3F604">
                  <w:pPr>
                    <w:widowControl/>
                    <w:jc w:val="center"/>
                    <w:rPr>
                      <w:rFonts w:ascii="宋体" w:hAnsi="宋体" w:cs="宋体"/>
                      <w:color w:val="auto"/>
                      <w:kern w:val="0"/>
                      <w:szCs w:val="21"/>
                    </w:rPr>
                  </w:pPr>
                  <w:r>
                    <w:rPr>
                      <w:rFonts w:hint="eastAsia" w:ascii="宋体" w:hAnsi="宋体" w:cs="宋体"/>
                      <w:color w:val="auto"/>
                      <w:kern w:val="0"/>
                      <w:szCs w:val="21"/>
                    </w:rPr>
                    <w:t>合计</w:t>
                  </w:r>
                </w:p>
              </w:tc>
              <w:tc>
                <w:tcPr>
                  <w:tcW w:w="1431" w:type="dxa"/>
                  <w:shd w:val="clear" w:color="auto" w:fill="auto"/>
                  <w:noWrap/>
                  <w:vAlign w:val="center"/>
                </w:tcPr>
                <w:p w14:paraId="646DEE0C">
                  <w:pPr>
                    <w:widowControl/>
                    <w:jc w:val="center"/>
                    <w:rPr>
                      <w:rFonts w:hint="default" w:eastAsia="宋体"/>
                      <w:color w:val="auto"/>
                      <w:kern w:val="0"/>
                      <w:szCs w:val="21"/>
                      <w:lang w:val="en-US" w:eastAsia="zh-CN"/>
                    </w:rPr>
                  </w:pPr>
                  <w:r>
                    <w:rPr>
                      <w:rFonts w:hint="eastAsia"/>
                      <w:color w:val="auto"/>
                      <w:kern w:val="0"/>
                      <w:szCs w:val="21"/>
                      <w:lang w:val="en-US" w:eastAsia="zh-CN"/>
                    </w:rPr>
                    <w:t>1.65</w:t>
                  </w:r>
                </w:p>
              </w:tc>
              <w:tc>
                <w:tcPr>
                  <w:tcW w:w="3364" w:type="dxa"/>
                  <w:gridSpan w:val="3"/>
                  <w:shd w:val="clear" w:color="auto" w:fill="auto"/>
                  <w:noWrap/>
                  <w:vAlign w:val="center"/>
                </w:tcPr>
                <w:p w14:paraId="6631D6A0">
                  <w:pPr>
                    <w:widowControl/>
                    <w:jc w:val="center"/>
                    <w:rPr>
                      <w:rFonts w:ascii="宋体" w:hAnsi="宋体" w:cs="宋体"/>
                      <w:color w:val="auto"/>
                      <w:kern w:val="0"/>
                      <w:szCs w:val="21"/>
                    </w:rPr>
                  </w:pPr>
                  <w:r>
                    <w:rPr>
                      <w:rFonts w:hint="eastAsia" w:ascii="宋体" w:hAnsi="宋体" w:cs="宋体"/>
                      <w:color w:val="auto"/>
                      <w:kern w:val="0"/>
                      <w:szCs w:val="21"/>
                    </w:rPr>
                    <w:t>合计</w:t>
                  </w:r>
                </w:p>
              </w:tc>
              <w:tc>
                <w:tcPr>
                  <w:tcW w:w="1122" w:type="dxa"/>
                  <w:shd w:val="clear" w:color="auto" w:fill="auto"/>
                  <w:noWrap/>
                  <w:vAlign w:val="center"/>
                </w:tcPr>
                <w:p w14:paraId="3FB240B1">
                  <w:pPr>
                    <w:widowControl/>
                    <w:jc w:val="center"/>
                    <w:rPr>
                      <w:rFonts w:hint="default" w:eastAsia="宋体"/>
                      <w:color w:val="auto"/>
                      <w:kern w:val="0"/>
                      <w:szCs w:val="21"/>
                      <w:lang w:val="en-US" w:eastAsia="zh-CN"/>
                    </w:rPr>
                  </w:pPr>
                  <w:r>
                    <w:rPr>
                      <w:rFonts w:hint="eastAsia"/>
                      <w:color w:val="auto"/>
                      <w:kern w:val="0"/>
                      <w:szCs w:val="21"/>
                      <w:lang w:val="en-US" w:eastAsia="zh-CN"/>
                    </w:rPr>
                    <w:t>1.65</w:t>
                  </w:r>
                </w:p>
              </w:tc>
            </w:tr>
          </w:tbl>
          <w:p w14:paraId="574F0968">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b/>
                <w:bCs/>
                <w:color w:val="auto"/>
                <w:lang w:val="en-US" w:eastAsia="zh-CN"/>
              </w:rPr>
            </w:pPr>
            <w:r>
              <w:rPr>
                <w:color w:val="auto"/>
                <w:sz w:val="21"/>
              </w:rPr>
              <mc:AlternateContent>
                <mc:Choice Requires="wpc">
                  <w:drawing>
                    <wp:inline distT="0" distB="0" distL="114300" distR="114300">
                      <wp:extent cx="5344795" cy="1395730"/>
                      <wp:effectExtent l="0" t="0" r="8255" b="0"/>
                      <wp:docPr id="133" name="画布 133"/>
                      <wp:cNvGraphicFramePr/>
                      <a:graphic xmlns:a="http://schemas.openxmlformats.org/drawingml/2006/main">
                        <a:graphicData uri="http://schemas.microsoft.com/office/word/2010/wordprocessingCanvas">
                          <wpc:wpc>
                            <wpc:bg/>
                            <wpc:whole/>
                            <wps:wsp>
                              <wps:cNvPr id="19" name="文本框 62"/>
                              <wps:cNvSpPr txBox="1"/>
                              <wps:spPr>
                                <a:xfrm>
                                  <a:off x="84455" y="551180"/>
                                  <a:ext cx="817880"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2855D8">
                                    <w:pPr>
                                      <w:ind w:firstLine="0" w:firstLineChars="0"/>
                                      <w:jc w:val="center"/>
                                      <w:rPr>
                                        <w:rFonts w:hint="default" w:eastAsia="宋体"/>
                                        <w:sz w:val="21"/>
                                        <w:szCs w:val="21"/>
                                        <w:lang w:val="en-US" w:eastAsia="zh-CN"/>
                                      </w:rPr>
                                    </w:pPr>
                                    <w:r>
                                      <w:rPr>
                                        <w:rFonts w:hint="eastAsia"/>
                                        <w:sz w:val="21"/>
                                        <w:szCs w:val="21"/>
                                        <w:lang w:val="en-US" w:eastAsia="zh-CN"/>
                                      </w:rPr>
                                      <w:t>工艺废气中VOCs</w:t>
                                    </w:r>
                                  </w:p>
                                </w:txbxContent>
                              </wps:txbx>
                              <wps:bodyPr lIns="0" tIns="0" rIns="0" bIns="0" upright="1"/>
                            </wps:wsp>
                            <wps:wsp>
                              <wps:cNvPr id="21" name="直接箭头连接符 74"/>
                              <wps:cNvCnPr/>
                              <wps:spPr>
                                <a:xfrm>
                                  <a:off x="913130" y="760730"/>
                                  <a:ext cx="554355" cy="2540"/>
                                </a:xfrm>
                                <a:prstGeom prst="straightConnector1">
                                  <a:avLst/>
                                </a:prstGeom>
                                <a:ln w="9525" cap="flat" cmpd="sng">
                                  <a:solidFill>
                                    <a:srgbClr val="000000"/>
                                  </a:solidFill>
                                  <a:prstDash val="solid"/>
                                  <a:headEnd type="none" w="med" len="med"/>
                                  <a:tailEnd type="triangle" w="med" len="med"/>
                                </a:ln>
                                <a:effectLst/>
                              </wps:spPr>
                              <wps:bodyPr/>
                            </wps:wsp>
                            <wps:wsp>
                              <wps:cNvPr id="22" name="文本框 62"/>
                              <wps:cNvSpPr txBox="1"/>
                              <wps:spPr>
                                <a:xfrm>
                                  <a:off x="1522730" y="532130"/>
                                  <a:ext cx="817880"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22F1CE">
                                    <w:pPr>
                                      <w:ind w:firstLine="0" w:firstLineChars="0"/>
                                      <w:jc w:val="center"/>
                                      <w:rPr>
                                        <w:rFonts w:hint="default" w:eastAsia="宋体"/>
                                        <w:sz w:val="21"/>
                                        <w:szCs w:val="21"/>
                                        <w:lang w:val="en-US" w:eastAsia="zh-CN"/>
                                      </w:rPr>
                                    </w:pPr>
                                    <w:r>
                                      <w:rPr>
                                        <w:rFonts w:hint="eastAsia"/>
                                        <w:sz w:val="21"/>
                                        <w:szCs w:val="21"/>
                                        <w:lang w:val="en-US" w:eastAsia="zh-CN"/>
                                      </w:rPr>
                                      <w:t>二级活性炭吸附装置</w:t>
                                    </w:r>
                                  </w:p>
                                </w:txbxContent>
                              </wps:txbx>
                              <wps:bodyPr lIns="0" tIns="0" rIns="0" bIns="0" upright="1"/>
                            </wps:wsp>
                            <wps:wsp>
                              <wps:cNvPr id="23" name="直接箭头连接符 74"/>
                              <wps:cNvCnPr/>
                              <wps:spPr>
                                <a:xfrm>
                                  <a:off x="2732405" y="1141730"/>
                                  <a:ext cx="382905" cy="2540"/>
                                </a:xfrm>
                                <a:prstGeom prst="straightConnector1">
                                  <a:avLst/>
                                </a:prstGeom>
                                <a:ln w="9525" cap="flat" cmpd="sng">
                                  <a:solidFill>
                                    <a:srgbClr val="000000"/>
                                  </a:solidFill>
                                  <a:prstDash val="solid"/>
                                  <a:headEnd type="none" w="med" len="med"/>
                                  <a:tailEnd type="triangle" w="med" len="med"/>
                                </a:ln>
                                <a:effectLst/>
                              </wps:spPr>
                              <wps:bodyPr/>
                            </wps:wsp>
                            <wps:wsp>
                              <wps:cNvPr id="24" name="直接箭头连接符 74"/>
                              <wps:cNvCnPr/>
                              <wps:spPr>
                                <a:xfrm>
                                  <a:off x="2751455" y="351155"/>
                                  <a:ext cx="373380" cy="2540"/>
                                </a:xfrm>
                                <a:prstGeom prst="straightConnector1">
                                  <a:avLst/>
                                </a:prstGeom>
                                <a:ln w="9525" cap="flat" cmpd="sng">
                                  <a:solidFill>
                                    <a:srgbClr val="000000"/>
                                  </a:solidFill>
                                  <a:prstDash val="solid"/>
                                  <a:headEnd type="none" w="med" len="med"/>
                                  <a:tailEnd type="triangle" w="med" len="med"/>
                                </a:ln>
                                <a:effectLst/>
                              </wps:spPr>
                              <wps:bodyPr/>
                            </wps:wsp>
                            <wps:wsp>
                              <wps:cNvPr id="32" name="直接箭头连接符 74"/>
                              <wps:cNvCnPr/>
                              <wps:spPr>
                                <a:xfrm>
                                  <a:off x="2362835" y="753745"/>
                                  <a:ext cx="781050" cy="9525"/>
                                </a:xfrm>
                                <a:prstGeom prst="straightConnector1">
                                  <a:avLst/>
                                </a:prstGeom>
                                <a:ln w="9525" cap="flat" cmpd="sng">
                                  <a:solidFill>
                                    <a:srgbClr val="000000"/>
                                  </a:solidFill>
                                  <a:prstDash val="solid"/>
                                  <a:headEnd type="none" w="med" len="med"/>
                                  <a:tailEnd type="triangle" w="med" len="med"/>
                                </a:ln>
                                <a:effectLst/>
                              </wps:spPr>
                              <wps:bodyPr/>
                            </wps:wsp>
                            <wps:wsp>
                              <wps:cNvPr id="33" name="直接连接符 158"/>
                              <wps:cNvCnPr/>
                              <wps:spPr>
                                <a:xfrm>
                                  <a:off x="2715260" y="344170"/>
                                  <a:ext cx="0" cy="79057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4" name="文本框 62"/>
                              <wps:cNvSpPr txBox="1"/>
                              <wps:spPr>
                                <a:xfrm>
                                  <a:off x="3155950" y="227330"/>
                                  <a:ext cx="2112645" cy="262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301B26">
                                    <w:pPr>
                                      <w:ind w:firstLine="0" w:firstLineChars="0"/>
                                      <w:jc w:val="center"/>
                                      <w:rPr>
                                        <w:rFonts w:hint="default" w:eastAsia="宋体"/>
                                        <w:sz w:val="21"/>
                                        <w:szCs w:val="21"/>
                                        <w:lang w:val="en-US" w:eastAsia="zh-CN"/>
                                      </w:rPr>
                                    </w:pPr>
                                    <w:r>
                                      <w:rPr>
                                        <w:rFonts w:hint="eastAsia"/>
                                        <w:sz w:val="21"/>
                                        <w:szCs w:val="21"/>
                                        <w:lang w:val="en-US" w:eastAsia="zh-CN"/>
                                      </w:rPr>
                                      <w:t>DA001有组织排放：0.1482</w:t>
                                    </w:r>
                                  </w:p>
                                </w:txbxContent>
                              </wps:txbx>
                              <wps:bodyPr lIns="0" tIns="0" rIns="0" bIns="0" upright="1"/>
                            </wps:wsp>
                            <wps:wsp>
                              <wps:cNvPr id="35" name="文本框 62"/>
                              <wps:cNvSpPr txBox="1"/>
                              <wps:spPr>
                                <a:xfrm>
                                  <a:off x="3141980" y="1027430"/>
                                  <a:ext cx="2112645" cy="262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CDF2E3">
                                    <w:pPr>
                                      <w:ind w:firstLine="0" w:firstLineChars="0"/>
                                      <w:jc w:val="center"/>
                                      <w:rPr>
                                        <w:rFonts w:hint="default" w:eastAsia="宋体"/>
                                        <w:sz w:val="21"/>
                                        <w:szCs w:val="21"/>
                                        <w:lang w:val="en-US" w:eastAsia="zh-CN"/>
                                      </w:rPr>
                                    </w:pPr>
                                    <w:r>
                                      <w:rPr>
                                        <w:rFonts w:hint="eastAsia" w:eastAsia="宋体"/>
                                        <w:sz w:val="21"/>
                                        <w:szCs w:val="21"/>
                                        <w:lang w:val="en-US" w:eastAsia="zh-CN"/>
                                      </w:rPr>
                                      <w:t>被处理的废气：1.3</w:t>
                                    </w:r>
                                    <w:r>
                                      <w:rPr>
                                        <w:rFonts w:hint="eastAsia"/>
                                        <w:sz w:val="21"/>
                                        <w:szCs w:val="21"/>
                                        <w:lang w:val="en-US" w:eastAsia="zh-CN"/>
                                      </w:rPr>
                                      <w:t>341</w:t>
                                    </w:r>
                                  </w:p>
                                </w:txbxContent>
                              </wps:txbx>
                              <wps:bodyPr lIns="0" tIns="0" rIns="0" bIns="0" upright="1"/>
                            </wps:wsp>
                            <wps:wsp>
                              <wps:cNvPr id="36" name="文本框 62"/>
                              <wps:cNvSpPr txBox="1"/>
                              <wps:spPr>
                                <a:xfrm>
                                  <a:off x="3151505" y="627380"/>
                                  <a:ext cx="2112645" cy="262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429D9F">
                                    <w:pPr>
                                      <w:ind w:firstLine="0" w:firstLineChars="0"/>
                                      <w:jc w:val="center"/>
                                      <w:rPr>
                                        <w:rFonts w:hint="default" w:eastAsia="宋体"/>
                                        <w:sz w:val="21"/>
                                        <w:szCs w:val="21"/>
                                        <w:lang w:val="en-US" w:eastAsia="zh-CN"/>
                                      </w:rPr>
                                    </w:pPr>
                                    <w:r>
                                      <w:rPr>
                                        <w:rFonts w:hint="eastAsia"/>
                                        <w:sz w:val="21"/>
                                        <w:szCs w:val="21"/>
                                        <w:lang w:val="en-US" w:eastAsia="zh-CN"/>
                                      </w:rPr>
                                      <w:t>无组织排放：0.1677</w:t>
                                    </w:r>
                                  </w:p>
                                </w:txbxContent>
                              </wps:txbx>
                              <wps:bodyPr lIns="0" tIns="0" rIns="0" bIns="0" upright="1"/>
                            </wps:wsp>
                            <wps:wsp>
                              <wps:cNvPr id="37" name="文本框 71"/>
                              <wps:cNvSpPr txBox="1"/>
                              <wps:spPr>
                                <a:xfrm>
                                  <a:off x="1046480" y="560705"/>
                                  <a:ext cx="332740" cy="153035"/>
                                </a:xfrm>
                                <a:prstGeom prst="rect">
                                  <a:avLst/>
                                </a:prstGeom>
                                <a:solidFill>
                                  <a:srgbClr val="FFFFFF">
                                    <a:alpha val="0"/>
                                  </a:srgbClr>
                                </a:solidFill>
                                <a:ln>
                                  <a:noFill/>
                                </a:ln>
                                <a:effectLst/>
                              </wps:spPr>
                              <wps:txbx>
                                <w:txbxContent>
                                  <w:p w14:paraId="4DE542C4">
                                    <w:pPr>
                                      <w:ind w:firstLine="0" w:firstLineChars="0"/>
                                      <w:rPr>
                                        <w:rFonts w:hint="default" w:eastAsia="宋体"/>
                                        <w:sz w:val="21"/>
                                        <w:szCs w:val="21"/>
                                        <w:lang w:val="en-US" w:eastAsia="zh-CN"/>
                                      </w:rPr>
                                    </w:pPr>
                                    <w:r>
                                      <w:rPr>
                                        <w:rFonts w:hint="eastAsia"/>
                                        <w:sz w:val="21"/>
                                        <w:szCs w:val="21"/>
                                        <w:lang w:val="en-US" w:eastAsia="zh-CN"/>
                                      </w:rPr>
                                      <w:t>1.65</w:t>
                                    </w:r>
                                  </w:p>
                                </w:txbxContent>
                              </wps:txbx>
                              <wps:bodyPr lIns="0" tIns="0" rIns="0" bIns="0" upright="1"/>
                            </wps:wsp>
                          </wpc:wpc>
                        </a:graphicData>
                      </a:graphic>
                    </wp:inline>
                  </w:drawing>
                </mc:Choice>
                <mc:Fallback>
                  <w:pict>
                    <v:group id="_x0000_s1026" o:spid="_x0000_s1026" o:spt="203" style="height:109.9pt;width:420.85pt;" coordsize="5344795,1395730" editas="canvas" o:gfxdata="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LYD2uNcAAAAFAQAADwAAAAAAAAABACAAAAAiAAAA&#10;ZHJzL2Rvd25yZXYueG1sUEsBAhQAFAAAAAgAh07iQB9Xq0+0BAAAkxwAAA4AAAAAAAAAAQAgAAAA&#10;JgEAAGRycy9lMm9Eb2MueG1sUEsFBgAAAAAGAAYAWQEAAEwIAAAAAA==&#10;">
                      <o:lock v:ext="edit" aspectratio="f"/>
                      <v:shape id="_x0000_s1026" o:spid="_x0000_s1026" style="position:absolute;left:0;top:0;height:1395730;width:5344795;" filled="f" stroked="f" coordsize="21600,21600" o:gfxdata="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LYD2uNcAAAAFAQAADwAAAAAAAAABACAAAAAiAAAAZHJzL2Rvd25yZXYueG1sUEsBAhQA&#10;FAAAAAgAh07iQD26rgJmBAAA1hsAAA4AAAAAAAAAAQAgAAAAJgEAAGRycy9lMm9Eb2MueG1sUEsF&#10;BgAAAAAGAAYAWQEAAP4HAAAAAA==&#10;">
                        <v:fill on="f" focussize="0,0"/>
                        <v:stroke on="f"/>
                        <v:imagedata o:title=""/>
                        <o:lock v:ext="edit" aspectratio="f"/>
                      </v:shape>
                      <v:shape id="文本框 62" o:spid="_x0000_s1026" o:spt="202" type="#_x0000_t202" style="position:absolute;left:84455;top:551180;height:414020;width:817880;" fillcolor="#FFFFFF" filled="t" stroked="t" coordsize="21600,21600" o:gfxdata="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3JNH1gAAAAUBAAAPAAAAAAAAAAEAIAAAACIAAABkcnMvZG93bnJldi54bWxQSwECFAAUAAAA&#10;CACHTuJAr5R/cSkCAAByBAAADgAAAAAAAAABACAAAAAlAQAAZHJzL2Uyb0RvYy54bWxQSwUGAAAA&#10;AAYABgBZAQAAwAUAAAAA&#10;">
                        <v:fill on="t" focussize="0,0"/>
                        <v:stroke color="#000000" joinstyle="miter"/>
                        <v:imagedata o:title=""/>
                        <o:lock v:ext="edit" aspectratio="f"/>
                        <v:textbox inset="0mm,0mm,0mm,0mm">
                          <w:txbxContent>
                            <w:p w14:paraId="502855D8">
                              <w:pPr>
                                <w:ind w:firstLine="0" w:firstLineChars="0"/>
                                <w:jc w:val="center"/>
                                <w:rPr>
                                  <w:rFonts w:hint="default" w:eastAsia="宋体"/>
                                  <w:sz w:val="21"/>
                                  <w:szCs w:val="21"/>
                                  <w:lang w:val="en-US" w:eastAsia="zh-CN"/>
                                </w:rPr>
                              </w:pPr>
                              <w:r>
                                <w:rPr>
                                  <w:rFonts w:hint="eastAsia"/>
                                  <w:sz w:val="21"/>
                                  <w:szCs w:val="21"/>
                                  <w:lang w:val="en-US" w:eastAsia="zh-CN"/>
                                </w:rPr>
                                <w:t>工艺废气中VOCs</w:t>
                              </w:r>
                            </w:p>
                          </w:txbxContent>
                        </v:textbox>
                      </v:shape>
                      <v:shape id="直接箭头连接符 74" o:spid="_x0000_s1026" o:spt="32" type="#_x0000_t32" style="position:absolute;left:913130;top:760730;height:2540;width:554355;" filled="f" stroked="t" coordsize="21600,21600" o:gfxdata="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qcEd3WAAAABQEAAA8A&#10;AAAAAAAAAQAgAAAAIgAAAGRycy9kb3ducmV2LnhtbFBLAQIUABQAAAAIAIdO4kCw15rIGQIAAAwE&#10;AAAOAAAAAAAAAAEAIAAAACUBAABkcnMvZTJvRG9jLnhtbFBLBQYAAAAABgAGAFkBAACwBQAAAAA=&#10;">
                        <v:fill on="f" focussize="0,0"/>
                        <v:stroke color="#000000" joinstyle="round" endarrow="block"/>
                        <v:imagedata o:title=""/>
                        <o:lock v:ext="edit" aspectratio="f"/>
                      </v:shape>
                      <v:shape id="文本框 62" o:spid="_x0000_s1026" o:spt="202" type="#_x0000_t202" style="position:absolute;left:1522730;top:532130;height:414020;width:817880;" fillcolor="#FFFFFF" filled="t" stroked="t" coordsize="21600,21600" o:gfxdata="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7ck0fWAAAABQEAAA8AAAAAAAAAAQAgAAAAIgAAAGRycy9kb3ducmV2LnhtbFBLAQIUABQA&#10;AAAIAIdO4kBInpZ7KwIAAHQEAAAOAAAAAAAAAAEAIAAAACUBAABkcnMvZTJvRG9jLnhtbFBLBQYA&#10;AAAABgAGAFkBAADCBQAAAAA=&#10;">
                        <v:fill on="t" focussize="0,0"/>
                        <v:stroke color="#000000" joinstyle="miter"/>
                        <v:imagedata o:title=""/>
                        <o:lock v:ext="edit" aspectratio="f"/>
                        <v:textbox inset="0mm,0mm,0mm,0mm">
                          <w:txbxContent>
                            <w:p w14:paraId="2E22F1CE">
                              <w:pPr>
                                <w:ind w:firstLine="0" w:firstLineChars="0"/>
                                <w:jc w:val="center"/>
                                <w:rPr>
                                  <w:rFonts w:hint="default" w:eastAsia="宋体"/>
                                  <w:sz w:val="21"/>
                                  <w:szCs w:val="21"/>
                                  <w:lang w:val="en-US" w:eastAsia="zh-CN"/>
                                </w:rPr>
                              </w:pPr>
                              <w:r>
                                <w:rPr>
                                  <w:rFonts w:hint="eastAsia"/>
                                  <w:sz w:val="21"/>
                                  <w:szCs w:val="21"/>
                                  <w:lang w:val="en-US" w:eastAsia="zh-CN"/>
                                </w:rPr>
                                <w:t>二级活性炭吸附装置</w:t>
                              </w:r>
                            </w:p>
                          </w:txbxContent>
                        </v:textbox>
                      </v:shape>
                      <v:shape id="直接箭头连接符 74" o:spid="_x0000_s1026" o:spt="32" type="#_x0000_t32" style="position:absolute;left:2732405;top:1141730;height:2540;width:382905;" filled="f" stroked="t" coordsize="21600,21600" o:gfxdata="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pwR3dYAAAAFAQAA&#10;DwAAAAAAAAABACAAAAAiAAAAZHJzL2Rvd25yZXYueG1sUEsBAhQAFAAAAAgAh07iQEt8gbcbAgAA&#10;DgQAAA4AAAAAAAAAAQAgAAAAJQEAAGRycy9lMm9Eb2MueG1sUEsFBgAAAAAGAAYAWQEAALIFAAAA&#10;AA==&#10;">
                        <v:fill on="f" focussize="0,0"/>
                        <v:stroke color="#000000" joinstyle="round" endarrow="block"/>
                        <v:imagedata o:title=""/>
                        <o:lock v:ext="edit" aspectratio="f"/>
                      </v:shape>
                      <v:shape id="直接箭头连接符 74" o:spid="_x0000_s1026" o:spt="32" type="#_x0000_t32" style="position:absolute;left:2751455;top:351155;height:2540;width:373380;" filled="f" stroked="t" coordsize="21600,21600" o:gfxdata="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pwR3dYAAAAFAQAA&#10;DwAAAAAAAAABACAAAAAiAAAAZHJzL2Rvd25yZXYueG1sUEsBAhQAFAAAAAgAh07iQEcebd4bAgAA&#10;DQQAAA4AAAAAAAAAAQAgAAAAJQEAAGRycy9lMm9Eb2MueG1sUEsFBgAAAAAGAAYAWQEAALIFAAAA&#10;AA==&#10;">
                        <v:fill on="f" focussize="0,0"/>
                        <v:stroke color="#000000" joinstyle="round" endarrow="block"/>
                        <v:imagedata o:title=""/>
                        <o:lock v:ext="edit" aspectratio="f"/>
                      </v:shape>
                      <v:shape id="直接箭头连接符 74" o:spid="_x0000_s1026" o:spt="32" type="#_x0000_t32" style="position:absolute;left:2362835;top:753745;height:9525;width:781050;" filled="f" stroked="t" coordsize="21600,21600" o:gfxdata="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nBHd1gAAAAUBAAAP&#10;AAAAAAAAAAEAIAAAACIAAABkcnMvZG93bnJldi54bWxQSwECFAAUAAAACACHTuJAmBOQBBoCAAAN&#10;BAAADgAAAAAAAAABACAAAAAlAQAAZHJzL2Uyb0RvYy54bWxQSwUGAAAAAAYABgBZAQAAsQUAAAAA&#10;">
                        <v:fill on="f" focussize="0,0"/>
                        <v:stroke color="#000000" joinstyle="round" endarrow="block"/>
                        <v:imagedata o:title=""/>
                        <o:lock v:ext="edit" aspectratio="f"/>
                      </v:shape>
                      <v:line id="直接连接符 158" o:spid="_x0000_s1026" o:spt="20" style="position:absolute;left:2715260;top:344170;height:790575;width:0;" filled="f" stroked="t" coordsize="21600,21600" o:gfxdata="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a7GqNYAAAAFAQAADwAAAAAAAAABACAAAAAiAAAAZHJzL2Rvd25yZXYueG1sUEsBAhQAFAAA&#10;AAgAh07iQFVe/s/xAQAAvgMAAA4AAAAAAAAAAQAgAAAAJQEAAGRycy9lMm9Eb2MueG1sUEsFBgAA&#10;AAAGAAYAWQEAAIgFAAAAAA==&#10;">
                        <v:fill on="f" focussize="0,0"/>
                        <v:stroke color="#000000 [3213]" miterlimit="8" joinstyle="miter"/>
                        <v:imagedata o:title=""/>
                        <o:lock v:ext="edit" aspectratio="f"/>
                      </v:line>
                      <v:shape id="文本框 62" o:spid="_x0000_s1026" o:spt="202" type="#_x0000_t202" style="position:absolute;left:3155950;top:227330;height:262890;width:2112645;" fillcolor="#FFFFFF" filled="t" stroked="t" coordsize="21600,21600" o:gfxdata="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tyTR9YAAAAFAQAADwAAAAAAAAABACAAAAAiAAAAZHJzL2Rvd25yZXYueG1sUEsBAhQA&#10;FAAAAAgAh07iQMR8X9ctAgAAdQQAAA4AAAAAAAAAAQAgAAAAJQEAAGRycy9lMm9Eb2MueG1sUEsF&#10;BgAAAAAGAAYAWQEAAMQFAAAAAA==&#10;">
                        <v:fill on="t" focussize="0,0"/>
                        <v:stroke color="#000000" joinstyle="miter"/>
                        <v:imagedata o:title=""/>
                        <o:lock v:ext="edit" aspectratio="f"/>
                        <v:textbox inset="0mm,0mm,0mm,0mm">
                          <w:txbxContent>
                            <w:p w14:paraId="0B301B26">
                              <w:pPr>
                                <w:ind w:firstLine="0" w:firstLineChars="0"/>
                                <w:jc w:val="center"/>
                                <w:rPr>
                                  <w:rFonts w:hint="default" w:eastAsia="宋体"/>
                                  <w:sz w:val="21"/>
                                  <w:szCs w:val="21"/>
                                  <w:lang w:val="en-US" w:eastAsia="zh-CN"/>
                                </w:rPr>
                              </w:pPr>
                              <w:r>
                                <w:rPr>
                                  <w:rFonts w:hint="eastAsia"/>
                                  <w:sz w:val="21"/>
                                  <w:szCs w:val="21"/>
                                  <w:lang w:val="en-US" w:eastAsia="zh-CN"/>
                                </w:rPr>
                                <w:t>DA001有组织排放：0.1482</w:t>
                              </w:r>
                            </w:p>
                          </w:txbxContent>
                        </v:textbox>
                      </v:shape>
                      <v:shape id="文本框 62" o:spid="_x0000_s1026" o:spt="202" type="#_x0000_t202" style="position:absolute;left:3141980;top:1027430;height:262890;width:2112645;" fillcolor="#FFFFFF" filled="t" stroked="t" coordsize="21600,21600" o:gfxdata="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tyTR9YAAAAFAQAADwAAAAAAAAABACAAAAAiAAAAZHJzL2Rvd25yZXYueG1sUEsBAhQA&#10;FAAAAAgAh07iQN+6pIQtAgAAdgQAAA4AAAAAAAAAAQAgAAAAJQEAAGRycy9lMm9Eb2MueG1sUEsF&#10;BgAAAAAGAAYAWQEAAMQFAAAAAA==&#10;">
                        <v:fill on="t" focussize="0,0"/>
                        <v:stroke color="#000000" joinstyle="miter"/>
                        <v:imagedata o:title=""/>
                        <o:lock v:ext="edit" aspectratio="f"/>
                        <v:textbox inset="0mm,0mm,0mm,0mm">
                          <w:txbxContent>
                            <w:p w14:paraId="09CDF2E3">
                              <w:pPr>
                                <w:ind w:firstLine="0" w:firstLineChars="0"/>
                                <w:jc w:val="center"/>
                                <w:rPr>
                                  <w:rFonts w:hint="default" w:eastAsia="宋体"/>
                                  <w:sz w:val="21"/>
                                  <w:szCs w:val="21"/>
                                  <w:lang w:val="en-US" w:eastAsia="zh-CN"/>
                                </w:rPr>
                              </w:pPr>
                              <w:r>
                                <w:rPr>
                                  <w:rFonts w:hint="eastAsia" w:eastAsia="宋体"/>
                                  <w:sz w:val="21"/>
                                  <w:szCs w:val="21"/>
                                  <w:lang w:val="en-US" w:eastAsia="zh-CN"/>
                                </w:rPr>
                                <w:t>被处理的废气：1.3</w:t>
                              </w:r>
                              <w:r>
                                <w:rPr>
                                  <w:rFonts w:hint="eastAsia"/>
                                  <w:sz w:val="21"/>
                                  <w:szCs w:val="21"/>
                                  <w:lang w:val="en-US" w:eastAsia="zh-CN"/>
                                </w:rPr>
                                <w:t>341</w:t>
                              </w:r>
                            </w:p>
                          </w:txbxContent>
                        </v:textbox>
                      </v:shape>
                      <v:shape id="文本框 62" o:spid="_x0000_s1026" o:spt="202" type="#_x0000_t202" style="position:absolute;left:3151505;top:627380;height:262890;width:2112645;" fillcolor="#FFFFFF" filled="t" stroked="t" coordsize="21600,21600" o:gfxdata="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tyTR9YAAAAFAQAADwAAAAAAAAABACAAAAAiAAAAZHJzL2Rvd25yZXYueG1sUEsBAhQA&#10;FAAAAAgAh07iQFK1MXQtAgAAdQQAAA4AAAAAAAAAAQAgAAAAJQEAAGRycy9lMm9Eb2MueG1sUEsF&#10;BgAAAAAGAAYAWQEAAMQFAAAAAA==&#10;">
                        <v:fill on="t" focussize="0,0"/>
                        <v:stroke color="#000000" joinstyle="miter"/>
                        <v:imagedata o:title=""/>
                        <o:lock v:ext="edit" aspectratio="f"/>
                        <v:textbox inset="0mm,0mm,0mm,0mm">
                          <w:txbxContent>
                            <w:p w14:paraId="66429D9F">
                              <w:pPr>
                                <w:ind w:firstLine="0" w:firstLineChars="0"/>
                                <w:jc w:val="center"/>
                                <w:rPr>
                                  <w:rFonts w:hint="default" w:eastAsia="宋体"/>
                                  <w:sz w:val="21"/>
                                  <w:szCs w:val="21"/>
                                  <w:lang w:val="en-US" w:eastAsia="zh-CN"/>
                                </w:rPr>
                              </w:pPr>
                              <w:r>
                                <w:rPr>
                                  <w:rFonts w:hint="eastAsia"/>
                                  <w:sz w:val="21"/>
                                  <w:szCs w:val="21"/>
                                  <w:lang w:val="en-US" w:eastAsia="zh-CN"/>
                                </w:rPr>
                                <w:t>无组织排放：0.1677</w:t>
                              </w:r>
                            </w:p>
                          </w:txbxContent>
                        </v:textbox>
                      </v:shape>
                      <v:shape id="文本框 71" o:spid="_x0000_s1026" o:spt="202" type="#_x0000_t202" style="position:absolute;left:1046480;top:560705;height:153035;width:332740;" fillcolor="#FFFFFF" filled="t" stroked="f" coordsize="21600,21600" o:gfxdata="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pN7ojU&#10;AAAABQEAAA8AAAAAAAAAAQAgAAAAIgAAAGRycy9kb3ducmV2LnhtbFBLAQIUABQAAAAIAIdO4kAY&#10;U5pj6wEAANIDAAAOAAAAAAAAAAEAIAAAACMBAABkcnMvZTJvRG9jLnhtbFBLBQYAAAAABgAGAFkB&#10;AACABQAAAAA=&#10;">
                        <v:fill on="t" opacity="0f" focussize="0,0"/>
                        <v:stroke on="f"/>
                        <v:imagedata o:title=""/>
                        <o:lock v:ext="edit" aspectratio="f"/>
                        <v:textbox inset="0mm,0mm,0mm,0mm">
                          <w:txbxContent>
                            <w:p w14:paraId="4DE542C4">
                              <w:pPr>
                                <w:ind w:firstLine="0" w:firstLineChars="0"/>
                                <w:rPr>
                                  <w:rFonts w:hint="default" w:eastAsia="宋体"/>
                                  <w:sz w:val="21"/>
                                  <w:szCs w:val="21"/>
                                  <w:lang w:val="en-US" w:eastAsia="zh-CN"/>
                                </w:rPr>
                              </w:pPr>
                              <w:r>
                                <w:rPr>
                                  <w:rFonts w:hint="eastAsia"/>
                                  <w:sz w:val="21"/>
                                  <w:szCs w:val="21"/>
                                  <w:lang w:val="en-US" w:eastAsia="zh-CN"/>
                                </w:rPr>
                                <w:t>1.65</w:t>
                              </w:r>
                            </w:p>
                          </w:txbxContent>
                        </v:textbox>
                      </v:shape>
                      <w10:wrap type="none"/>
                      <w10:anchorlock/>
                    </v:group>
                  </w:pict>
                </mc:Fallback>
              </mc:AlternateContent>
            </w:r>
          </w:p>
          <w:p w14:paraId="58D2C56C">
            <w:pPr>
              <w:keepNext w:val="0"/>
              <w:keepLines w:val="0"/>
              <w:pageBreakBefore w:val="0"/>
              <w:numPr>
                <w:ilvl w:val="0"/>
                <w:numId w:val="0"/>
              </w:numPr>
              <w:kinsoku/>
              <w:wordWrap/>
              <w:overflowPunct/>
              <w:topLinePunct w:val="0"/>
              <w:autoSpaceDE/>
              <w:autoSpaceDN/>
              <w:bidi w:val="0"/>
              <w:adjustRightInd/>
              <w:snapToGrid/>
              <w:spacing w:line="360" w:lineRule="auto"/>
              <w:ind w:left="420" w:leftChars="200" w:firstLine="0" w:firstLineChars="0"/>
              <w:jc w:val="center"/>
              <w:textAlignment w:val="auto"/>
              <w:rPr>
                <w:rFonts w:hint="eastAsia"/>
                <w:b/>
                <w:bCs/>
                <w:color w:val="auto"/>
                <w:lang w:val="en-US" w:eastAsia="zh-CN"/>
              </w:rPr>
            </w:pPr>
            <w:r>
              <w:rPr>
                <w:rFonts w:hint="default" w:ascii="Times New Roman" w:hAnsi="Times New Roman" w:cs="Times New Roman"/>
                <w:b/>
                <w:bCs/>
                <w:color w:val="auto"/>
                <w:lang w:val="en-US" w:eastAsia="zh-CN"/>
              </w:rPr>
              <w:t xml:space="preserve">图2-1 </w:t>
            </w:r>
            <w:r>
              <w:rPr>
                <w:rFonts w:hint="eastAsia"/>
                <w:b/>
                <w:bCs/>
                <w:color w:val="auto"/>
                <w:lang w:val="en-US" w:eastAsia="zh-CN"/>
              </w:rPr>
              <w:t>本项目VOCs平衡图（单位：t/a）</w:t>
            </w:r>
          </w:p>
          <w:p w14:paraId="2ED6D586">
            <w:pPr>
              <w:spacing w:line="360" w:lineRule="auto"/>
              <w:ind w:firstLine="422" w:firstLineChars="200"/>
              <w:rPr>
                <w:rFonts w:hint="eastAsia"/>
                <w:b/>
                <w:bCs/>
                <w:color w:val="auto"/>
                <w:lang w:val="en-US" w:eastAsia="zh-CN"/>
              </w:rPr>
            </w:pPr>
            <w:r>
              <w:rPr>
                <w:rFonts w:hint="eastAsia"/>
                <w:b/>
                <w:bCs/>
                <w:color w:val="auto"/>
                <w:lang w:val="en-US" w:eastAsia="zh-CN"/>
              </w:rPr>
              <w:t>2.6水平衡图</w:t>
            </w:r>
          </w:p>
          <w:p w14:paraId="4342875D">
            <w:pPr>
              <w:spacing w:line="360" w:lineRule="auto"/>
              <w:ind w:firstLine="420" w:firstLineChars="200"/>
              <w:rPr>
                <w:rFonts w:hint="eastAsia"/>
                <w:bCs/>
                <w:color w:val="auto"/>
              </w:rPr>
            </w:pPr>
            <w:r>
              <w:rPr>
                <w:rFonts w:hint="eastAsia"/>
                <w:color w:val="auto"/>
              </w:rPr>
              <w:t>根据企业产品行业分类、原料存储、生产工艺等情况，对照《江苏省重点行业工业企业雨水排放环境管理办法（试行）》（</w:t>
            </w:r>
            <w:r>
              <w:rPr>
                <w:rFonts w:hint="eastAsia"/>
                <w:color w:val="auto"/>
                <w:lang w:val="en-US" w:eastAsia="zh-CN"/>
              </w:rPr>
              <w:t>苏污防攻坚指办</w:t>
            </w:r>
            <w:r>
              <w:rPr>
                <w:rFonts w:hint="default" w:ascii="Times New Roman" w:hAnsi="Times New Roman" w:eastAsia="宋体" w:cs="Times New Roman"/>
                <w:color w:val="auto"/>
                <w:kern w:val="0"/>
                <w:szCs w:val="21"/>
                <w:lang w:val="en-US" w:eastAsia="zh-CN"/>
              </w:rPr>
              <w:t>〔2023〕</w:t>
            </w:r>
            <w:r>
              <w:rPr>
                <w:rFonts w:hint="eastAsia"/>
                <w:color w:val="auto"/>
                <w:lang w:val="en-US" w:eastAsia="zh-CN"/>
              </w:rPr>
              <w:t>71号</w:t>
            </w:r>
            <w:r>
              <w:rPr>
                <w:rFonts w:hint="eastAsia"/>
                <w:color w:val="auto"/>
              </w:rPr>
              <w:t>），其中“第二条 江苏省重点行业工业企业雨水收集和排放环境管理适用本办法。本办法所称重点行业工业企业，是指化工、电镀、原料药制造、冶炼、印染行业的工业企业，以下简称“工业企业”。第二十九条 造纸、制革、平板玻璃、水泥、钢铁等行业工业企业雨水收集和排放环境管理可参照本办法执行。”对照《国民经济行业分类》（GB/T 4754—2017），产品分类为</w:t>
            </w:r>
            <w:r>
              <w:rPr>
                <w:rFonts w:hint="eastAsia"/>
                <w:color w:val="auto"/>
                <w:szCs w:val="21"/>
                <w:lang w:eastAsia="zh-CN"/>
              </w:rPr>
              <w:t>C3392有色金属铸造</w:t>
            </w:r>
            <w:r>
              <w:rPr>
                <w:rFonts w:hint="eastAsia"/>
                <w:color w:val="auto"/>
              </w:rPr>
              <w:t>。企业不属于其中重点行业工业企业，亦不属于造纸、制革、平板玻璃、水泥、钢铁行业，且本公司生产工艺均在室内进行，无重污染工艺及原辅用料，原辅料存储均在室内，不涉及高污染径流污染区域，可暂不设置初期雨水池。</w:t>
            </w:r>
          </w:p>
          <w:p w14:paraId="78162989">
            <w:pPr>
              <w:spacing w:line="360" w:lineRule="auto"/>
              <w:ind w:firstLine="420"/>
              <w:jc w:val="left"/>
              <w:rPr>
                <w:rFonts w:hint="default" w:eastAsia="宋体"/>
                <w:bCs/>
                <w:color w:val="auto"/>
                <w:lang w:val="en-US" w:eastAsia="zh-CN"/>
              </w:rPr>
            </w:pPr>
            <w:r>
              <w:rPr>
                <w:bCs/>
                <w:color w:val="auto"/>
              </w:rPr>
              <w:t>本项目实行“雨污分流”制，雨水</w:t>
            </w:r>
            <w:r>
              <w:rPr>
                <w:rFonts w:hint="eastAsia"/>
                <w:bCs/>
                <w:color w:val="auto"/>
              </w:rPr>
              <w:t>经</w:t>
            </w:r>
            <w:r>
              <w:rPr>
                <w:bCs/>
                <w:color w:val="auto"/>
              </w:rPr>
              <w:t>雨水管网收集后</w:t>
            </w:r>
            <w:r>
              <w:rPr>
                <w:rFonts w:hint="eastAsia"/>
                <w:bCs/>
                <w:color w:val="auto"/>
              </w:rPr>
              <w:t>排入市政</w:t>
            </w:r>
            <w:r>
              <w:rPr>
                <w:bCs/>
                <w:color w:val="auto"/>
              </w:rPr>
              <w:t>雨水管网；项目车间地面仅进行清扫，不冲洗，不产生地面清洗废水</w:t>
            </w:r>
            <w:r>
              <w:rPr>
                <w:rFonts w:hint="eastAsia"/>
                <w:bCs/>
                <w:color w:val="auto"/>
                <w:lang w:eastAsia="zh-CN"/>
              </w:rPr>
              <w:t>；</w:t>
            </w:r>
            <w:r>
              <w:rPr>
                <w:rFonts w:hint="eastAsia"/>
                <w:bCs/>
                <w:color w:val="auto"/>
                <w:lang w:val="en-US" w:eastAsia="zh-CN"/>
              </w:rPr>
              <w:t>项目不涉及设备清洗；</w:t>
            </w:r>
            <w:r>
              <w:rPr>
                <w:bCs/>
                <w:color w:val="auto"/>
              </w:rPr>
              <w:t>项目生活污水</w:t>
            </w:r>
            <w:r>
              <w:rPr>
                <w:rFonts w:hint="eastAsia"/>
                <w:bCs/>
                <w:color w:val="auto"/>
                <w:lang w:val="en-US" w:eastAsia="zh-CN"/>
              </w:rPr>
              <w:t>经化粪池预处理用作液态肥料</w:t>
            </w:r>
            <w:r>
              <w:rPr>
                <w:rFonts w:hint="eastAsia"/>
                <w:bCs/>
                <w:color w:val="auto"/>
                <w:lang w:eastAsia="zh-CN"/>
              </w:rPr>
              <w:t>；</w:t>
            </w:r>
            <w:r>
              <w:rPr>
                <w:rFonts w:hint="eastAsia"/>
                <w:bCs/>
                <w:color w:val="auto"/>
                <w:lang w:val="en-US" w:eastAsia="zh-CN"/>
              </w:rPr>
              <w:t>超声波清洗水、冷却用水循环使用，定期作为危废处理。</w:t>
            </w:r>
          </w:p>
          <w:p w14:paraId="05FE9B8C">
            <w:pPr>
              <w:spacing w:line="360" w:lineRule="auto"/>
              <w:ind w:firstLine="420"/>
              <w:jc w:val="left"/>
              <w:rPr>
                <w:bCs/>
                <w:color w:val="auto"/>
              </w:rPr>
            </w:pPr>
            <w:r>
              <w:rPr>
                <w:rFonts w:hint="eastAsia"/>
                <w:bCs/>
                <w:color w:val="auto"/>
              </w:rPr>
              <w:t>（1）生活污水</w:t>
            </w:r>
          </w:p>
          <w:p w14:paraId="5FA13878">
            <w:pPr>
              <w:spacing w:line="360" w:lineRule="auto"/>
              <w:ind w:firstLine="420"/>
              <w:jc w:val="left"/>
              <w:rPr>
                <w:rFonts w:hint="eastAsia"/>
                <w:bCs/>
                <w:color w:val="auto"/>
              </w:rPr>
            </w:pPr>
            <w:r>
              <w:rPr>
                <w:bCs/>
                <w:color w:val="auto"/>
              </w:rPr>
              <w:t>建设项目</w:t>
            </w:r>
            <w:r>
              <w:rPr>
                <w:rFonts w:hint="eastAsia"/>
                <w:bCs/>
                <w:color w:val="auto"/>
              </w:rPr>
              <w:t>拟定</w:t>
            </w:r>
            <w:r>
              <w:rPr>
                <w:bCs/>
                <w:color w:val="auto"/>
              </w:rPr>
              <w:t>职工人数为</w:t>
            </w:r>
            <w:r>
              <w:rPr>
                <w:rFonts w:hint="eastAsia"/>
                <w:bCs/>
                <w:color w:val="auto"/>
                <w:lang w:val="en-US" w:eastAsia="zh-CN"/>
              </w:rPr>
              <w:t>20</w:t>
            </w:r>
            <w:r>
              <w:rPr>
                <w:bCs/>
                <w:color w:val="auto"/>
              </w:rPr>
              <w:t>人，年工作时间为</w:t>
            </w:r>
            <w:r>
              <w:rPr>
                <w:rFonts w:hint="eastAsia"/>
                <w:bCs/>
                <w:color w:val="auto"/>
              </w:rPr>
              <w:t>300</w:t>
            </w:r>
            <w:r>
              <w:rPr>
                <w:bCs/>
                <w:color w:val="auto"/>
              </w:rPr>
              <w:t>天，</w:t>
            </w:r>
            <w:r>
              <w:rPr>
                <w:rFonts w:hint="eastAsia"/>
                <w:bCs/>
                <w:color w:val="auto"/>
                <w:lang w:val="en-US" w:eastAsia="zh-CN"/>
              </w:rPr>
              <w:t>根据《江苏省林牧渔业、工业、服务业和生活用水定额(2019 年修订)》（苏水节【2020】5 号）</w:t>
            </w:r>
            <w:r>
              <w:rPr>
                <w:rFonts w:hint="eastAsia"/>
                <w:color w:val="auto"/>
              </w:rPr>
              <w:t>，员工生活用水按</w:t>
            </w:r>
            <w:r>
              <w:rPr>
                <w:rFonts w:hint="eastAsia"/>
                <w:color w:val="auto"/>
                <w:lang w:val="en-US" w:eastAsia="zh-CN"/>
              </w:rPr>
              <w:t>10</w:t>
            </w:r>
            <w:r>
              <w:rPr>
                <w:rFonts w:hint="eastAsia"/>
                <w:color w:val="auto"/>
              </w:rPr>
              <w:t>0L/（天*人）计</w:t>
            </w:r>
            <w:r>
              <w:rPr>
                <w:bCs/>
                <w:color w:val="auto"/>
              </w:rPr>
              <w:t>，</w:t>
            </w:r>
            <w:r>
              <w:rPr>
                <w:rFonts w:hint="eastAsia"/>
                <w:bCs/>
                <w:color w:val="auto"/>
              </w:rPr>
              <w:t>产污系数</w:t>
            </w:r>
            <w:r>
              <w:rPr>
                <w:bCs/>
                <w:color w:val="auto"/>
              </w:rPr>
              <w:t>以用水量的80%计，</w:t>
            </w:r>
            <w:r>
              <w:rPr>
                <w:rFonts w:hint="eastAsia"/>
                <w:bCs/>
                <w:color w:val="auto"/>
              </w:rPr>
              <w:t>则</w:t>
            </w:r>
            <w:r>
              <w:rPr>
                <w:bCs/>
                <w:color w:val="auto"/>
              </w:rPr>
              <w:t>职工生活用水量为</w:t>
            </w:r>
            <w:r>
              <w:rPr>
                <w:rFonts w:hint="eastAsia"/>
                <w:bCs/>
                <w:color w:val="auto"/>
                <w:lang w:val="en-US" w:eastAsia="zh-CN"/>
              </w:rPr>
              <w:t>60</w:t>
            </w:r>
            <w:r>
              <w:rPr>
                <w:rFonts w:hint="eastAsia"/>
                <w:bCs/>
                <w:color w:val="auto"/>
              </w:rPr>
              <w:t>0</w:t>
            </w:r>
            <w:r>
              <w:rPr>
                <w:bCs/>
                <w:color w:val="auto"/>
              </w:rPr>
              <w:t>t/a，生活污水产生量约为</w:t>
            </w:r>
            <w:r>
              <w:rPr>
                <w:rFonts w:hint="eastAsia"/>
                <w:bCs/>
                <w:color w:val="auto"/>
                <w:lang w:val="en-US" w:eastAsia="zh-CN"/>
              </w:rPr>
              <w:t>48</w:t>
            </w:r>
            <w:r>
              <w:rPr>
                <w:rFonts w:hint="eastAsia"/>
                <w:bCs/>
                <w:color w:val="auto"/>
              </w:rPr>
              <w:t>0</w:t>
            </w:r>
            <w:r>
              <w:rPr>
                <w:bCs/>
                <w:color w:val="auto"/>
              </w:rPr>
              <w:t>t/a，主要污染物为COD</w:t>
            </w:r>
            <w:r>
              <w:rPr>
                <w:bCs/>
                <w:color w:val="auto"/>
                <w:vertAlign w:val="subscript"/>
              </w:rPr>
              <w:t>Cr</w:t>
            </w:r>
            <w:r>
              <w:rPr>
                <w:bCs/>
                <w:color w:val="auto"/>
              </w:rPr>
              <w:t>、SS、NH</w:t>
            </w:r>
            <w:r>
              <w:rPr>
                <w:bCs/>
                <w:color w:val="auto"/>
                <w:vertAlign w:val="subscript"/>
              </w:rPr>
              <w:t>3</w:t>
            </w:r>
            <w:r>
              <w:rPr>
                <w:bCs/>
                <w:color w:val="auto"/>
              </w:rPr>
              <w:t>-N、TP、TN。</w:t>
            </w:r>
          </w:p>
          <w:p w14:paraId="759D6502">
            <w:pPr>
              <w:numPr>
                <w:ilvl w:val="0"/>
                <w:numId w:val="0"/>
              </w:numPr>
              <w:spacing w:line="360" w:lineRule="auto"/>
              <w:ind w:firstLine="420" w:firstLineChars="200"/>
              <w:rPr>
                <w:rFonts w:hint="eastAsia"/>
                <w:bCs/>
                <w:color w:val="auto"/>
                <w:szCs w:val="21"/>
              </w:rPr>
            </w:pPr>
            <w:r>
              <w:rPr>
                <w:rFonts w:hint="eastAsia"/>
                <w:bCs/>
                <w:color w:val="auto"/>
                <w:szCs w:val="21"/>
                <w:lang w:eastAsia="zh-CN"/>
              </w:rPr>
              <w:t>（</w:t>
            </w:r>
            <w:r>
              <w:rPr>
                <w:rFonts w:hint="eastAsia"/>
                <w:bCs/>
                <w:color w:val="auto"/>
                <w:szCs w:val="21"/>
                <w:lang w:val="en-US" w:eastAsia="zh-CN"/>
              </w:rPr>
              <w:t>2</w:t>
            </w:r>
            <w:r>
              <w:rPr>
                <w:rFonts w:hint="eastAsia"/>
                <w:bCs/>
                <w:color w:val="auto"/>
                <w:szCs w:val="21"/>
                <w:lang w:eastAsia="zh-CN"/>
              </w:rPr>
              <w:t>）</w:t>
            </w:r>
            <w:r>
              <w:rPr>
                <w:rFonts w:hint="eastAsia"/>
                <w:bCs/>
                <w:color w:val="auto"/>
                <w:szCs w:val="21"/>
              </w:rPr>
              <w:t>循环冷却水</w:t>
            </w:r>
          </w:p>
          <w:p w14:paraId="2EDDAB6B">
            <w:pPr>
              <w:numPr>
                <w:ilvl w:val="0"/>
                <w:numId w:val="0"/>
              </w:numPr>
              <w:spacing w:line="360" w:lineRule="auto"/>
              <w:ind w:firstLine="420" w:firstLineChars="200"/>
              <w:rPr>
                <w:rFonts w:hint="eastAsia"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项目热处理工序使用水直接冷却铸件，</w:t>
            </w:r>
            <w:r>
              <w:rPr>
                <w:rFonts w:hint="eastAsia" w:ascii="Times New Roman" w:hAnsi="Times New Roman" w:cs="Times New Roman"/>
                <w:bCs/>
                <w:color w:val="auto"/>
                <w:kern w:val="2"/>
                <w:sz w:val="21"/>
                <w:szCs w:val="21"/>
                <w:lang w:val="en-US" w:eastAsia="zh-CN" w:bidi="ar-SA"/>
              </w:rPr>
              <w:t>配有一个</w:t>
            </w:r>
            <w:r>
              <w:rPr>
                <w:rFonts w:hint="eastAsia" w:ascii="Times New Roman" w:hAnsi="Times New Roman" w:eastAsia="宋体" w:cs="Times New Roman"/>
                <w:bCs/>
                <w:color w:val="auto"/>
                <w:kern w:val="2"/>
                <w:sz w:val="21"/>
                <w:szCs w:val="21"/>
                <w:lang w:val="en-US" w:eastAsia="zh-CN" w:bidi="ar-SA"/>
              </w:rPr>
              <w:t>水槽</w:t>
            </w:r>
            <w:r>
              <w:rPr>
                <w:rFonts w:hint="eastAsia" w:cs="Times New Roman"/>
                <w:bCs/>
                <w:color w:val="auto"/>
                <w:kern w:val="2"/>
                <w:sz w:val="21"/>
                <w:szCs w:val="21"/>
                <w:lang w:val="en-US" w:eastAsia="zh-CN" w:bidi="ar-SA"/>
              </w:rPr>
              <w:t>5.184</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（1.</w:t>
            </w:r>
            <w:r>
              <w:rPr>
                <w:rFonts w:hint="eastAsia" w:cs="Times New Roman"/>
                <w:bCs/>
                <w:color w:val="auto"/>
                <w:kern w:val="2"/>
                <w:sz w:val="21"/>
                <w:szCs w:val="21"/>
                <w:lang w:val="en-US" w:eastAsia="zh-CN" w:bidi="ar-SA"/>
              </w:rPr>
              <w:t>8</w:t>
            </w:r>
            <w:r>
              <w:rPr>
                <w:rFonts w:hint="eastAsia" w:ascii="Times New Roman" w:hAnsi="Times New Roman" w:eastAsia="宋体" w:cs="Times New Roman"/>
                <w:bCs/>
                <w:color w:val="auto"/>
                <w:kern w:val="2"/>
                <w:sz w:val="21"/>
                <w:szCs w:val="21"/>
                <w:lang w:val="en-US" w:eastAsia="zh-CN" w:bidi="ar-SA"/>
              </w:rPr>
              <w:t>*1.</w:t>
            </w:r>
            <w:r>
              <w:rPr>
                <w:rFonts w:hint="eastAsia" w:cs="Times New Roman"/>
                <w:bCs/>
                <w:color w:val="auto"/>
                <w:kern w:val="2"/>
                <w:sz w:val="21"/>
                <w:szCs w:val="21"/>
                <w:lang w:val="en-US" w:eastAsia="zh-CN" w:bidi="ar-SA"/>
              </w:rPr>
              <w:t>8</w:t>
            </w:r>
            <w:r>
              <w:rPr>
                <w:rFonts w:hint="eastAsia" w:ascii="Times New Roman" w:hAnsi="Times New Roman" w:eastAsia="宋体" w:cs="Times New Roman"/>
                <w:bCs/>
                <w:color w:val="auto"/>
                <w:kern w:val="2"/>
                <w:sz w:val="21"/>
                <w:szCs w:val="21"/>
                <w:lang w:val="en-US" w:eastAsia="zh-CN" w:bidi="ar-SA"/>
              </w:rPr>
              <w:t>*</w:t>
            </w:r>
            <w:r>
              <w:rPr>
                <w:rFonts w:hint="eastAsia" w:cs="Times New Roman"/>
                <w:bCs/>
                <w:color w:val="auto"/>
                <w:kern w:val="2"/>
                <w:sz w:val="21"/>
                <w:szCs w:val="21"/>
                <w:lang w:val="en-US" w:eastAsia="zh-CN" w:bidi="ar-SA"/>
              </w:rPr>
              <w:t>1.6</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 w:val="0"/>
                <w:bCs w:val="0"/>
                <w:color w:val="auto"/>
                <w:kern w:val="0"/>
                <w:sz w:val="21"/>
                <w:szCs w:val="21"/>
                <w:lang w:val="en-US" w:eastAsia="zh-CN" w:bidi="ar-SA"/>
              </w:rPr>
              <w:t>有效容积为</w:t>
            </w:r>
            <w:r>
              <w:rPr>
                <w:rFonts w:hint="default" w:ascii="Times New Roman" w:hAnsi="Times New Roman" w:eastAsia="宋体" w:cs="Times New Roman"/>
                <w:b w:val="0"/>
                <w:bCs w:val="0"/>
                <w:color w:val="auto"/>
                <w:kern w:val="0"/>
                <w:sz w:val="21"/>
                <w:szCs w:val="21"/>
                <w:lang w:val="en-US" w:eastAsia="zh-CN" w:bidi="ar-SA"/>
              </w:rPr>
              <w:t>80%</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Cs/>
                <w:color w:val="auto"/>
                <w:kern w:val="2"/>
                <w:sz w:val="21"/>
                <w:szCs w:val="21"/>
                <w:lang w:val="en-US" w:eastAsia="zh-CN" w:bidi="ar-SA"/>
              </w:rPr>
              <w:t>水槽水</w:t>
            </w:r>
            <w:r>
              <w:rPr>
                <w:rFonts w:hint="eastAsia" w:ascii="Times New Roman" w:hAnsi="Times New Roman" w:eastAsia="宋体" w:cs="Times New Roman"/>
                <w:bCs/>
                <w:color w:val="auto"/>
                <w:kern w:val="2"/>
                <w:sz w:val="21"/>
                <w:szCs w:val="21"/>
                <w:lang w:val="en-US" w:eastAsia="zh-CN" w:bidi="ar-SA"/>
              </w:rPr>
              <w:t>量</w:t>
            </w:r>
            <w:r>
              <w:rPr>
                <w:rFonts w:hint="eastAsia" w:cs="Times New Roman"/>
                <w:bCs/>
                <w:color w:val="auto"/>
                <w:kern w:val="2"/>
                <w:sz w:val="21"/>
                <w:szCs w:val="21"/>
                <w:lang w:val="en-US" w:eastAsia="zh-CN" w:bidi="ar-SA"/>
              </w:rPr>
              <w:t>约</w:t>
            </w:r>
            <w:r>
              <w:rPr>
                <w:rFonts w:hint="eastAsia" w:ascii="Times New Roman" w:hAnsi="Times New Roman" w:eastAsia="宋体" w:cs="Times New Roman"/>
                <w:bCs/>
                <w:color w:val="auto"/>
                <w:kern w:val="2"/>
                <w:sz w:val="21"/>
                <w:szCs w:val="21"/>
                <w:lang w:val="en-US" w:eastAsia="zh-CN" w:bidi="ar-SA"/>
              </w:rPr>
              <w:t>为</w:t>
            </w:r>
            <w:r>
              <w:rPr>
                <w:rFonts w:hint="eastAsia" w:cs="Times New Roman"/>
                <w:bCs/>
                <w:color w:val="auto"/>
                <w:kern w:val="2"/>
                <w:sz w:val="21"/>
                <w:szCs w:val="21"/>
                <w:lang w:val="en-US" w:eastAsia="zh-CN" w:bidi="ar-SA"/>
              </w:rPr>
              <w:t>4</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，热处理工序</w:t>
            </w:r>
            <w:r>
              <w:rPr>
                <w:rFonts w:hint="eastAsia" w:ascii="Times New Roman" w:hAnsi="Times New Roman" w:eastAsia="宋体" w:cs="Times New Roman"/>
                <w:bCs/>
                <w:color w:val="auto"/>
                <w:kern w:val="2"/>
                <w:sz w:val="21"/>
                <w:szCs w:val="21"/>
                <w:lang w:val="en-US" w:eastAsia="zh-CN" w:bidi="ar-SA"/>
              </w:rPr>
              <w:t>年生产时间</w:t>
            </w:r>
            <w:r>
              <w:rPr>
                <w:rFonts w:hint="eastAsia" w:ascii="Times New Roman" w:hAnsi="Times New Roman" w:cs="Times New Roman"/>
                <w:bCs/>
                <w:color w:val="auto"/>
                <w:kern w:val="2"/>
                <w:sz w:val="21"/>
                <w:szCs w:val="21"/>
                <w:lang w:val="en-US" w:eastAsia="zh-CN" w:bidi="ar-SA"/>
              </w:rPr>
              <w:t>12</w:t>
            </w:r>
            <w:r>
              <w:rPr>
                <w:rFonts w:hint="eastAsia" w:ascii="Times New Roman" w:hAnsi="Times New Roman" w:eastAsia="宋体" w:cs="Times New Roman"/>
                <w:bCs/>
                <w:color w:val="auto"/>
                <w:kern w:val="2"/>
                <w:sz w:val="21"/>
                <w:szCs w:val="21"/>
                <w:lang w:val="en-US" w:eastAsia="zh-CN" w:bidi="ar-SA"/>
              </w:rPr>
              <w:t>00h，冷却水循环使用，损耗按</w:t>
            </w:r>
            <w:r>
              <w:rPr>
                <w:rFonts w:hint="eastAsia"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%计</w:t>
            </w:r>
            <w:r>
              <w:rPr>
                <w:rFonts w:hint="eastAsia" w:cs="Times New Roman"/>
                <w:bCs/>
                <w:color w:val="auto"/>
                <w:kern w:val="2"/>
                <w:sz w:val="21"/>
                <w:szCs w:val="21"/>
                <w:lang w:val="en-US" w:eastAsia="zh-CN" w:bidi="ar-SA"/>
              </w:rPr>
              <w:t>（蒸发损失率=温差/600=510/600≈1%）</w:t>
            </w:r>
            <w:r>
              <w:rPr>
                <w:rFonts w:hint="eastAsia" w:ascii="Times New Roman" w:hAnsi="Times New Roman" w:eastAsia="宋体" w:cs="Times New Roman"/>
                <w:bCs/>
                <w:color w:val="auto"/>
                <w:kern w:val="2"/>
                <w:sz w:val="21"/>
                <w:szCs w:val="21"/>
                <w:lang w:val="en-US" w:eastAsia="zh-CN" w:bidi="ar-SA"/>
              </w:rPr>
              <w:t>，则一年补充水量为</w:t>
            </w:r>
            <w:r>
              <w:rPr>
                <w:rFonts w:hint="eastAsia" w:cs="Times New Roman"/>
                <w:bCs/>
                <w:color w:val="auto"/>
                <w:kern w:val="2"/>
                <w:sz w:val="21"/>
                <w:szCs w:val="21"/>
                <w:lang w:val="en-US" w:eastAsia="zh-CN" w:bidi="ar-SA"/>
              </w:rPr>
              <w:t>48</w:t>
            </w:r>
            <w:r>
              <w:rPr>
                <w:rFonts w:hint="eastAsia" w:ascii="Times New Roman" w:hAnsi="Times New Roman" w:eastAsia="宋体" w:cs="Times New Roman"/>
                <w:bCs/>
                <w:color w:val="auto"/>
                <w:kern w:val="2"/>
                <w:sz w:val="21"/>
                <w:szCs w:val="21"/>
                <w:lang w:val="en-US" w:eastAsia="zh-CN" w:bidi="ar-SA"/>
              </w:rPr>
              <w:t>t/a。</w:t>
            </w:r>
            <w:r>
              <w:rPr>
                <w:rFonts w:hint="eastAsia" w:cs="Times New Roman"/>
                <w:bCs/>
                <w:color w:val="auto"/>
                <w:kern w:val="2"/>
                <w:sz w:val="21"/>
                <w:szCs w:val="21"/>
                <w:lang w:val="en-US" w:eastAsia="zh-CN" w:bidi="ar-SA"/>
              </w:rPr>
              <w:t>循环使用，</w:t>
            </w:r>
            <w:r>
              <w:rPr>
                <w:rFonts w:hint="eastAsia"/>
                <w:color w:val="auto"/>
                <w:szCs w:val="21"/>
                <w:lang w:val="en-US" w:eastAsia="zh-CN"/>
              </w:rPr>
              <w:t>每年更换1次，则全年更换次数为1次，更换水量为4*1=4t/a。新鲜水补充总量为52t/a。</w:t>
            </w:r>
          </w:p>
          <w:p w14:paraId="6BC3C2C4">
            <w:pPr>
              <w:numPr>
                <w:ilvl w:val="0"/>
                <w:numId w:val="0"/>
              </w:numPr>
              <w:spacing w:line="360" w:lineRule="auto"/>
              <w:ind w:firstLine="420" w:firstLineChars="20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（3）超声波清洗水    </w:t>
            </w:r>
          </w:p>
          <w:p w14:paraId="6F3A09E3">
            <w:pPr>
              <w:numPr>
                <w:ilvl w:val="0"/>
                <w:numId w:val="0"/>
              </w:numPr>
              <w:spacing w:line="360" w:lineRule="auto"/>
              <w:ind w:firstLine="420" w:firstLineChars="20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  项目采用超声波清洗铸件，建设单位配置3台清洗机，水槽1.44m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（1.2*1.2*1.0m），</w:t>
            </w:r>
            <w:r>
              <w:rPr>
                <w:rFonts w:hint="eastAsia" w:ascii="Times New Roman" w:hAnsi="Times New Roman" w:eastAsia="宋体" w:cs="Times New Roman"/>
                <w:b w:val="0"/>
                <w:bCs w:val="0"/>
                <w:color w:val="auto"/>
                <w:kern w:val="0"/>
                <w:sz w:val="21"/>
                <w:szCs w:val="21"/>
                <w:lang w:val="en-US" w:eastAsia="zh-CN" w:bidi="ar-SA"/>
              </w:rPr>
              <w:t>有效容积为</w:t>
            </w:r>
            <w:r>
              <w:rPr>
                <w:rFonts w:hint="default" w:ascii="Times New Roman" w:hAnsi="Times New Roman" w:eastAsia="宋体" w:cs="Times New Roman"/>
                <w:b w:val="0"/>
                <w:bCs w:val="0"/>
                <w:color w:val="auto"/>
                <w:kern w:val="0"/>
                <w:sz w:val="21"/>
                <w:szCs w:val="21"/>
                <w:lang w:val="en-US" w:eastAsia="zh-CN" w:bidi="ar-SA"/>
              </w:rPr>
              <w:t>80%</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Cs/>
                <w:color w:val="auto"/>
                <w:kern w:val="2"/>
                <w:sz w:val="21"/>
                <w:szCs w:val="21"/>
                <w:lang w:val="en-US" w:eastAsia="zh-CN" w:bidi="ar-SA"/>
              </w:rPr>
              <w:t>水槽水</w:t>
            </w:r>
            <w:r>
              <w:rPr>
                <w:rFonts w:hint="eastAsia" w:ascii="Times New Roman" w:hAnsi="Times New Roman" w:eastAsia="宋体" w:cs="Times New Roman"/>
                <w:bCs/>
                <w:color w:val="auto"/>
                <w:kern w:val="2"/>
                <w:sz w:val="21"/>
                <w:szCs w:val="21"/>
                <w:lang w:val="en-US" w:eastAsia="zh-CN" w:bidi="ar-SA"/>
              </w:rPr>
              <w:t>量为</w:t>
            </w:r>
            <w:r>
              <w:rPr>
                <w:rFonts w:hint="eastAsia" w:cs="Times New Roman"/>
                <w:bCs/>
                <w:color w:val="auto"/>
                <w:kern w:val="2"/>
                <w:sz w:val="21"/>
                <w:szCs w:val="21"/>
                <w:lang w:val="en-US" w:eastAsia="zh-CN" w:bidi="ar-SA"/>
              </w:rPr>
              <w:t>1.15</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，超声波清洗工序</w:t>
            </w:r>
            <w:r>
              <w:rPr>
                <w:rFonts w:hint="eastAsia" w:ascii="Times New Roman" w:hAnsi="Times New Roman" w:eastAsia="宋体" w:cs="Times New Roman"/>
                <w:bCs/>
                <w:color w:val="auto"/>
                <w:kern w:val="2"/>
                <w:sz w:val="21"/>
                <w:szCs w:val="21"/>
                <w:lang w:val="en-US" w:eastAsia="zh-CN" w:bidi="ar-SA"/>
              </w:rPr>
              <w:t>年生产时间</w:t>
            </w:r>
            <w:r>
              <w:rPr>
                <w:rFonts w:hint="eastAsia" w:ascii="Times New Roman" w:hAnsi="Times New Roman" w:cs="Times New Roman"/>
                <w:bCs/>
                <w:color w:val="auto"/>
                <w:kern w:val="2"/>
                <w:sz w:val="21"/>
                <w:szCs w:val="21"/>
                <w:lang w:val="en-US" w:eastAsia="zh-CN" w:bidi="ar-SA"/>
              </w:rPr>
              <w:t>9</w:t>
            </w:r>
            <w:r>
              <w:rPr>
                <w:rFonts w:hint="eastAsia" w:ascii="Times New Roman" w:hAnsi="Times New Roman" w:eastAsia="宋体" w:cs="Times New Roman"/>
                <w:bCs/>
                <w:color w:val="auto"/>
                <w:kern w:val="2"/>
                <w:sz w:val="21"/>
                <w:szCs w:val="21"/>
                <w:lang w:val="en-US" w:eastAsia="zh-CN" w:bidi="ar-SA"/>
              </w:rPr>
              <w:t>00h，超声波清洗水循环使用，</w:t>
            </w:r>
            <w:r>
              <w:rPr>
                <w:rFonts w:hint="eastAsia" w:cs="Times New Roman"/>
                <w:bCs/>
                <w:color w:val="auto"/>
                <w:kern w:val="2"/>
                <w:sz w:val="21"/>
                <w:szCs w:val="21"/>
                <w:lang w:val="en-US" w:eastAsia="zh-CN" w:bidi="ar-SA"/>
              </w:rPr>
              <w:t>常温下清洗，水蒸发量较小，不考虑损耗。循环使用，每6个月更换一次，</w:t>
            </w:r>
            <w:r>
              <w:rPr>
                <w:rFonts w:hint="eastAsia"/>
                <w:color w:val="auto"/>
                <w:szCs w:val="21"/>
                <w:lang w:val="en-US" w:eastAsia="zh-CN"/>
              </w:rPr>
              <w:t>则全年更换次数为2次，</w:t>
            </w:r>
            <w:r>
              <w:rPr>
                <w:rFonts w:hint="eastAsia" w:cs="Times New Roman"/>
                <w:bCs/>
                <w:color w:val="auto"/>
                <w:kern w:val="2"/>
                <w:sz w:val="21"/>
                <w:szCs w:val="21"/>
                <w:lang w:val="en-US" w:eastAsia="zh-CN" w:bidi="ar-SA"/>
              </w:rPr>
              <w:t>作为危废处理，更换量为1.15*3*2=6.9t/a。新鲜水用量6.9t/a。</w:t>
            </w:r>
          </w:p>
          <w:p w14:paraId="2920E2D9">
            <w:pPr>
              <w:numPr>
                <w:ilvl w:val="0"/>
                <w:numId w:val="0"/>
              </w:numPr>
              <w:spacing w:line="360" w:lineRule="auto"/>
              <w:ind w:left="480" w:leftChars="0"/>
              <w:rPr>
                <w:rFonts w:hint="eastAsia"/>
                <w:bCs/>
                <w:color w:val="FF0000"/>
                <w:lang w:val="en-US" w:eastAsia="zh-CN"/>
              </w:rPr>
            </w:pPr>
            <w:r>
              <w:rPr>
                <w:rFonts w:hint="eastAsia"/>
                <w:bCs/>
                <w:color w:val="FF0000"/>
                <w:lang w:val="en-US" w:eastAsia="zh-CN"/>
              </w:rPr>
              <w:t xml:space="preserve">（4）切削液配水 </w:t>
            </w:r>
          </w:p>
          <w:p w14:paraId="78C5289E">
            <w:pPr>
              <w:snapToGrid w:val="0"/>
              <w:spacing w:line="360" w:lineRule="auto"/>
              <w:ind w:firstLine="420" w:firstLineChars="200"/>
              <w:textAlignment w:val="baseline"/>
              <w:rPr>
                <w:rFonts w:hint="eastAsia"/>
                <w:color w:val="FF0000"/>
                <w:sz w:val="21"/>
                <w:szCs w:val="21"/>
              </w:rPr>
            </w:pPr>
            <w:r>
              <w:rPr>
                <w:rFonts w:hint="eastAsia" w:hAnsi="宋体" w:eastAsia="宋体"/>
                <w:color w:val="FF0000"/>
                <w:szCs w:val="21"/>
                <w:lang w:val="en-US" w:eastAsia="zh-CN"/>
              </w:rPr>
              <w:t>项目机加工</w:t>
            </w:r>
            <w:r>
              <w:rPr>
                <w:color w:val="FF0000"/>
                <w:shd w:val="clear" w:color="auto" w:fill="FFFFFF"/>
              </w:rPr>
              <w:t>过程中要使用一定的切削液，用来降低切削温度，减少刀具与工件之间的摩擦，本项</w:t>
            </w:r>
            <w:r>
              <w:rPr>
                <w:color w:val="FF0000"/>
                <w:sz w:val="21"/>
                <w:szCs w:val="21"/>
                <w:shd w:val="clear" w:color="auto" w:fill="FFFFFF"/>
              </w:rPr>
              <w:t>目使用水基合成切削液，切削液与水配置比例为1:10</w:t>
            </w:r>
            <w:r>
              <w:rPr>
                <w:rFonts w:hint="eastAsia"/>
                <w:color w:val="FF0000"/>
                <w:sz w:val="21"/>
                <w:szCs w:val="21"/>
                <w:shd w:val="clear" w:color="auto" w:fill="FFFFFF"/>
                <w:lang w:eastAsia="zh-CN"/>
              </w:rPr>
              <w:t>，</w:t>
            </w:r>
            <w:r>
              <w:rPr>
                <w:rFonts w:hint="eastAsia"/>
                <w:color w:val="FF0000"/>
                <w:sz w:val="21"/>
                <w:szCs w:val="21"/>
                <w:shd w:val="clear" w:color="auto" w:fill="FFFFFF"/>
                <w:lang w:val="en-US" w:eastAsia="zh-CN"/>
              </w:rPr>
              <w:t>切削液使用量0.5t/a，则用水量5t/a；根据切削液成分，切削液含水率80%，则含水量为0.4t/a。</w:t>
            </w:r>
            <w:r>
              <w:rPr>
                <w:rFonts w:hint="eastAsia"/>
                <w:color w:val="FF0000"/>
                <w:sz w:val="21"/>
                <w:szCs w:val="21"/>
              </w:rPr>
              <w:t>作业过程水分蒸发及随工件带走损耗</w:t>
            </w:r>
            <w:r>
              <w:rPr>
                <w:rFonts w:hint="eastAsia"/>
                <w:color w:val="FF0000"/>
                <w:sz w:val="21"/>
                <w:szCs w:val="21"/>
                <w:lang w:val="en-US" w:eastAsia="zh-CN"/>
              </w:rPr>
              <w:t>4</w:t>
            </w:r>
            <w:r>
              <w:rPr>
                <w:rFonts w:hint="eastAsia"/>
                <w:color w:val="FF0000"/>
                <w:sz w:val="21"/>
                <w:szCs w:val="21"/>
              </w:rPr>
              <w:t>t/a，其余水分</w:t>
            </w:r>
            <w:r>
              <w:rPr>
                <w:rFonts w:hint="eastAsia"/>
                <w:color w:val="FF0000"/>
                <w:sz w:val="21"/>
                <w:szCs w:val="21"/>
                <w:lang w:val="en-US" w:eastAsia="zh-CN"/>
              </w:rPr>
              <w:t>1.4</w:t>
            </w:r>
            <w:r>
              <w:rPr>
                <w:rFonts w:hint="eastAsia"/>
                <w:color w:val="FF0000"/>
                <w:sz w:val="21"/>
                <w:szCs w:val="21"/>
              </w:rPr>
              <w:t>t/a进入废切削液。</w:t>
            </w:r>
          </w:p>
          <w:p w14:paraId="64ACAB74">
            <w:pPr>
              <w:numPr>
                <w:ilvl w:val="0"/>
                <w:numId w:val="5"/>
              </w:numPr>
              <w:snapToGrid w:val="0"/>
              <w:spacing w:line="360" w:lineRule="auto"/>
              <w:ind w:firstLine="420" w:firstLineChars="200"/>
              <w:textAlignment w:val="baseline"/>
              <w:rPr>
                <w:rFonts w:hint="eastAsia"/>
                <w:color w:val="FF0000"/>
                <w:sz w:val="21"/>
                <w:szCs w:val="21"/>
                <w:lang w:val="en-US" w:eastAsia="zh-CN"/>
              </w:rPr>
            </w:pPr>
            <w:r>
              <w:rPr>
                <w:rFonts w:hint="eastAsia"/>
                <w:color w:val="FF0000"/>
                <w:sz w:val="21"/>
                <w:szCs w:val="21"/>
                <w:lang w:val="en-US" w:eastAsia="zh-CN"/>
              </w:rPr>
              <w:t>脱膜剂含水</w:t>
            </w:r>
          </w:p>
          <w:p w14:paraId="724EF6B6">
            <w:pPr>
              <w:numPr>
                <w:ilvl w:val="0"/>
                <w:numId w:val="0"/>
              </w:numPr>
              <w:snapToGrid w:val="0"/>
              <w:spacing w:line="360" w:lineRule="auto"/>
              <w:ind w:firstLine="420" w:firstLineChars="200"/>
              <w:textAlignment w:val="baseline"/>
              <w:rPr>
                <w:rFonts w:hint="eastAsia"/>
                <w:color w:val="FF0000"/>
                <w:sz w:val="21"/>
                <w:szCs w:val="21"/>
                <w:lang w:val="en-US" w:eastAsia="zh-CN"/>
              </w:rPr>
            </w:pPr>
            <w:r>
              <w:rPr>
                <w:rFonts w:hint="eastAsia"/>
                <w:color w:val="FF0000"/>
                <w:sz w:val="21"/>
                <w:szCs w:val="21"/>
                <w:lang w:val="en-US" w:eastAsia="zh-CN"/>
              </w:rPr>
              <w:t>脱膜剂使用量为0.04t/a，根据脱膜剂的成分，脱膜剂含水率30%，则脱膜剂含水量0.012t/a，在</w:t>
            </w:r>
            <w:r>
              <w:rPr>
                <w:rFonts w:hint="eastAsia"/>
                <w:color w:val="FF0000"/>
                <w:sz w:val="21"/>
                <w:szCs w:val="21"/>
              </w:rPr>
              <w:t>作业过程</w:t>
            </w:r>
            <w:r>
              <w:rPr>
                <w:rFonts w:hint="eastAsia"/>
                <w:color w:val="FF0000"/>
                <w:sz w:val="21"/>
                <w:szCs w:val="21"/>
                <w:lang w:val="en-US" w:eastAsia="zh-CN"/>
              </w:rPr>
              <w:t>中全部蒸发，则</w:t>
            </w:r>
            <w:r>
              <w:rPr>
                <w:rFonts w:hint="eastAsia"/>
                <w:color w:val="FF0000"/>
                <w:sz w:val="21"/>
                <w:szCs w:val="21"/>
              </w:rPr>
              <w:t>蒸发</w:t>
            </w:r>
            <w:r>
              <w:rPr>
                <w:rFonts w:hint="eastAsia"/>
                <w:color w:val="FF0000"/>
                <w:sz w:val="21"/>
                <w:szCs w:val="21"/>
                <w:lang w:val="en-US" w:eastAsia="zh-CN"/>
              </w:rPr>
              <w:t>损耗量为0.012t/a。</w:t>
            </w:r>
          </w:p>
          <w:p w14:paraId="4CB712FC">
            <w:pPr>
              <w:pStyle w:val="4"/>
              <w:rPr>
                <w:rFonts w:hint="eastAsia"/>
                <w:color w:val="auto"/>
                <w:sz w:val="21"/>
                <w:szCs w:val="21"/>
                <w:lang w:val="en-US" w:eastAsia="zh-CN"/>
              </w:rPr>
            </w:pPr>
          </w:p>
          <w:p w14:paraId="0C9F2FED">
            <w:pPr>
              <w:rPr>
                <w:rFonts w:hint="eastAsia"/>
                <w:color w:val="auto"/>
                <w:sz w:val="21"/>
                <w:szCs w:val="21"/>
                <w:lang w:val="en-US" w:eastAsia="zh-CN"/>
              </w:rPr>
            </w:pPr>
          </w:p>
          <w:p w14:paraId="29BD6599">
            <w:pPr>
              <w:pStyle w:val="4"/>
              <w:rPr>
                <w:rFonts w:hint="eastAsia"/>
                <w:color w:val="auto"/>
                <w:sz w:val="21"/>
                <w:szCs w:val="21"/>
                <w:lang w:val="en-US" w:eastAsia="zh-CN"/>
              </w:rPr>
            </w:pPr>
          </w:p>
          <w:p w14:paraId="0C407644">
            <w:pPr>
              <w:rPr>
                <w:rFonts w:hint="eastAsia"/>
                <w:color w:val="auto"/>
                <w:sz w:val="21"/>
                <w:szCs w:val="21"/>
                <w:lang w:val="en-US" w:eastAsia="zh-CN"/>
              </w:rPr>
            </w:pPr>
          </w:p>
          <w:p w14:paraId="5ACA0741">
            <w:pPr>
              <w:pStyle w:val="4"/>
              <w:rPr>
                <w:rFonts w:hint="eastAsia"/>
                <w:color w:val="auto"/>
                <w:sz w:val="21"/>
                <w:szCs w:val="21"/>
                <w:lang w:val="en-US" w:eastAsia="zh-CN"/>
              </w:rPr>
            </w:pPr>
          </w:p>
          <w:p w14:paraId="40D37C45">
            <w:pPr>
              <w:rPr>
                <w:rFonts w:hint="eastAsia"/>
                <w:color w:val="auto"/>
                <w:sz w:val="21"/>
                <w:szCs w:val="21"/>
                <w:lang w:val="en-US" w:eastAsia="zh-CN"/>
              </w:rPr>
            </w:pPr>
          </w:p>
          <w:p w14:paraId="717C8343">
            <w:pPr>
              <w:pStyle w:val="4"/>
              <w:rPr>
                <w:rFonts w:hint="eastAsia"/>
                <w:color w:val="auto"/>
                <w:sz w:val="21"/>
                <w:szCs w:val="21"/>
                <w:lang w:val="en-US" w:eastAsia="zh-CN"/>
              </w:rPr>
            </w:pPr>
          </w:p>
          <w:p w14:paraId="47B35CC4">
            <w:pPr>
              <w:rPr>
                <w:rFonts w:hint="eastAsia"/>
                <w:color w:val="auto"/>
                <w:sz w:val="21"/>
                <w:szCs w:val="21"/>
                <w:lang w:val="en-US" w:eastAsia="zh-CN"/>
              </w:rPr>
            </w:pPr>
          </w:p>
          <w:p w14:paraId="349A6C94">
            <w:pPr>
              <w:pStyle w:val="4"/>
              <w:rPr>
                <w:rFonts w:hint="eastAsia"/>
                <w:color w:val="auto"/>
                <w:sz w:val="21"/>
                <w:szCs w:val="21"/>
                <w:lang w:val="en-US" w:eastAsia="zh-CN"/>
              </w:rPr>
            </w:pPr>
          </w:p>
          <w:p w14:paraId="23FEDDA0">
            <w:pPr>
              <w:pStyle w:val="4"/>
              <w:rPr>
                <w:rFonts w:hint="default"/>
                <w:lang w:val="en-US" w:eastAsia="zh-CN"/>
              </w:rPr>
            </w:pPr>
          </w:p>
          <w:p w14:paraId="51FFB560">
            <w:pPr>
              <w:keepNext w:val="0"/>
              <w:keepLines w:val="0"/>
              <w:pageBreakBefore w:val="0"/>
              <w:numPr>
                <w:ilvl w:val="0"/>
                <w:numId w:val="0"/>
              </w:numPr>
              <w:kinsoku/>
              <w:wordWrap/>
              <w:overflowPunct/>
              <w:topLinePunct w:val="0"/>
              <w:autoSpaceDE/>
              <w:autoSpaceDN/>
              <w:bidi w:val="0"/>
              <w:adjustRightInd/>
              <w:snapToGrid/>
              <w:spacing w:line="360" w:lineRule="auto"/>
              <w:ind w:left="420" w:hanging="420" w:hangingChars="200"/>
              <w:textAlignment w:val="auto"/>
              <w:rPr>
                <w:color w:val="auto"/>
                <w:sz w:val="21"/>
                <w:szCs w:val="21"/>
                <w:lang w:val="en-US" w:eastAsia="zh-CN"/>
              </w:rPr>
            </w:pP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1285875</wp:posOffset>
                      </wp:positionH>
                      <wp:positionV relativeFrom="paragraph">
                        <wp:posOffset>2998470</wp:posOffset>
                      </wp:positionV>
                      <wp:extent cx="0" cy="266700"/>
                      <wp:effectExtent l="38100" t="0" r="38100" b="0"/>
                      <wp:wrapNone/>
                      <wp:docPr id="9" name="直接箭头连接符 9"/>
                      <wp:cNvGraphicFramePr/>
                      <a:graphic xmlns:a="http://schemas.openxmlformats.org/drawingml/2006/main">
                        <a:graphicData uri="http://schemas.microsoft.com/office/word/2010/wordprocessingShape">
                          <wps:wsp>
                            <wps:cNvCnPr/>
                            <wps:spPr>
                              <a:xfrm>
                                <a:off x="1638935" y="9010015"/>
                                <a:ext cx="0" cy="2667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1.25pt;margin-top:236.1pt;height:21pt;width:0pt;z-index:251678720;mso-width-relative:page;mso-height-relative:page;" filled="f" stroked="t" coordsize="21600,21600" o:gfxdata="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j3HTjYAAAACwEAAA8AAAAAAAAA&#10;AQAgAAAAIgAAAGRycy9kb3ducmV2LnhtbFBLAQIUABQAAAAIAIdO4kArZQR8EQIAAO0DAAAOAAAA&#10;AAAAAAEAIAAAACcBAABkcnMvZTJvRG9jLnhtbFBLBQYAAAAABgAGAFkBAACqBQAAAAA=&#10;">
                      <v:fill on="f" focussize="0,0"/>
                      <v:stroke weight="1pt" color="#000000 [3213]" miterlimit="8" joinstyle="miter" endarrow="block"/>
                      <v:imagedata o:title=""/>
                      <o:lock v:ext="edit" aspectratio="f"/>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662940</wp:posOffset>
                      </wp:positionH>
                      <wp:positionV relativeFrom="paragraph">
                        <wp:posOffset>520700</wp:posOffset>
                      </wp:positionV>
                      <wp:extent cx="10795" cy="2896870"/>
                      <wp:effectExtent l="6350" t="0" r="20955" b="17780"/>
                      <wp:wrapNone/>
                      <wp:docPr id="82" name="直接连接符 82"/>
                      <wp:cNvGraphicFramePr/>
                      <a:graphic xmlns:a="http://schemas.openxmlformats.org/drawingml/2006/main">
                        <a:graphicData uri="http://schemas.microsoft.com/office/word/2010/wordprocessingShape">
                          <wps:wsp>
                            <wps:cNvCnPr/>
                            <wps:spPr>
                              <a:xfrm flipH="1">
                                <a:off x="1998345" y="2352040"/>
                                <a:ext cx="10795" cy="28968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52.2pt;margin-top:41pt;height:228.1pt;width:0.85pt;z-index:251673600;mso-width-relative:page;mso-height-relative:page;" filled="f" stroked="t" coordsize="21600,21600" o:gfxdata="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sEVptYAAAAKAQAADwAAAAAAAAABACAAAAAiAAAAZHJzL2Rvd25yZXYu&#10;eG1sUEsBAhQAFAAAAAgAh07iQPrkpRT9AQAAzgMAAA4AAAAAAAAAAQAgAAAAJQEAAGRycy9lMm9E&#10;b2MueG1sUEsFBgAAAAAGAAYAWQEAAJQFAAAAAA==&#10;">
                      <v:fill on="f" focussize="0,0"/>
                      <v:stroke weight="1pt" color="#000000 [3213]" miterlimit="8" joinstyle="miter"/>
                      <v:imagedata o:title=""/>
                      <o:lock v:ext="edit" aspectratio="f"/>
                    </v:line>
                  </w:pict>
                </mc:Fallback>
              </mc:AlternateContent>
            </w:r>
            <w:r>
              <w:rPr>
                <w:color w:val="auto"/>
                <w:sz w:val="21"/>
                <w:szCs w:val="21"/>
                <w:lang w:val="en-US" w:eastAsia="zh-CN"/>
              </w:rPr>
              <mc:AlternateContent>
                <mc:Choice Requires="wpc">
                  <w:drawing>
                    <wp:inline distT="0" distB="0" distL="114300" distR="114300">
                      <wp:extent cx="5175885" cy="4365625"/>
                      <wp:effectExtent l="0" t="0" r="0" b="15875"/>
                      <wp:docPr id="73" name="画布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文本框 62"/>
                              <wps:cNvSpPr txBox="1"/>
                              <wps:spPr>
                                <a:xfrm>
                                  <a:off x="1111885" y="345440"/>
                                  <a:ext cx="81788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368ACF">
                                    <w:pPr>
                                      <w:ind w:firstLine="0" w:firstLineChars="0"/>
                                      <w:jc w:val="center"/>
                                      <w:rPr>
                                        <w:sz w:val="21"/>
                                        <w:szCs w:val="21"/>
                                      </w:rPr>
                                    </w:pPr>
                                    <w:r>
                                      <w:rPr>
                                        <w:rFonts w:hint="eastAsia"/>
                                        <w:sz w:val="21"/>
                                        <w:szCs w:val="21"/>
                                      </w:rPr>
                                      <w:t>生活用水</w:t>
                                    </w:r>
                                  </w:p>
                                </w:txbxContent>
                              </wps:txbx>
                              <wps:bodyPr lIns="0" tIns="0" rIns="0" bIns="0" upright="1"/>
                            </wps:wsp>
                            <wps:wsp>
                              <wps:cNvPr id="55" name="曲线连接符 49"/>
                              <wps:cNvCnPr/>
                              <wps:spPr>
                                <a:xfrm flipV="1">
                                  <a:off x="1231900" y="133350"/>
                                  <a:ext cx="278130" cy="16383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57" name="直接箭头连接符 63"/>
                              <wps:cNvCnPr/>
                              <wps:spPr>
                                <a:xfrm>
                                  <a:off x="1939290" y="469265"/>
                                  <a:ext cx="438150" cy="635"/>
                                </a:xfrm>
                                <a:prstGeom prst="straightConnector1">
                                  <a:avLst/>
                                </a:prstGeom>
                                <a:ln w="9525" cap="flat" cmpd="sng">
                                  <a:solidFill>
                                    <a:srgbClr val="000000"/>
                                  </a:solidFill>
                                  <a:prstDash val="solid"/>
                                  <a:headEnd type="none" w="med" len="med"/>
                                  <a:tailEnd type="triangle" w="med" len="med"/>
                                </a:ln>
                                <a:effectLst/>
                              </wps:spPr>
                              <wps:bodyPr/>
                            </wps:wsp>
                            <wps:wsp>
                              <wps:cNvPr id="58" name="文本框 64"/>
                              <wps:cNvSpPr txBox="1"/>
                              <wps:spPr>
                                <a:xfrm>
                                  <a:off x="2383790" y="363220"/>
                                  <a:ext cx="812800" cy="2635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78BAD2">
                                    <w:pPr>
                                      <w:ind w:firstLine="0" w:firstLineChars="0"/>
                                      <w:jc w:val="center"/>
                                      <w:rPr>
                                        <w:rFonts w:hint="eastAsia"/>
                                        <w:sz w:val="21"/>
                                        <w:szCs w:val="21"/>
                                      </w:rPr>
                                    </w:pPr>
                                    <w:r>
                                      <w:rPr>
                                        <w:rFonts w:hint="eastAsia"/>
                                        <w:sz w:val="21"/>
                                        <w:szCs w:val="21"/>
                                      </w:rPr>
                                      <w:t>化粪池</w:t>
                                    </w:r>
                                  </w:p>
                                </w:txbxContent>
                              </wps:txbx>
                              <wps:bodyPr lIns="0" tIns="0" rIns="0" bIns="0" upright="1"/>
                            </wps:wsp>
                            <wps:wsp>
                              <wps:cNvPr id="59" name="文本框 65"/>
                              <wps:cNvSpPr txBox="1"/>
                              <wps:spPr>
                                <a:xfrm>
                                  <a:off x="1993265" y="304800"/>
                                  <a:ext cx="352425" cy="181610"/>
                                </a:xfrm>
                                <a:prstGeom prst="rect">
                                  <a:avLst/>
                                </a:prstGeom>
                                <a:solidFill>
                                  <a:srgbClr val="FFFFFF">
                                    <a:alpha val="0"/>
                                  </a:srgbClr>
                                </a:solidFill>
                                <a:ln>
                                  <a:noFill/>
                                </a:ln>
                                <a:effectLst/>
                              </wps:spPr>
                              <wps:txbx>
                                <w:txbxContent>
                                  <w:p w14:paraId="081A6A48">
                                    <w:pPr>
                                      <w:ind w:firstLine="0" w:firstLineChars="0"/>
                                      <w:rPr>
                                        <w:rFonts w:hint="default" w:eastAsia="宋体"/>
                                        <w:sz w:val="21"/>
                                        <w:szCs w:val="21"/>
                                        <w:lang w:val="en-US" w:eastAsia="zh-CN"/>
                                      </w:rPr>
                                    </w:pPr>
                                    <w:r>
                                      <w:rPr>
                                        <w:rFonts w:hint="eastAsia"/>
                                        <w:sz w:val="21"/>
                                        <w:szCs w:val="21"/>
                                        <w:lang w:val="en-US" w:eastAsia="zh-CN"/>
                                      </w:rPr>
                                      <w:t>480</w:t>
                                    </w:r>
                                  </w:p>
                                </w:txbxContent>
                              </wps:txbx>
                              <wps:bodyPr lIns="0" tIns="0" rIns="0" bIns="0" upright="1"/>
                            </wps:wsp>
                            <wps:wsp>
                              <wps:cNvPr id="60" name="直接箭头连接符 66"/>
                              <wps:cNvCnPr/>
                              <wps:spPr>
                                <a:xfrm>
                                  <a:off x="173355" y="2024380"/>
                                  <a:ext cx="424180" cy="0"/>
                                </a:xfrm>
                                <a:prstGeom prst="straightConnector1">
                                  <a:avLst/>
                                </a:prstGeom>
                                <a:ln w="9525" cap="flat" cmpd="sng">
                                  <a:solidFill>
                                    <a:srgbClr val="000000"/>
                                  </a:solidFill>
                                  <a:prstDash val="solid"/>
                                  <a:headEnd type="none" w="med" len="med"/>
                                  <a:tailEnd type="triangle" w="med" len="med"/>
                                </a:ln>
                                <a:effectLst/>
                              </wps:spPr>
                              <wps:bodyPr/>
                            </wps:wsp>
                            <wps:wsp>
                              <wps:cNvPr id="86" name="文本框 67"/>
                              <wps:cNvSpPr txBox="1"/>
                              <wps:spPr>
                                <a:xfrm>
                                  <a:off x="1509395" y="0"/>
                                  <a:ext cx="560705" cy="219075"/>
                                </a:xfrm>
                                <a:prstGeom prst="rect">
                                  <a:avLst/>
                                </a:prstGeom>
                                <a:solidFill>
                                  <a:srgbClr val="FFFFFF">
                                    <a:alpha val="0"/>
                                  </a:srgbClr>
                                </a:solidFill>
                                <a:ln>
                                  <a:noFill/>
                                </a:ln>
                                <a:effectLst/>
                              </wps:spPr>
                              <wps:txbx>
                                <w:txbxContent>
                                  <w:p w14:paraId="75D4157F">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120</w:t>
                                    </w:r>
                                  </w:p>
                                </w:txbxContent>
                              </wps:txbx>
                              <wps:bodyPr lIns="0" tIns="0" rIns="0" bIns="0" upright="1"/>
                            </wps:wsp>
                            <wps:wsp>
                              <wps:cNvPr id="87" name="文本框 68"/>
                              <wps:cNvSpPr txBox="1"/>
                              <wps:spPr>
                                <a:xfrm>
                                  <a:off x="161925" y="2082165"/>
                                  <a:ext cx="465455" cy="218440"/>
                                </a:xfrm>
                                <a:prstGeom prst="rect">
                                  <a:avLst/>
                                </a:prstGeom>
                                <a:solidFill>
                                  <a:srgbClr val="FFFFFF">
                                    <a:alpha val="0"/>
                                  </a:srgbClr>
                                </a:solidFill>
                                <a:ln>
                                  <a:noFill/>
                                </a:ln>
                                <a:effectLst/>
                              </wps:spPr>
                              <wps:txbx>
                                <w:txbxContent>
                                  <w:p w14:paraId="68A2A041">
                                    <w:pPr>
                                      <w:ind w:firstLine="0" w:firstLineChars="0"/>
                                      <w:jc w:val="center"/>
                                      <w:rPr>
                                        <w:sz w:val="21"/>
                                        <w:szCs w:val="21"/>
                                      </w:rPr>
                                    </w:pPr>
                                    <w:r>
                                      <w:rPr>
                                        <w:rFonts w:hint="eastAsia"/>
                                        <w:sz w:val="21"/>
                                        <w:szCs w:val="21"/>
                                        <w:lang w:val="en-US" w:eastAsia="zh-CN"/>
                                      </w:rPr>
                                      <w:t>新鲜</w:t>
                                    </w:r>
                                    <w:r>
                                      <w:rPr>
                                        <w:rFonts w:hint="eastAsia"/>
                                        <w:sz w:val="21"/>
                                        <w:szCs w:val="21"/>
                                      </w:rPr>
                                      <w:t>水</w:t>
                                    </w:r>
                                  </w:p>
                                </w:txbxContent>
                              </wps:txbx>
                              <wps:bodyPr lIns="0" tIns="0" rIns="0" bIns="0" upright="1"/>
                            </wps:wsp>
                            <wps:wsp>
                              <wps:cNvPr id="88" name="文本框 69"/>
                              <wps:cNvSpPr txBox="1"/>
                              <wps:spPr>
                                <a:xfrm>
                                  <a:off x="3754120" y="369570"/>
                                  <a:ext cx="1230630" cy="568325"/>
                                </a:xfrm>
                                <a:prstGeom prst="rect">
                                  <a:avLst/>
                                </a:prstGeom>
                                <a:solidFill>
                                  <a:srgbClr val="FFFFFF">
                                    <a:alpha val="0"/>
                                  </a:srgbClr>
                                </a:solidFill>
                                <a:ln>
                                  <a:noFill/>
                                </a:ln>
                                <a:effectLst/>
                              </wps:spPr>
                              <wps:txbx>
                                <w:txbxContent>
                                  <w:p w14:paraId="48D21D2A">
                                    <w:pPr>
                                      <w:rPr>
                                        <w:rFonts w:hint="eastAsia" w:cs="Times New Roman"/>
                                        <w:lang w:val="en-US" w:eastAsia="zh-CN"/>
                                      </w:rPr>
                                    </w:pPr>
                                    <w:r>
                                      <w:rPr>
                                        <w:rFonts w:hint="eastAsia" w:cs="Times New Roman"/>
                                        <w:lang w:val="en-US" w:eastAsia="zh-CN"/>
                                      </w:rPr>
                                      <w:t>用作液态肥料</w:t>
                                    </w:r>
                                  </w:p>
                                </w:txbxContent>
                              </wps:txbx>
                              <wps:bodyPr lIns="0" tIns="0" rIns="0" bIns="0" upright="1"/>
                            </wps:wsp>
                            <wps:wsp>
                              <wps:cNvPr id="89" name="文本框 70"/>
                              <wps:cNvSpPr txBox="1"/>
                              <wps:spPr>
                                <a:xfrm>
                                  <a:off x="686435" y="291465"/>
                                  <a:ext cx="332740" cy="153035"/>
                                </a:xfrm>
                                <a:prstGeom prst="rect">
                                  <a:avLst/>
                                </a:prstGeom>
                                <a:solidFill>
                                  <a:srgbClr val="FFFFFF">
                                    <a:alpha val="0"/>
                                  </a:srgbClr>
                                </a:solidFill>
                                <a:ln>
                                  <a:noFill/>
                                </a:ln>
                                <a:effectLst/>
                              </wps:spPr>
                              <wps:txbx>
                                <w:txbxContent>
                                  <w:p w14:paraId="2AEFE3A0">
                                    <w:pPr>
                                      <w:ind w:firstLine="0" w:firstLineChars="0"/>
                                      <w:rPr>
                                        <w:rFonts w:hint="default" w:eastAsia="宋体"/>
                                        <w:sz w:val="21"/>
                                        <w:szCs w:val="21"/>
                                        <w:lang w:val="en-US" w:eastAsia="zh-CN"/>
                                      </w:rPr>
                                    </w:pPr>
                                    <w:r>
                                      <w:rPr>
                                        <w:rFonts w:hint="eastAsia"/>
                                        <w:sz w:val="21"/>
                                        <w:szCs w:val="21"/>
                                        <w:lang w:val="en-US" w:eastAsia="zh-CN"/>
                                      </w:rPr>
                                      <w:t>600</w:t>
                                    </w:r>
                                  </w:p>
                                </w:txbxContent>
                              </wps:txbx>
                              <wps:bodyPr lIns="0" tIns="0" rIns="0" bIns="0" upright="1"/>
                            </wps:wsp>
                            <wps:wsp>
                              <wps:cNvPr id="90" name="文本框 71"/>
                              <wps:cNvSpPr txBox="1"/>
                              <wps:spPr>
                                <a:xfrm>
                                  <a:off x="3313430" y="274955"/>
                                  <a:ext cx="332740" cy="153035"/>
                                </a:xfrm>
                                <a:prstGeom prst="rect">
                                  <a:avLst/>
                                </a:prstGeom>
                                <a:solidFill>
                                  <a:srgbClr val="FFFFFF">
                                    <a:alpha val="0"/>
                                  </a:srgbClr>
                                </a:solidFill>
                                <a:ln>
                                  <a:noFill/>
                                </a:ln>
                                <a:effectLst/>
                              </wps:spPr>
                              <wps:txbx>
                                <w:txbxContent>
                                  <w:p w14:paraId="27A5D443">
                                    <w:pPr>
                                      <w:ind w:firstLine="0" w:firstLineChars="0"/>
                                      <w:rPr>
                                        <w:rFonts w:hint="default" w:eastAsia="宋体"/>
                                        <w:sz w:val="21"/>
                                        <w:szCs w:val="21"/>
                                        <w:lang w:val="en-US" w:eastAsia="zh-CN"/>
                                      </w:rPr>
                                    </w:pPr>
                                    <w:r>
                                      <w:rPr>
                                        <w:rFonts w:hint="eastAsia"/>
                                        <w:sz w:val="21"/>
                                        <w:szCs w:val="21"/>
                                        <w:lang w:val="en-US" w:eastAsia="zh-CN"/>
                                      </w:rPr>
                                      <w:t>480</w:t>
                                    </w:r>
                                  </w:p>
                                </w:txbxContent>
                              </wps:txbx>
                              <wps:bodyPr lIns="0" tIns="0" rIns="0" bIns="0" upright="1"/>
                            </wps:wsp>
                            <wps:wsp>
                              <wps:cNvPr id="91" name="直接连接符 72"/>
                              <wps:cNvCnPr/>
                              <wps:spPr>
                                <a:xfrm>
                                  <a:off x="3208655" y="465455"/>
                                  <a:ext cx="504825" cy="0"/>
                                </a:xfrm>
                                <a:prstGeom prst="line">
                                  <a:avLst/>
                                </a:prstGeom>
                                <a:noFill/>
                                <a:ln w="9525" cap="flat" cmpd="sng" algn="ctr">
                                  <a:solidFill>
                                    <a:srgbClr val="000000"/>
                                  </a:solidFill>
                                  <a:prstDash val="solid"/>
                                  <a:headEnd type="none"/>
                                  <a:tailEnd type="triangle" w="med" len="med"/>
                                </a:ln>
                                <a:effectLst/>
                              </wps:spPr>
                              <wps:bodyPr/>
                            </wps:wsp>
                            <wps:wsp>
                              <wps:cNvPr id="92" name="直接箭头连接符 74"/>
                              <wps:cNvCnPr/>
                              <wps:spPr>
                                <a:xfrm>
                                  <a:off x="675005" y="503555"/>
                                  <a:ext cx="424180" cy="0"/>
                                </a:xfrm>
                                <a:prstGeom prst="straightConnector1">
                                  <a:avLst/>
                                </a:prstGeom>
                                <a:ln w="9525" cap="flat" cmpd="sng">
                                  <a:solidFill>
                                    <a:srgbClr val="000000"/>
                                  </a:solidFill>
                                  <a:prstDash val="solid"/>
                                  <a:headEnd type="none" w="med" len="med"/>
                                  <a:tailEnd type="triangle" w="med" len="med"/>
                                </a:ln>
                                <a:effectLst/>
                              </wps:spPr>
                              <wps:bodyPr/>
                            </wps:wsp>
                            <wps:wsp>
                              <wps:cNvPr id="100" name="文本框 83"/>
                              <wps:cNvSpPr txBox="1"/>
                              <wps:spPr>
                                <a:xfrm>
                                  <a:off x="198755" y="1798955"/>
                                  <a:ext cx="332740" cy="153035"/>
                                </a:xfrm>
                                <a:prstGeom prst="rect">
                                  <a:avLst/>
                                </a:prstGeom>
                                <a:solidFill>
                                  <a:srgbClr val="FFFFFF">
                                    <a:alpha val="0"/>
                                  </a:srgbClr>
                                </a:solidFill>
                                <a:ln>
                                  <a:noFill/>
                                </a:ln>
                                <a:effectLst/>
                              </wps:spPr>
                              <wps:txbx>
                                <w:txbxContent>
                                  <w:p w14:paraId="6CDE22EE">
                                    <w:pPr>
                                      <w:ind w:firstLine="0" w:firstLineChars="0"/>
                                      <w:rPr>
                                        <w:rFonts w:hint="default" w:eastAsia="宋体"/>
                                        <w:sz w:val="21"/>
                                        <w:szCs w:val="21"/>
                                        <w:lang w:val="en-US" w:eastAsia="zh-CN"/>
                                      </w:rPr>
                                    </w:pPr>
                                    <w:r>
                                      <w:rPr>
                                        <w:rFonts w:hint="eastAsia"/>
                                        <w:sz w:val="21"/>
                                        <w:szCs w:val="21"/>
                                        <w:lang w:val="en-US" w:eastAsia="zh-CN"/>
                                      </w:rPr>
                                      <w:t>663.9</w:t>
                                    </w:r>
                                  </w:p>
                                </w:txbxContent>
                              </wps:txbx>
                              <wps:bodyPr lIns="0" tIns="0" rIns="0" bIns="0" upright="1"/>
                            </wps:wsp>
                            <wps:wsp>
                              <wps:cNvPr id="104" name="矩形 4"/>
                              <wps:cNvSpPr/>
                              <wps:spPr>
                                <a:xfrm>
                                  <a:off x="1141730" y="1094105"/>
                                  <a:ext cx="10414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83439">
                                    <w:pPr>
                                      <w:jc w:val="center"/>
                                    </w:pPr>
                                    <w:r>
                                      <w:rPr>
                                        <w:rFonts w:hint="eastAsia"/>
                                        <w:szCs w:val="21"/>
                                        <w:lang w:val="en-US" w:eastAsia="zh-CN"/>
                                      </w:rPr>
                                      <w:t>冷却</w:t>
                                    </w:r>
                                    <w:r>
                                      <w:rPr>
                                        <w:rFonts w:hint="eastAsia"/>
                                        <w:szCs w:val="21"/>
                                      </w:rPr>
                                      <w:t>用水</w:t>
                                    </w:r>
                                  </w:p>
                                </w:txbxContent>
                              </wps:txbx>
                              <wps:bodyPr upright="1"/>
                            </wps:wsp>
                            <wps:wsp>
                              <wps:cNvPr id="105" name="肘形连接符 5"/>
                              <wps:cNvCnPr/>
                              <wps:spPr>
                                <a:xfrm flipH="1">
                                  <a:off x="1694180" y="1313180"/>
                                  <a:ext cx="520700" cy="127000"/>
                                </a:xfrm>
                                <a:prstGeom prst="bentConnector4">
                                  <a:avLst>
                                    <a:gd name="adj1" fmla="val -108440"/>
                                    <a:gd name="adj2" fmla="val 303815"/>
                                  </a:avLst>
                                </a:prstGeom>
                                <a:ln w="9525" cap="flat" cmpd="sng">
                                  <a:solidFill>
                                    <a:srgbClr val="000000"/>
                                  </a:solidFill>
                                  <a:prstDash val="solid"/>
                                  <a:miter/>
                                  <a:headEnd type="none" w="med" len="med"/>
                                  <a:tailEnd type="triangle" w="med" len="med"/>
                                </a:ln>
                              </wps:spPr>
                              <wps:bodyPr/>
                            </wps:wsp>
                            <wps:wsp>
                              <wps:cNvPr id="106" name="文本框 6"/>
                              <wps:cNvSpPr txBox="1"/>
                              <wps:spPr>
                                <a:xfrm>
                                  <a:off x="1751330" y="1522730"/>
                                  <a:ext cx="1117600" cy="190500"/>
                                </a:xfrm>
                                <a:prstGeom prst="rect">
                                  <a:avLst/>
                                </a:prstGeom>
                                <a:noFill/>
                                <a:ln>
                                  <a:noFill/>
                                </a:ln>
                              </wps:spPr>
                              <wps:txbx>
                                <w:txbxContent>
                                  <w:p w14:paraId="106CFBFC">
                                    <w:pPr>
                                      <w:rPr>
                                        <w:rFonts w:hint="default"/>
                                        <w:lang w:val="en-US" w:eastAsia="zh-CN"/>
                                      </w:rPr>
                                    </w:pPr>
                                    <w:r>
                                      <w:rPr>
                                        <w:rFonts w:hint="eastAsia" w:ascii="Times New Roman" w:hAnsi="Times New Roman" w:eastAsia="宋体" w:cs="Times New Roman"/>
                                        <w:kern w:val="2"/>
                                        <w:sz w:val="21"/>
                                        <w:szCs w:val="21"/>
                                        <w:lang w:val="en-US" w:eastAsia="zh-CN" w:bidi="ar-SA"/>
                                      </w:rPr>
                                      <w:t>循环量为</w:t>
                                    </w:r>
                                    <w:r>
                                      <w:rPr>
                                        <w:rFonts w:hint="eastAsia" w:cs="Times New Roman"/>
                                        <w:kern w:val="2"/>
                                        <w:sz w:val="21"/>
                                        <w:szCs w:val="21"/>
                                        <w:lang w:val="en-US" w:eastAsia="zh-CN" w:bidi="ar-SA"/>
                                      </w:rPr>
                                      <w:t>4800</w:t>
                                    </w:r>
                                  </w:p>
                                </w:txbxContent>
                              </wps:txbx>
                              <wps:bodyPr lIns="0" tIns="0" rIns="0" bIns="0" upright="1"/>
                            </wps:wsp>
                            <wps:wsp>
                              <wps:cNvPr id="107" name="直接箭头连接符 7"/>
                              <wps:cNvCnPr/>
                              <wps:spPr>
                                <a:xfrm>
                                  <a:off x="675005" y="1265555"/>
                                  <a:ext cx="424180" cy="0"/>
                                </a:xfrm>
                                <a:prstGeom prst="straightConnector1">
                                  <a:avLst/>
                                </a:prstGeom>
                                <a:ln w="9525" cap="flat" cmpd="sng">
                                  <a:solidFill>
                                    <a:srgbClr val="000000"/>
                                  </a:solidFill>
                                  <a:prstDash val="solid"/>
                                  <a:headEnd type="none" w="med" len="med"/>
                                  <a:tailEnd type="triangle" w="med" len="med"/>
                                </a:ln>
                                <a:effectLst/>
                              </wps:spPr>
                              <wps:bodyPr/>
                            </wps:wsp>
                            <wps:wsp>
                              <wps:cNvPr id="108" name="文本框 8"/>
                              <wps:cNvSpPr txBox="1"/>
                              <wps:spPr>
                                <a:xfrm>
                                  <a:off x="751205" y="998855"/>
                                  <a:ext cx="332740" cy="257810"/>
                                </a:xfrm>
                                <a:prstGeom prst="rect">
                                  <a:avLst/>
                                </a:prstGeom>
                                <a:solidFill>
                                  <a:srgbClr val="FFFFFF">
                                    <a:alpha val="0"/>
                                  </a:srgbClr>
                                </a:solidFill>
                                <a:ln>
                                  <a:noFill/>
                                </a:ln>
                                <a:effectLst/>
                              </wps:spPr>
                              <wps:txbx>
                                <w:txbxContent>
                                  <w:p w14:paraId="3A5E49D7">
                                    <w:pPr>
                                      <w:ind w:firstLine="0" w:firstLineChars="0"/>
                                      <w:rPr>
                                        <w:rFonts w:hint="default" w:eastAsia="宋体"/>
                                        <w:sz w:val="21"/>
                                        <w:szCs w:val="21"/>
                                        <w:lang w:val="en-US" w:eastAsia="zh-CN"/>
                                      </w:rPr>
                                    </w:pPr>
                                    <w:r>
                                      <w:rPr>
                                        <w:rFonts w:hint="eastAsia"/>
                                        <w:sz w:val="21"/>
                                        <w:szCs w:val="21"/>
                                        <w:lang w:val="en-US" w:eastAsia="zh-CN"/>
                                      </w:rPr>
                                      <w:t>52</w:t>
                                    </w:r>
                                  </w:p>
                                </w:txbxContent>
                              </wps:txbx>
                              <wps:bodyPr lIns="0" tIns="0" rIns="0" bIns="0" upright="1"/>
                            </wps:wsp>
                            <wps:wsp>
                              <wps:cNvPr id="109" name="曲线连接符 9"/>
                              <wps:cNvCnPr/>
                              <wps:spPr>
                                <a:xfrm flipV="1">
                                  <a:off x="1170305" y="932180"/>
                                  <a:ext cx="278130" cy="16383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10" name="文本框 10"/>
                              <wps:cNvSpPr txBox="1"/>
                              <wps:spPr>
                                <a:xfrm>
                                  <a:off x="1398905" y="751205"/>
                                  <a:ext cx="560705" cy="219075"/>
                                </a:xfrm>
                                <a:prstGeom prst="rect">
                                  <a:avLst/>
                                </a:prstGeom>
                                <a:solidFill>
                                  <a:srgbClr val="FFFFFF">
                                    <a:alpha val="0"/>
                                  </a:srgbClr>
                                </a:solidFill>
                                <a:ln>
                                  <a:noFill/>
                                </a:ln>
                                <a:effectLst/>
                              </wps:spPr>
                              <wps:txbx>
                                <w:txbxContent>
                                  <w:p w14:paraId="7E42959C">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48</w:t>
                                    </w:r>
                                  </w:p>
                                </w:txbxContent>
                              </wps:txbx>
                              <wps:bodyPr lIns="0" tIns="0" rIns="0" bIns="0" upright="1"/>
                            </wps:wsp>
                            <wps:wsp>
                              <wps:cNvPr id="111" name="直接连接符 11"/>
                              <wps:cNvCnPr/>
                              <wps:spPr>
                                <a:xfrm>
                                  <a:off x="2208530" y="1246505"/>
                                  <a:ext cx="897255" cy="5715"/>
                                </a:xfrm>
                                <a:prstGeom prst="line">
                                  <a:avLst/>
                                </a:prstGeom>
                                <a:noFill/>
                                <a:ln w="9525" cap="flat" cmpd="sng" algn="ctr">
                                  <a:solidFill>
                                    <a:srgbClr val="000000"/>
                                  </a:solidFill>
                                  <a:prstDash val="solid"/>
                                  <a:headEnd type="none"/>
                                  <a:tailEnd type="triangle" w="med" len="med"/>
                                </a:ln>
                                <a:effectLst/>
                              </wps:spPr>
                              <wps:bodyPr/>
                            </wps:wsp>
                            <wps:wsp>
                              <wps:cNvPr id="112" name="文本框 12"/>
                              <wps:cNvSpPr txBox="1"/>
                              <wps:spPr>
                                <a:xfrm>
                                  <a:off x="2427605" y="960755"/>
                                  <a:ext cx="332740" cy="153035"/>
                                </a:xfrm>
                                <a:prstGeom prst="rect">
                                  <a:avLst/>
                                </a:prstGeom>
                                <a:solidFill>
                                  <a:srgbClr val="FFFFFF">
                                    <a:alpha val="0"/>
                                  </a:srgbClr>
                                </a:solidFill>
                                <a:ln>
                                  <a:noFill/>
                                </a:ln>
                                <a:effectLst/>
                              </wps:spPr>
                              <wps:txbx>
                                <w:txbxContent>
                                  <w:p w14:paraId="506CAAAF">
                                    <w:pPr>
                                      <w:ind w:firstLine="0" w:firstLineChars="0"/>
                                      <w:rPr>
                                        <w:rFonts w:hint="default" w:eastAsia="宋体"/>
                                        <w:sz w:val="21"/>
                                        <w:szCs w:val="21"/>
                                        <w:lang w:val="en-US" w:eastAsia="zh-CN"/>
                                      </w:rPr>
                                    </w:pPr>
                                    <w:r>
                                      <w:rPr>
                                        <w:rFonts w:hint="eastAsia"/>
                                        <w:sz w:val="21"/>
                                        <w:szCs w:val="21"/>
                                        <w:lang w:val="en-US" w:eastAsia="zh-CN"/>
                                      </w:rPr>
                                      <w:t>4</w:t>
                                    </w:r>
                                  </w:p>
                                </w:txbxContent>
                              </wps:txbx>
                              <wps:bodyPr lIns="0" tIns="0" rIns="0" bIns="0" upright="1"/>
                            </wps:wsp>
                            <wps:wsp>
                              <wps:cNvPr id="113" name="文本框 13"/>
                              <wps:cNvSpPr txBox="1"/>
                              <wps:spPr>
                                <a:xfrm>
                                  <a:off x="3208655" y="1160780"/>
                                  <a:ext cx="1230630" cy="234950"/>
                                </a:xfrm>
                                <a:prstGeom prst="rect">
                                  <a:avLst/>
                                </a:prstGeom>
                                <a:solidFill>
                                  <a:srgbClr val="FFFFFF">
                                    <a:alpha val="0"/>
                                  </a:srgbClr>
                                </a:solidFill>
                                <a:ln>
                                  <a:noFill/>
                                </a:ln>
                                <a:effectLst/>
                              </wps:spPr>
                              <wps:txbx>
                                <w:txbxContent>
                                  <w:p w14:paraId="61D0749C">
                                    <w:pPr>
                                      <w:rPr>
                                        <w:rFonts w:hint="default"/>
                                        <w:color w:val="auto"/>
                                        <w:lang w:val="en-US"/>
                                      </w:rPr>
                                    </w:pPr>
                                    <w:r>
                                      <w:rPr>
                                        <w:rFonts w:hint="eastAsia" w:cs="Times New Roman"/>
                                        <w:color w:val="auto"/>
                                        <w:lang w:val="en-US" w:eastAsia="zh-CN"/>
                                      </w:rPr>
                                      <w:t>废液</w:t>
                                    </w:r>
                                  </w:p>
                                </w:txbxContent>
                              </wps:txbx>
                              <wps:bodyPr lIns="0" tIns="0" rIns="0" bIns="0" upright="1"/>
                            </wps:wsp>
                            <wps:wsp>
                              <wps:cNvPr id="114" name="矩形 14"/>
                              <wps:cNvSpPr/>
                              <wps:spPr>
                                <a:xfrm>
                                  <a:off x="1151255" y="2122805"/>
                                  <a:ext cx="123126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0AA019">
                                    <w:pPr>
                                      <w:jc w:val="center"/>
                                    </w:pPr>
                                    <w:r>
                                      <w:rPr>
                                        <w:rFonts w:hint="eastAsia"/>
                                        <w:szCs w:val="21"/>
                                        <w:lang w:val="en-US" w:eastAsia="zh-CN"/>
                                      </w:rPr>
                                      <w:t>超声波清洗</w:t>
                                    </w:r>
                                    <w:r>
                                      <w:rPr>
                                        <w:rFonts w:hint="eastAsia"/>
                                        <w:szCs w:val="21"/>
                                      </w:rPr>
                                      <w:t>用水</w:t>
                                    </w:r>
                                  </w:p>
                                </w:txbxContent>
                              </wps:txbx>
                              <wps:bodyPr upright="1"/>
                            </wps:wsp>
                            <wps:wsp>
                              <wps:cNvPr id="115" name="肘形连接符 15"/>
                              <wps:cNvCnPr/>
                              <wps:spPr>
                                <a:xfrm flipH="1">
                                  <a:off x="1894205" y="2341880"/>
                                  <a:ext cx="520700" cy="127000"/>
                                </a:xfrm>
                                <a:prstGeom prst="bentConnector4">
                                  <a:avLst>
                                    <a:gd name="adj1" fmla="val -108440"/>
                                    <a:gd name="adj2" fmla="val 303815"/>
                                  </a:avLst>
                                </a:prstGeom>
                                <a:ln w="9525" cap="flat" cmpd="sng">
                                  <a:solidFill>
                                    <a:srgbClr val="000000"/>
                                  </a:solidFill>
                                  <a:prstDash val="solid"/>
                                  <a:miter/>
                                  <a:headEnd type="none" w="med" len="med"/>
                                  <a:tailEnd type="triangle" w="med" len="med"/>
                                </a:ln>
                              </wps:spPr>
                              <wps:bodyPr/>
                            </wps:wsp>
                            <wps:wsp>
                              <wps:cNvPr id="116" name="文本框 16"/>
                              <wps:cNvSpPr txBox="1"/>
                              <wps:spPr>
                                <a:xfrm>
                                  <a:off x="1922780" y="2532380"/>
                                  <a:ext cx="1117600" cy="190500"/>
                                </a:xfrm>
                                <a:prstGeom prst="rect">
                                  <a:avLst/>
                                </a:prstGeom>
                                <a:noFill/>
                                <a:ln>
                                  <a:noFill/>
                                </a:ln>
                              </wps:spPr>
                              <wps:txbx>
                                <w:txbxContent>
                                  <w:p w14:paraId="090F4BC5">
                                    <w:pPr>
                                      <w:rPr>
                                        <w:rFonts w:hint="default"/>
                                        <w:lang w:val="en-US" w:eastAsia="zh-CN"/>
                                      </w:rPr>
                                    </w:pPr>
                                    <w:r>
                                      <w:rPr>
                                        <w:rFonts w:hint="eastAsia" w:ascii="Times New Roman" w:hAnsi="Times New Roman" w:eastAsia="宋体" w:cs="Times New Roman"/>
                                        <w:kern w:val="2"/>
                                        <w:sz w:val="21"/>
                                        <w:szCs w:val="21"/>
                                        <w:lang w:val="en-US" w:eastAsia="zh-CN" w:bidi="ar-SA"/>
                                      </w:rPr>
                                      <w:t>循环量为</w:t>
                                    </w:r>
                                    <w:r>
                                      <w:rPr>
                                        <w:rFonts w:hint="eastAsia" w:cs="Times New Roman"/>
                                        <w:kern w:val="2"/>
                                        <w:sz w:val="21"/>
                                        <w:szCs w:val="21"/>
                                        <w:lang w:val="en-US" w:eastAsia="zh-CN" w:bidi="ar-SA"/>
                                      </w:rPr>
                                      <w:t>3105</w:t>
                                    </w:r>
                                  </w:p>
                                </w:txbxContent>
                              </wps:txbx>
                              <wps:bodyPr lIns="0" tIns="0" rIns="0" bIns="0" upright="1"/>
                            </wps:wsp>
                            <wps:wsp>
                              <wps:cNvPr id="117" name="直接连接符 17"/>
                              <wps:cNvCnPr/>
                              <wps:spPr>
                                <a:xfrm>
                                  <a:off x="2437130" y="2265680"/>
                                  <a:ext cx="897255" cy="5715"/>
                                </a:xfrm>
                                <a:prstGeom prst="line">
                                  <a:avLst/>
                                </a:prstGeom>
                                <a:noFill/>
                                <a:ln w="9525" cap="flat" cmpd="sng" algn="ctr">
                                  <a:solidFill>
                                    <a:srgbClr val="000000"/>
                                  </a:solidFill>
                                  <a:prstDash val="solid"/>
                                  <a:headEnd type="none"/>
                                  <a:tailEnd type="triangle" w="med" len="med"/>
                                </a:ln>
                                <a:effectLst/>
                              </wps:spPr>
                              <wps:bodyPr/>
                            </wps:wsp>
                            <wps:wsp>
                              <wps:cNvPr id="118" name="文本框 18"/>
                              <wps:cNvSpPr txBox="1"/>
                              <wps:spPr>
                                <a:xfrm>
                                  <a:off x="3351530" y="2132330"/>
                                  <a:ext cx="1230630" cy="330200"/>
                                </a:xfrm>
                                <a:prstGeom prst="rect">
                                  <a:avLst/>
                                </a:prstGeom>
                                <a:solidFill>
                                  <a:srgbClr val="FFFFFF">
                                    <a:alpha val="0"/>
                                  </a:srgbClr>
                                </a:solidFill>
                                <a:ln>
                                  <a:noFill/>
                                </a:ln>
                                <a:effectLst/>
                              </wps:spPr>
                              <wps:txbx>
                                <w:txbxContent>
                                  <w:p w14:paraId="6A4A1228">
                                    <w:pPr>
                                      <w:rPr>
                                        <w:rFonts w:hint="default"/>
                                        <w:color w:val="auto"/>
                                        <w:lang w:val="en-US"/>
                                      </w:rPr>
                                    </w:pPr>
                                    <w:r>
                                      <w:rPr>
                                        <w:rFonts w:hint="eastAsia" w:cs="Times New Roman"/>
                                        <w:color w:val="auto"/>
                                        <w:lang w:val="en-US" w:eastAsia="zh-CN"/>
                                      </w:rPr>
                                      <w:t>废液</w:t>
                                    </w:r>
                                  </w:p>
                                </w:txbxContent>
                              </wps:txbx>
                              <wps:bodyPr lIns="0" tIns="0" rIns="0" bIns="0" upright="1"/>
                            </wps:wsp>
                            <wps:wsp>
                              <wps:cNvPr id="119" name="文本框 19"/>
                              <wps:cNvSpPr txBox="1"/>
                              <wps:spPr>
                                <a:xfrm>
                                  <a:off x="2551430" y="2008505"/>
                                  <a:ext cx="332740" cy="153035"/>
                                </a:xfrm>
                                <a:prstGeom prst="rect">
                                  <a:avLst/>
                                </a:prstGeom>
                                <a:solidFill>
                                  <a:srgbClr val="FFFFFF">
                                    <a:alpha val="0"/>
                                  </a:srgbClr>
                                </a:solidFill>
                                <a:ln>
                                  <a:noFill/>
                                </a:ln>
                                <a:effectLst/>
                              </wps:spPr>
                              <wps:txbx>
                                <w:txbxContent>
                                  <w:p w14:paraId="7008FFDF">
                                    <w:pPr>
                                      <w:ind w:firstLine="0" w:firstLineChars="0"/>
                                      <w:rPr>
                                        <w:rFonts w:hint="default" w:eastAsia="宋体"/>
                                        <w:sz w:val="21"/>
                                        <w:szCs w:val="21"/>
                                        <w:lang w:val="en-US" w:eastAsia="zh-CN"/>
                                      </w:rPr>
                                    </w:pPr>
                                    <w:r>
                                      <w:rPr>
                                        <w:rFonts w:hint="eastAsia"/>
                                        <w:sz w:val="21"/>
                                        <w:szCs w:val="21"/>
                                        <w:lang w:val="en-US" w:eastAsia="zh-CN"/>
                                      </w:rPr>
                                      <w:t>6.9</w:t>
                                    </w:r>
                                  </w:p>
                                </w:txbxContent>
                              </wps:txbx>
                              <wps:bodyPr lIns="0" tIns="0" rIns="0" bIns="0" upright="1"/>
                            </wps:wsp>
                            <wps:wsp>
                              <wps:cNvPr id="120" name="曲线连接符 21"/>
                              <wps:cNvCnPr/>
                              <wps:spPr>
                                <a:xfrm flipV="1">
                                  <a:off x="1198880" y="1951355"/>
                                  <a:ext cx="278130" cy="16383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21" name="文本框 22"/>
                              <wps:cNvSpPr txBox="1"/>
                              <wps:spPr>
                                <a:xfrm>
                                  <a:off x="1465580" y="1846580"/>
                                  <a:ext cx="560705" cy="219075"/>
                                </a:xfrm>
                                <a:prstGeom prst="rect">
                                  <a:avLst/>
                                </a:prstGeom>
                                <a:solidFill>
                                  <a:srgbClr val="FFFFFF">
                                    <a:alpha val="0"/>
                                  </a:srgbClr>
                                </a:solidFill>
                                <a:ln>
                                  <a:noFill/>
                                </a:ln>
                                <a:effectLst/>
                              </wps:spPr>
                              <wps:txbx>
                                <w:txbxContent>
                                  <w:p w14:paraId="29CFF6CD">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6.9</w:t>
                                    </w:r>
                                  </w:p>
                                </w:txbxContent>
                              </wps:txbx>
                              <wps:bodyPr lIns="0" tIns="0" rIns="0" bIns="0" upright="1"/>
                            </wps:wsp>
                            <wps:wsp>
                              <wps:cNvPr id="122" name="直接箭头连接符 23"/>
                              <wps:cNvCnPr/>
                              <wps:spPr>
                                <a:xfrm>
                                  <a:off x="722630" y="2265680"/>
                                  <a:ext cx="424180" cy="0"/>
                                </a:xfrm>
                                <a:prstGeom prst="straightConnector1">
                                  <a:avLst/>
                                </a:prstGeom>
                                <a:ln w="9525" cap="flat" cmpd="sng">
                                  <a:solidFill>
                                    <a:srgbClr val="000000"/>
                                  </a:solidFill>
                                  <a:prstDash val="solid"/>
                                  <a:headEnd type="none" w="med" len="med"/>
                                  <a:tailEnd type="triangle" w="med" len="med"/>
                                </a:ln>
                                <a:effectLst/>
                              </wps:spPr>
                              <wps:bodyPr/>
                            </wps:wsp>
                            <wps:wsp>
                              <wps:cNvPr id="123" name="文本框 24"/>
                              <wps:cNvSpPr txBox="1"/>
                              <wps:spPr>
                                <a:xfrm>
                                  <a:off x="741680" y="2075180"/>
                                  <a:ext cx="332740" cy="153035"/>
                                </a:xfrm>
                                <a:prstGeom prst="rect">
                                  <a:avLst/>
                                </a:prstGeom>
                                <a:solidFill>
                                  <a:srgbClr val="FFFFFF">
                                    <a:alpha val="0"/>
                                  </a:srgbClr>
                                </a:solidFill>
                                <a:ln>
                                  <a:noFill/>
                                </a:ln>
                                <a:effectLst/>
                              </wps:spPr>
                              <wps:txbx>
                                <w:txbxContent>
                                  <w:p w14:paraId="7F5C5166">
                                    <w:pPr>
                                      <w:ind w:firstLine="0" w:firstLineChars="0"/>
                                      <w:rPr>
                                        <w:rFonts w:hint="default" w:eastAsia="宋体"/>
                                        <w:sz w:val="21"/>
                                        <w:szCs w:val="21"/>
                                        <w:lang w:val="en-US" w:eastAsia="zh-CN"/>
                                      </w:rPr>
                                    </w:pPr>
                                    <w:r>
                                      <w:rPr>
                                        <w:rFonts w:hint="eastAsia"/>
                                        <w:sz w:val="21"/>
                                        <w:szCs w:val="21"/>
                                        <w:lang w:val="en-US" w:eastAsia="zh-CN"/>
                                      </w:rPr>
                                      <w:t>6.9</w:t>
                                    </w:r>
                                  </w:p>
                                </w:txbxContent>
                              </wps:txbx>
                              <wps:bodyPr lIns="0" tIns="0" rIns="0" bIns="0" upright="1"/>
                            </wps:wsp>
                            <wps:wsp>
                              <wps:cNvPr id="124" name="矩形 38"/>
                              <wps:cNvSpPr/>
                              <wps:spPr>
                                <a:xfrm>
                                  <a:off x="1103630" y="3275330"/>
                                  <a:ext cx="131699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7004B0">
                                    <w:pPr>
                                      <w:jc w:val="center"/>
                                      <w:rPr>
                                        <w:rFonts w:hint="default"/>
                                        <w:lang w:val="en-US"/>
                                      </w:rPr>
                                    </w:pPr>
                                    <w:r>
                                      <w:rPr>
                                        <w:rFonts w:hint="eastAsia"/>
                                        <w:szCs w:val="21"/>
                                        <w:lang w:val="en-US" w:eastAsia="zh-CN"/>
                                      </w:rPr>
                                      <w:t>切削液配水</w:t>
                                    </w:r>
                                  </w:p>
                                </w:txbxContent>
                              </wps:txbx>
                              <wps:bodyPr upright="1"/>
                            </wps:wsp>
                            <wps:wsp>
                              <wps:cNvPr id="125" name="直接连接符 39"/>
                              <wps:cNvCnPr/>
                              <wps:spPr>
                                <a:xfrm>
                                  <a:off x="2454275" y="3453765"/>
                                  <a:ext cx="794385" cy="8255"/>
                                </a:xfrm>
                                <a:prstGeom prst="line">
                                  <a:avLst/>
                                </a:prstGeom>
                                <a:noFill/>
                                <a:ln w="9525" cap="flat" cmpd="sng" algn="ctr">
                                  <a:solidFill>
                                    <a:srgbClr val="000000"/>
                                  </a:solidFill>
                                  <a:prstDash val="solid"/>
                                  <a:headEnd type="none"/>
                                  <a:tailEnd type="triangle" w="med" len="med"/>
                                </a:ln>
                                <a:effectLst/>
                              </wps:spPr>
                              <wps:bodyPr/>
                            </wps:wsp>
                            <wps:wsp>
                              <wps:cNvPr id="126" name="文本框 40"/>
                              <wps:cNvSpPr txBox="1"/>
                              <wps:spPr>
                                <a:xfrm>
                                  <a:off x="3240405" y="3361055"/>
                                  <a:ext cx="1031240" cy="226060"/>
                                </a:xfrm>
                                <a:prstGeom prst="rect">
                                  <a:avLst/>
                                </a:prstGeom>
                                <a:solidFill>
                                  <a:srgbClr val="FFFFFF">
                                    <a:alpha val="0"/>
                                  </a:srgbClr>
                                </a:solidFill>
                                <a:ln>
                                  <a:noFill/>
                                </a:ln>
                                <a:effectLst/>
                              </wps:spPr>
                              <wps:txbx>
                                <w:txbxContent>
                                  <w:p w14:paraId="69240E12">
                                    <w:pPr>
                                      <w:rPr>
                                        <w:rFonts w:hint="default"/>
                                        <w:lang w:val="en-US"/>
                                      </w:rPr>
                                    </w:pPr>
                                    <w:r>
                                      <w:rPr>
                                        <w:rFonts w:hint="eastAsia" w:cs="Times New Roman"/>
                                        <w:lang w:val="en-US" w:eastAsia="zh-CN"/>
                                      </w:rPr>
                                      <w:t>进入废切削液</w:t>
                                    </w:r>
                                  </w:p>
                                </w:txbxContent>
                              </wps:txbx>
                              <wps:bodyPr lIns="0" tIns="0" rIns="0" bIns="0" upright="1"/>
                            </wps:wsp>
                            <wps:wsp>
                              <wps:cNvPr id="127" name="直接箭头连接符 41"/>
                              <wps:cNvCnPr/>
                              <wps:spPr>
                                <a:xfrm>
                                  <a:off x="675005" y="3427730"/>
                                  <a:ext cx="424180" cy="0"/>
                                </a:xfrm>
                                <a:prstGeom prst="straightConnector1">
                                  <a:avLst/>
                                </a:prstGeom>
                                <a:ln w="9525" cap="flat" cmpd="sng">
                                  <a:solidFill>
                                    <a:srgbClr val="000000"/>
                                  </a:solidFill>
                                  <a:prstDash val="solid"/>
                                  <a:headEnd type="none" w="med" len="med"/>
                                  <a:tailEnd type="triangle" w="med" len="med"/>
                                </a:ln>
                                <a:effectLst/>
                              </wps:spPr>
                              <wps:bodyPr/>
                            </wps:wsp>
                            <wps:wsp>
                              <wps:cNvPr id="128" name="文本框 42"/>
                              <wps:cNvSpPr txBox="1"/>
                              <wps:spPr>
                                <a:xfrm>
                                  <a:off x="817880" y="3151505"/>
                                  <a:ext cx="332740" cy="153035"/>
                                </a:xfrm>
                                <a:prstGeom prst="rect">
                                  <a:avLst/>
                                </a:prstGeom>
                                <a:solidFill>
                                  <a:srgbClr val="FFFFFF">
                                    <a:alpha val="0"/>
                                  </a:srgbClr>
                                </a:solidFill>
                                <a:ln>
                                  <a:noFill/>
                                </a:ln>
                                <a:effectLst/>
                              </wps:spPr>
                              <wps:txbx>
                                <w:txbxContent>
                                  <w:p w14:paraId="6127BB37">
                                    <w:pPr>
                                      <w:ind w:firstLine="0" w:firstLineChars="0"/>
                                      <w:rPr>
                                        <w:rFonts w:hint="default" w:eastAsia="宋体"/>
                                        <w:sz w:val="21"/>
                                        <w:szCs w:val="21"/>
                                        <w:lang w:val="en-US" w:eastAsia="zh-CN"/>
                                      </w:rPr>
                                    </w:pPr>
                                    <w:r>
                                      <w:rPr>
                                        <w:rFonts w:hint="eastAsia"/>
                                        <w:sz w:val="21"/>
                                        <w:szCs w:val="21"/>
                                        <w:lang w:val="en-US" w:eastAsia="zh-CN"/>
                                      </w:rPr>
                                      <w:t>5</w:t>
                                    </w:r>
                                  </w:p>
                                </w:txbxContent>
                              </wps:txbx>
                              <wps:bodyPr lIns="0" tIns="0" rIns="0" bIns="0" upright="1"/>
                            </wps:wsp>
                            <wps:wsp>
                              <wps:cNvPr id="129" name="曲线连接符 43"/>
                              <wps:cNvCnPr/>
                              <wps:spPr>
                                <a:xfrm flipV="1">
                                  <a:off x="1856105" y="3094355"/>
                                  <a:ext cx="278130" cy="16383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30" name="文本框 44"/>
                              <wps:cNvSpPr txBox="1"/>
                              <wps:spPr>
                                <a:xfrm>
                                  <a:off x="2084705" y="2989580"/>
                                  <a:ext cx="845820" cy="238125"/>
                                </a:xfrm>
                                <a:prstGeom prst="rect">
                                  <a:avLst/>
                                </a:prstGeom>
                                <a:solidFill>
                                  <a:srgbClr val="FFFFFF">
                                    <a:alpha val="0"/>
                                  </a:srgbClr>
                                </a:solidFill>
                                <a:ln>
                                  <a:noFill/>
                                </a:ln>
                                <a:effectLst/>
                              </wps:spPr>
                              <wps:txbx>
                                <w:txbxContent>
                                  <w:p w14:paraId="571E18B0">
                                    <w:pPr>
                                      <w:ind w:firstLine="0" w:firstLineChars="0"/>
                                      <w:rPr>
                                        <w:rFonts w:hint="default" w:eastAsia="宋体"/>
                                        <w:color w:val="FF0000"/>
                                        <w:sz w:val="21"/>
                                        <w:szCs w:val="21"/>
                                        <w:lang w:val="en-US" w:eastAsia="zh-CN"/>
                                      </w:rPr>
                                    </w:pPr>
                                    <w:r>
                                      <w:rPr>
                                        <w:rFonts w:hint="eastAsia"/>
                                        <w:color w:val="FF0000"/>
                                        <w:sz w:val="21"/>
                                        <w:szCs w:val="21"/>
                                        <w:lang w:val="en-US" w:eastAsia="zh-CN"/>
                                      </w:rPr>
                                      <w:t>蒸发</w:t>
                                    </w:r>
                                    <w:r>
                                      <w:rPr>
                                        <w:rFonts w:hint="eastAsia"/>
                                        <w:color w:val="FF0000"/>
                                        <w:sz w:val="21"/>
                                        <w:szCs w:val="21"/>
                                      </w:rPr>
                                      <w:t>损耗</w:t>
                                    </w:r>
                                    <w:r>
                                      <w:rPr>
                                        <w:rFonts w:hint="eastAsia"/>
                                        <w:color w:val="FF0000"/>
                                        <w:sz w:val="21"/>
                                        <w:szCs w:val="21"/>
                                        <w:lang w:val="en-US" w:eastAsia="zh-CN"/>
                                      </w:rPr>
                                      <w:t>4</w:t>
                                    </w:r>
                                  </w:p>
                                </w:txbxContent>
                              </wps:txbx>
                              <wps:bodyPr lIns="0" tIns="0" rIns="0" bIns="0" upright="1"/>
                            </wps:wsp>
                            <wps:wsp>
                              <wps:cNvPr id="131" name="文本框 45"/>
                              <wps:cNvSpPr txBox="1"/>
                              <wps:spPr>
                                <a:xfrm>
                                  <a:off x="2589530" y="3284855"/>
                                  <a:ext cx="332740" cy="153035"/>
                                </a:xfrm>
                                <a:prstGeom prst="rect">
                                  <a:avLst/>
                                </a:prstGeom>
                                <a:solidFill>
                                  <a:srgbClr val="FFFFFF">
                                    <a:alpha val="0"/>
                                  </a:srgbClr>
                                </a:solidFill>
                                <a:ln>
                                  <a:noFill/>
                                </a:ln>
                                <a:effectLst/>
                              </wps:spPr>
                              <wps:txbx>
                                <w:txbxContent>
                                  <w:p w14:paraId="5A803580">
                                    <w:pPr>
                                      <w:ind w:firstLine="0" w:firstLineChars="0"/>
                                      <w:rPr>
                                        <w:rFonts w:hint="default" w:eastAsia="宋体"/>
                                        <w:sz w:val="21"/>
                                        <w:szCs w:val="21"/>
                                        <w:lang w:val="en-US" w:eastAsia="zh-CN"/>
                                      </w:rPr>
                                    </w:pPr>
                                    <w:r>
                                      <w:rPr>
                                        <w:rFonts w:hint="eastAsia"/>
                                        <w:sz w:val="21"/>
                                        <w:szCs w:val="21"/>
                                        <w:lang w:val="en-US" w:eastAsia="zh-CN"/>
                                      </w:rPr>
                                      <w:t>1.4</w:t>
                                    </w:r>
                                  </w:p>
                                </w:txbxContent>
                              </wps:txbx>
                              <wps:bodyPr lIns="0" tIns="0" rIns="0" bIns="0" upright="1"/>
                            </wps:wsp>
                            <wps:wsp>
                              <wps:cNvPr id="1" name="矩形 38"/>
                              <wps:cNvSpPr/>
                              <wps:spPr>
                                <a:xfrm>
                                  <a:off x="1093470" y="4084955"/>
                                  <a:ext cx="133604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B2F46">
                                    <w:pPr>
                                      <w:jc w:val="center"/>
                                      <w:rPr>
                                        <w:rFonts w:hint="default"/>
                                        <w:lang w:val="en-US"/>
                                      </w:rPr>
                                    </w:pPr>
                                    <w:r>
                                      <w:rPr>
                                        <w:rFonts w:hint="eastAsia"/>
                                        <w:szCs w:val="21"/>
                                        <w:lang w:val="en-US" w:eastAsia="zh-CN"/>
                                      </w:rPr>
                                      <w:t>脱膜剂含水0.012</w:t>
                                    </w:r>
                                  </w:p>
                                </w:txbxContent>
                              </wps:txbx>
                              <wps:bodyPr upright="1"/>
                            </wps:wsp>
                            <wps:wsp>
                              <wps:cNvPr id="7" name="曲线连接符 43"/>
                              <wps:cNvCnPr/>
                              <wps:spPr>
                                <a:xfrm flipV="1">
                                  <a:off x="1789430" y="3932555"/>
                                  <a:ext cx="278130" cy="163830"/>
                                </a:xfrm>
                                <a:prstGeom prst="curvedConnector3">
                                  <a:avLst>
                                    <a:gd name="adj1" fmla="val 46575"/>
                                  </a:avLst>
                                </a:prstGeom>
                                <a:ln w="12700" cap="flat" cmpd="sng">
                                  <a:solidFill>
                                    <a:srgbClr val="000000"/>
                                  </a:solidFill>
                                  <a:prstDash val="solid"/>
                                  <a:headEnd type="none" w="med" len="med"/>
                                  <a:tailEnd type="triangle" w="med" len="med"/>
                                </a:ln>
                                <a:effectLst/>
                              </wps:spPr>
                              <wps:bodyPr/>
                            </wps:wsp>
                            <wps:wsp>
                              <wps:cNvPr id="8" name="文本框 44"/>
                              <wps:cNvSpPr txBox="1"/>
                              <wps:spPr>
                                <a:xfrm>
                                  <a:off x="1989455" y="3723005"/>
                                  <a:ext cx="1007745" cy="238125"/>
                                </a:xfrm>
                                <a:prstGeom prst="rect">
                                  <a:avLst/>
                                </a:prstGeom>
                                <a:solidFill>
                                  <a:srgbClr val="FFFFFF">
                                    <a:alpha val="0"/>
                                  </a:srgbClr>
                                </a:solidFill>
                                <a:ln>
                                  <a:noFill/>
                                </a:ln>
                                <a:effectLst/>
                              </wps:spPr>
                              <wps:txbx>
                                <w:txbxContent>
                                  <w:p w14:paraId="4E4DA49F">
                                    <w:pPr>
                                      <w:ind w:firstLine="0" w:firstLineChars="0"/>
                                      <w:rPr>
                                        <w:rFonts w:hint="default" w:eastAsia="宋体"/>
                                        <w:color w:val="FF0000"/>
                                        <w:sz w:val="21"/>
                                        <w:szCs w:val="21"/>
                                        <w:lang w:val="en-US" w:eastAsia="zh-CN"/>
                                      </w:rPr>
                                    </w:pPr>
                                    <w:r>
                                      <w:rPr>
                                        <w:rFonts w:hint="eastAsia"/>
                                        <w:color w:val="FF0000"/>
                                        <w:sz w:val="21"/>
                                        <w:szCs w:val="21"/>
                                        <w:lang w:val="en-US" w:eastAsia="zh-CN"/>
                                      </w:rPr>
                                      <w:t>蒸发</w:t>
                                    </w:r>
                                    <w:r>
                                      <w:rPr>
                                        <w:rFonts w:hint="eastAsia"/>
                                        <w:color w:val="FF0000"/>
                                        <w:sz w:val="21"/>
                                        <w:szCs w:val="21"/>
                                      </w:rPr>
                                      <w:t>损耗</w:t>
                                    </w:r>
                                    <w:r>
                                      <w:rPr>
                                        <w:rFonts w:hint="eastAsia"/>
                                        <w:color w:val="FF0000"/>
                                        <w:sz w:val="21"/>
                                        <w:szCs w:val="21"/>
                                        <w:lang w:val="en-US" w:eastAsia="zh-CN"/>
                                      </w:rPr>
                                      <w:t>0.012</w:t>
                                    </w:r>
                                  </w:p>
                                </w:txbxContent>
                              </wps:txbx>
                              <wps:bodyPr lIns="0" tIns="0" rIns="0" bIns="0" upright="1"/>
                            </wps:wsp>
                            <wps:wsp>
                              <wps:cNvPr id="10" name="文本框 22"/>
                              <wps:cNvSpPr txBox="1"/>
                              <wps:spPr>
                                <a:xfrm>
                                  <a:off x="875665" y="2818765"/>
                                  <a:ext cx="922020" cy="313690"/>
                                </a:xfrm>
                                <a:prstGeom prst="rect">
                                  <a:avLst/>
                                </a:prstGeom>
                                <a:solidFill>
                                  <a:srgbClr val="FFFFFF">
                                    <a:alpha val="0"/>
                                  </a:srgbClr>
                                </a:solidFill>
                                <a:ln>
                                  <a:noFill/>
                                </a:ln>
                                <a:effectLst/>
                              </wps:spPr>
                              <wps:txbx>
                                <w:txbxContent>
                                  <w:p w14:paraId="58B15973">
                                    <w:pPr>
                                      <w:ind w:firstLine="0" w:firstLineChars="0"/>
                                      <w:rPr>
                                        <w:rFonts w:hint="default" w:eastAsia="宋体"/>
                                        <w:color w:val="FF0000"/>
                                        <w:sz w:val="21"/>
                                        <w:szCs w:val="21"/>
                                        <w:lang w:val="en-US" w:eastAsia="zh-CN"/>
                                      </w:rPr>
                                    </w:pPr>
                                    <w:r>
                                      <w:rPr>
                                        <w:rFonts w:hint="eastAsia"/>
                                        <w:color w:val="FF0000"/>
                                        <w:sz w:val="21"/>
                                        <w:szCs w:val="21"/>
                                        <w:lang w:val="en-US" w:eastAsia="zh-CN"/>
                                      </w:rPr>
                                      <w:t>切削液含水0.4</w:t>
                                    </w:r>
                                  </w:p>
                                </w:txbxContent>
                              </wps:txbx>
                              <wps:bodyPr lIns="0" tIns="0" rIns="0" bIns="0" upright="1"/>
                            </wps:wsp>
                          </wpc:wpc>
                        </a:graphicData>
                      </a:graphic>
                    </wp:inline>
                  </w:drawing>
                </mc:Choice>
                <mc:Fallback>
                  <w:pict>
                    <v:group id="_x0000_s1026" o:spid="_x0000_s1026" o:spt="203" style="height:343.75pt;width:407.55pt;" coordsize="5175885,4365625" editas="canvas" o:gfxdata="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">
                      <o:lock v:ext="edit" aspectratio="f"/>
                      <v:shape id="_x0000_s1026" o:spid="_x0000_s1026" style="position:absolute;left:0;top:0;height:4365625;width:5175885;" filled="f" stroked="f" coordsize="21600,21600" o:gfxdata="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">
                        <v:fill on="f" focussize="0,0"/>
                        <v:stroke on="f"/>
                        <v:imagedata o:title=""/>
                        <o:lock v:ext="edit" aspectratio="t"/>
                      </v:shape>
                      <v:shape id="文本框 62" o:spid="_x0000_s1026" o:spt="202" type="#_x0000_t202" style="position:absolute;left:1111885;top:345440;height:290830;width:817880;" fillcolor="#FFFFFF" filled="t" stroked="t" coordsize="21600,21600" o:gfxdata="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JHfgQ1gAAAAUBAAAPAAAAAAAAAAEAIAAAACIAAABkcnMvZG93bnJldi54bWxQSwECFAAU&#10;AAAACACHTuJAdpSC3iwCAAB0BAAADgAAAAAAAAABACAAAAAlAQAAZHJzL2Uyb0RvYy54bWxQSwUG&#10;AAAAAAYABgBZAQAAwwUAAAAA&#10;">
                        <v:fill on="t" focussize="0,0"/>
                        <v:stroke color="#000000" joinstyle="miter"/>
                        <v:imagedata o:title=""/>
                        <o:lock v:ext="edit" aspectratio="f"/>
                        <v:textbox inset="0mm,0mm,0mm,0mm">
                          <w:txbxContent>
                            <w:p w14:paraId="2F368ACF">
                              <w:pPr>
                                <w:ind w:firstLine="0" w:firstLineChars="0"/>
                                <w:jc w:val="center"/>
                                <w:rPr>
                                  <w:sz w:val="21"/>
                                  <w:szCs w:val="21"/>
                                </w:rPr>
                              </w:pPr>
                              <w:r>
                                <w:rPr>
                                  <w:rFonts w:hint="eastAsia"/>
                                  <w:sz w:val="21"/>
                                  <w:szCs w:val="21"/>
                                </w:rPr>
                                <w:t>生活用水</w:t>
                              </w:r>
                            </w:p>
                          </w:txbxContent>
                        </v:textbox>
                      </v:shape>
                      <v:shape id="曲线连接符 49" o:spid="_x0000_s1026" o:spt="38" type="#_x0000_t38" style="position:absolute;left:1231900;top:133350;flip:y;height:163830;width:278130;" filled="f" stroked="t" coordsize="21600,21600" o:gfxdata="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qXVR1QAAAAUBAAAPAAAAAAAAAAEAIAAAACIAAABkcnMvZG93bnJldi54bWxQSwEC&#10;FAAUAAAACACHTuJAk9BuLTACAAA/BAAADgAAAAAAAAABACAAAAAkAQAAZHJzL2Uyb0RvYy54bWxQ&#10;SwUGAAAAAAYABgBZAQAAxgUAAAAA&#10;" adj="10800">
                        <v:fill on="f" focussize="0,0"/>
                        <v:stroke weight="1pt" color="#000000" joinstyle="round" endarrow="block"/>
                        <v:imagedata o:title=""/>
                        <o:lock v:ext="edit" aspectratio="f"/>
                      </v:shape>
                      <v:shape id="直接箭头连接符 63" o:spid="_x0000_s1026" o:spt="32" type="#_x0000_t32" style="position:absolute;left:1939290;top:469265;height:635;width:438150;" filled="f" stroked="t" coordsize="21600,21600" o:gfxdata="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V16itYAAAAFAQAA&#10;DwAAAAAAAAABACAAAAAiAAAAZHJzL2Rvd25yZXYueG1sUEsBAhQAFAAAAAgAh07iQF7KMbobAgAA&#10;DAQAAA4AAAAAAAAAAQAgAAAAJQEAAGRycy9lMm9Eb2MueG1sUEsFBgAAAAAGAAYAWQEAALIFAAAA&#10;AA==&#10;">
                        <v:fill on="f" focussize="0,0"/>
                        <v:stroke color="#000000" joinstyle="round" endarrow="block"/>
                        <v:imagedata o:title=""/>
                        <o:lock v:ext="edit" aspectratio="f"/>
                      </v:shape>
                      <v:shape id="文本框 64" o:spid="_x0000_s1026" o:spt="202" type="#_x0000_t202" style="position:absolute;left:2383790;top:363220;height:263525;width:812800;" fillcolor="#FFFFFF" filled="t" stroked="t" coordsize="21600,21600" o:gfxdata="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HfgQ1gAAAAUBAAAPAAAAAAAAAAEAIAAAACIAAABkcnMvZG93bnJldi54bWxQSwECFAAUAAAA&#10;CACHTuJA66u1DykCAAB0BAAADgAAAAAAAAABACAAAAAlAQAAZHJzL2Uyb0RvYy54bWxQSwUGAAAA&#10;AAYABgBZAQAAwAUAAAAA&#10;">
                        <v:fill on="t" focussize="0,0"/>
                        <v:stroke color="#000000" joinstyle="miter"/>
                        <v:imagedata o:title=""/>
                        <o:lock v:ext="edit" aspectratio="f"/>
                        <v:textbox inset="0mm,0mm,0mm,0mm">
                          <w:txbxContent>
                            <w:p w14:paraId="0378BAD2">
                              <w:pPr>
                                <w:ind w:firstLine="0" w:firstLineChars="0"/>
                                <w:jc w:val="center"/>
                                <w:rPr>
                                  <w:rFonts w:hint="eastAsia"/>
                                  <w:sz w:val="21"/>
                                  <w:szCs w:val="21"/>
                                </w:rPr>
                              </w:pPr>
                              <w:r>
                                <w:rPr>
                                  <w:rFonts w:hint="eastAsia"/>
                                  <w:sz w:val="21"/>
                                  <w:szCs w:val="21"/>
                                </w:rPr>
                                <w:t>化粪池</w:t>
                              </w:r>
                            </w:p>
                          </w:txbxContent>
                        </v:textbox>
                      </v:shape>
                      <v:shape id="文本框 65" o:spid="_x0000_s1026" o:spt="202" type="#_x0000_t202" style="position:absolute;left:1993265;top:304800;height:181610;width:352425;"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2Mhd/UAAAA&#10;BQEAAA8AAAAAAAAAAQAgAAAAIgAAAGRycy9kb3ducmV2LnhtbFBLAQIUABQAAAAIAIdO4kC/n68+&#10;6AEAANIDAAAOAAAAAAAAAAEAIAAAACMBAABkcnMvZTJvRG9jLnhtbFBLBQYAAAAABgAGAFkBAAB9&#10;BQAAAAA=&#10;">
                        <v:fill on="t" opacity="0f" focussize="0,0"/>
                        <v:stroke on="f"/>
                        <v:imagedata o:title=""/>
                        <o:lock v:ext="edit" aspectratio="f"/>
                        <v:textbox inset="0mm,0mm,0mm,0mm">
                          <w:txbxContent>
                            <w:p w14:paraId="081A6A48">
                              <w:pPr>
                                <w:ind w:firstLine="0" w:firstLineChars="0"/>
                                <w:rPr>
                                  <w:rFonts w:hint="default" w:eastAsia="宋体"/>
                                  <w:sz w:val="21"/>
                                  <w:szCs w:val="21"/>
                                  <w:lang w:val="en-US" w:eastAsia="zh-CN"/>
                                </w:rPr>
                              </w:pPr>
                              <w:r>
                                <w:rPr>
                                  <w:rFonts w:hint="eastAsia"/>
                                  <w:sz w:val="21"/>
                                  <w:szCs w:val="21"/>
                                  <w:lang w:val="en-US" w:eastAsia="zh-CN"/>
                                </w:rPr>
                                <w:t>480</w:t>
                              </w:r>
                            </w:p>
                          </w:txbxContent>
                        </v:textbox>
                      </v:shape>
                      <v:shape id="直接箭头连接符 66" o:spid="_x0000_s1026" o:spt="32" type="#_x0000_t32" style="position:absolute;left:173355;top:2024380;height:0;width:424180;" filled="f" stroked="t" coordsize="21600,21600" o:gfxdata="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V16itYAAAAFAQAADwAA&#10;AAAAAAABACAAAAAiAAAAZHJzL2Rvd25yZXYueG1sUEsBAhQAFAAAAAgAh07iQFVp+OwYAgAACgQA&#10;AA4AAAAAAAAAAQAgAAAAJQEAAGRycy9lMm9Eb2MueG1sUEsFBgAAAAAGAAYAWQEAAK8FAAAAAA==&#10;">
                        <v:fill on="f" focussize="0,0"/>
                        <v:stroke color="#000000" joinstyle="round" endarrow="block"/>
                        <v:imagedata o:title=""/>
                        <o:lock v:ext="edit" aspectratio="f"/>
                      </v:shape>
                      <v:shape id="文本框 67" o:spid="_x0000_s1026" o:spt="202" type="#_x0000_t202" style="position:absolute;left:1509395;top:0;height:219075;width:560705;"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2Mhd/UAAAABQEA&#10;AA8AAAAAAAAAAQAgAAAAIgAAAGRycy9kb3ducmV2LnhtbFBLAQIUABQAAAAIAIdO4kCaFW845QEA&#10;AM0DAAAOAAAAAAAAAAEAIAAAACMBAABkcnMvZTJvRG9jLnhtbFBLBQYAAAAABgAGAFkBAAB6BQAA&#10;AAA=&#10;">
                        <v:fill on="t" opacity="0f" focussize="0,0"/>
                        <v:stroke on="f"/>
                        <v:imagedata o:title=""/>
                        <o:lock v:ext="edit" aspectratio="f"/>
                        <v:textbox inset="0mm,0mm,0mm,0mm">
                          <w:txbxContent>
                            <w:p w14:paraId="75D4157F">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120</w:t>
                              </w:r>
                            </w:p>
                          </w:txbxContent>
                        </v:textbox>
                      </v:shape>
                      <v:shape id="文本框 68" o:spid="_x0000_s1026" o:spt="202" type="#_x0000_t202" style="position:absolute;left:161925;top:2082165;height:218440;width:465455;"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2Mhd/UAAAA&#10;BQEAAA8AAAAAAAAAAQAgAAAAIgAAAGRycy9kb3ducmV2LnhtbFBLAQIUABQAAAAIAIdO4kDm5fSx&#10;6AEAANIDAAAOAAAAAAAAAAEAIAAAACMBAABkcnMvZTJvRG9jLnhtbFBLBQYAAAAABgAGAFkBAAB9&#10;BQAAAAA=&#10;">
                        <v:fill on="t" opacity="0f" focussize="0,0"/>
                        <v:stroke on="f"/>
                        <v:imagedata o:title=""/>
                        <o:lock v:ext="edit" aspectratio="f"/>
                        <v:textbox inset="0mm,0mm,0mm,0mm">
                          <w:txbxContent>
                            <w:p w14:paraId="68A2A041">
                              <w:pPr>
                                <w:ind w:firstLine="0" w:firstLineChars="0"/>
                                <w:jc w:val="center"/>
                                <w:rPr>
                                  <w:sz w:val="21"/>
                                  <w:szCs w:val="21"/>
                                </w:rPr>
                              </w:pPr>
                              <w:r>
                                <w:rPr>
                                  <w:rFonts w:hint="eastAsia"/>
                                  <w:sz w:val="21"/>
                                  <w:szCs w:val="21"/>
                                  <w:lang w:val="en-US" w:eastAsia="zh-CN"/>
                                </w:rPr>
                                <w:t>新鲜</w:t>
                              </w:r>
                              <w:r>
                                <w:rPr>
                                  <w:rFonts w:hint="eastAsia"/>
                                  <w:sz w:val="21"/>
                                  <w:szCs w:val="21"/>
                                </w:rPr>
                                <w:t>水</w:t>
                              </w:r>
                            </w:p>
                          </w:txbxContent>
                        </v:textbox>
                      </v:shape>
                      <v:shape id="文本框 69" o:spid="_x0000_s1026" o:spt="202" type="#_x0000_t202" style="position:absolute;left:3754120;top:369570;height:568325;width:123063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2Mhd/U&#10;AAAABQEAAA8AAAAAAAAAAQAgAAAAIgAAAGRycy9kb3ducmV2LnhtbFBLAQIUABQAAAAIAIdO4kD2&#10;1zRL6wEAANMDAAAOAAAAAAAAAAEAIAAAACMBAABkcnMvZTJvRG9jLnhtbFBLBQYAAAAABgAGAFkB&#10;AACABQAAAAA=&#10;">
                        <v:fill on="t" opacity="0f" focussize="0,0"/>
                        <v:stroke on="f"/>
                        <v:imagedata o:title=""/>
                        <o:lock v:ext="edit" aspectratio="f"/>
                        <v:textbox inset="0mm,0mm,0mm,0mm">
                          <w:txbxContent>
                            <w:p w14:paraId="48D21D2A">
                              <w:pPr>
                                <w:rPr>
                                  <w:rFonts w:hint="eastAsia" w:cs="Times New Roman"/>
                                  <w:lang w:val="en-US" w:eastAsia="zh-CN"/>
                                </w:rPr>
                              </w:pPr>
                              <w:r>
                                <w:rPr>
                                  <w:rFonts w:hint="eastAsia" w:cs="Times New Roman"/>
                                  <w:lang w:val="en-US" w:eastAsia="zh-CN"/>
                                </w:rPr>
                                <w:t>用作液态肥料</w:t>
                              </w:r>
                            </w:p>
                          </w:txbxContent>
                        </v:textbox>
                      </v:shape>
                      <v:shape id="文本框 70" o:spid="_x0000_s1026" o:spt="202" type="#_x0000_t202" style="position:absolute;left:686435;top:29146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2Mhd/U&#10;AAAABQEAAA8AAAAAAAAAAQAgAAAAIgAAAGRycy9kb3ducmV2LnhtbFBLAQIUABQAAAAIAIdO4kBY&#10;ihqM6wEAANEDAAAOAAAAAAAAAAEAIAAAACMBAABkcnMvZTJvRG9jLnhtbFBLBQYAAAAABgAGAFkB&#10;AACABQAAAAA=&#10;">
                        <v:fill on="t" opacity="0f" focussize="0,0"/>
                        <v:stroke on="f"/>
                        <v:imagedata o:title=""/>
                        <o:lock v:ext="edit" aspectratio="f"/>
                        <v:textbox inset="0mm,0mm,0mm,0mm">
                          <w:txbxContent>
                            <w:p w14:paraId="2AEFE3A0">
                              <w:pPr>
                                <w:ind w:firstLine="0" w:firstLineChars="0"/>
                                <w:rPr>
                                  <w:rFonts w:hint="default" w:eastAsia="宋体"/>
                                  <w:sz w:val="21"/>
                                  <w:szCs w:val="21"/>
                                  <w:lang w:val="en-US" w:eastAsia="zh-CN"/>
                                </w:rPr>
                              </w:pPr>
                              <w:r>
                                <w:rPr>
                                  <w:rFonts w:hint="eastAsia"/>
                                  <w:sz w:val="21"/>
                                  <w:szCs w:val="21"/>
                                  <w:lang w:val="en-US" w:eastAsia="zh-CN"/>
                                </w:rPr>
                                <w:t>600</w:t>
                              </w:r>
                            </w:p>
                          </w:txbxContent>
                        </v:textbox>
                      </v:shape>
                      <v:shape id="文本框 71" o:spid="_x0000_s1026" o:spt="202" type="#_x0000_t202" style="position:absolute;left:3313430;top:27495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jIXf1AAA&#10;AAUBAAAPAAAAAAAAAAEAIAAAACIAAABkcnMvZG93bnJldi54bWxQSwECFAAUAAAACACHTuJAu9Pw&#10;bOkBAADSAwAADgAAAAAAAAABACAAAAAjAQAAZHJzL2Uyb0RvYy54bWxQSwUGAAAAAAYABgBZAQAA&#10;fgUAAAAA&#10;">
                        <v:fill on="t" opacity="0f" focussize="0,0"/>
                        <v:stroke on="f"/>
                        <v:imagedata o:title=""/>
                        <o:lock v:ext="edit" aspectratio="f"/>
                        <v:textbox inset="0mm,0mm,0mm,0mm">
                          <w:txbxContent>
                            <w:p w14:paraId="27A5D443">
                              <w:pPr>
                                <w:ind w:firstLine="0" w:firstLineChars="0"/>
                                <w:rPr>
                                  <w:rFonts w:hint="default" w:eastAsia="宋体"/>
                                  <w:sz w:val="21"/>
                                  <w:szCs w:val="21"/>
                                  <w:lang w:val="en-US" w:eastAsia="zh-CN"/>
                                </w:rPr>
                              </w:pPr>
                              <w:r>
                                <w:rPr>
                                  <w:rFonts w:hint="eastAsia"/>
                                  <w:sz w:val="21"/>
                                  <w:szCs w:val="21"/>
                                  <w:lang w:val="en-US" w:eastAsia="zh-CN"/>
                                </w:rPr>
                                <w:t>480</w:t>
                              </w:r>
                            </w:p>
                          </w:txbxContent>
                        </v:textbox>
                      </v:shape>
                      <v:line id="直接连接符 72" o:spid="_x0000_s1026" o:spt="20" style="position:absolute;left:3208655;top:465455;height:0;width:504825;" filled="f" stroked="t" coordsize="21600,21600" o:gfxdata="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MQDw1wAAAAUBAAAPAAAAAAAAAAEAIAAA&#10;ACIAAABkcnMvZG93bnJldi54bWxQSwECFAAUAAAACACHTuJAJOeaLw0CAAD6AwAADgAAAAAAAAAB&#10;ACAAAAAmAQAAZHJzL2Uyb0RvYy54bWxQSwUGAAAAAAYABgBZAQAApQUAAAAA&#10;">
                        <v:fill on="f" focussize="0,0"/>
                        <v:stroke color="#000000" joinstyle="round" endarrow="block"/>
                        <v:imagedata o:title=""/>
                        <o:lock v:ext="edit" aspectratio="f"/>
                      </v:line>
                      <v:shape id="直接箭头连接符 74" o:spid="_x0000_s1026" o:spt="32" type="#_x0000_t32" style="position:absolute;left:675005;top:503555;height:0;width:424180;" filled="f" stroked="t" coordsize="21600,21600" o:gfxdata="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V16itYAAAAFAQAADwAA&#10;AAAAAAABACAAAAAiAAAAZHJzL2Rvd25yZXYueG1sUEsBAhQAFAAAAAgAh07iQLcfsswYAgAACQQA&#10;AA4AAAAAAAAAAQAgAAAAJQEAAGRycy9lMm9Eb2MueG1sUEsFBgAAAAAGAAYAWQEAAK8FAAAAAA==&#10;">
                        <v:fill on="f" focussize="0,0"/>
                        <v:stroke color="#000000" joinstyle="round" endarrow="block"/>
                        <v:imagedata o:title=""/>
                        <o:lock v:ext="edit" aspectratio="f"/>
                      </v:shape>
                      <v:shape id="文本框 83" o:spid="_x0000_s1026" o:spt="202" type="#_x0000_t202" style="position:absolute;left:198755;top:179895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jIXf1AAA&#10;AAUBAAAPAAAAAAAAAAEAIAAAACIAAABkcnMvZG93bnJldi54bWxQSwECFAAUAAAACACHTuJAv+rM&#10;kOkBAADTAwAADgAAAAAAAAABACAAAAAjAQAAZHJzL2Uyb0RvYy54bWxQSwUGAAAAAAYABgBZAQAA&#10;fgUAAAAA&#10;">
                        <v:fill on="t" opacity="0f" focussize="0,0"/>
                        <v:stroke on="f"/>
                        <v:imagedata o:title=""/>
                        <o:lock v:ext="edit" aspectratio="f"/>
                        <v:textbox inset="0mm,0mm,0mm,0mm">
                          <w:txbxContent>
                            <w:p w14:paraId="6CDE22EE">
                              <w:pPr>
                                <w:ind w:firstLine="0" w:firstLineChars="0"/>
                                <w:rPr>
                                  <w:rFonts w:hint="default" w:eastAsia="宋体"/>
                                  <w:sz w:val="21"/>
                                  <w:szCs w:val="21"/>
                                  <w:lang w:val="en-US" w:eastAsia="zh-CN"/>
                                </w:rPr>
                              </w:pPr>
                              <w:r>
                                <w:rPr>
                                  <w:rFonts w:hint="eastAsia"/>
                                  <w:sz w:val="21"/>
                                  <w:szCs w:val="21"/>
                                  <w:lang w:val="en-US" w:eastAsia="zh-CN"/>
                                </w:rPr>
                                <w:t>663.9</w:t>
                              </w:r>
                            </w:p>
                          </w:txbxContent>
                        </v:textbox>
                      </v:shape>
                      <v:rect id="矩形 4" o:spid="_x0000_s1026" o:spt="1" style="position:absolute;left:1141730;top:1094105;height:292100;width:1041400;" fillcolor="#FFFFFF" filled="t" stroked="t" coordsize="21600,21600" o:gfxdata="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8hhzrVAAAABQEAAA8AAAAAAAAAAQAgAAAAIgAA&#10;AGRycy9kb3ducmV2LnhtbFBLAQIUABQAAAAIAIdO4kCZg+t6CwIAADcEAAAOAAAAAAAAAAEAIAAA&#10;ACQBAABkcnMvZTJvRG9jLnhtbFBLBQYAAAAABgAGAFkBAAChBQAAAAA=&#10;">
                        <v:fill on="t" focussize="0,0"/>
                        <v:stroke color="#000000" joinstyle="miter"/>
                        <v:imagedata o:title=""/>
                        <o:lock v:ext="edit" aspectratio="f"/>
                        <v:textbox>
                          <w:txbxContent>
                            <w:p w14:paraId="40283439">
                              <w:pPr>
                                <w:jc w:val="center"/>
                              </w:pPr>
                              <w:r>
                                <w:rPr>
                                  <w:rFonts w:hint="eastAsia"/>
                                  <w:szCs w:val="21"/>
                                  <w:lang w:val="en-US" w:eastAsia="zh-CN"/>
                                </w:rPr>
                                <w:t>冷却</w:t>
                              </w:r>
                              <w:r>
                                <w:rPr>
                                  <w:rFonts w:hint="eastAsia"/>
                                  <w:szCs w:val="21"/>
                                </w:rPr>
                                <w:t>用水</w:t>
                              </w:r>
                            </w:p>
                          </w:txbxContent>
                        </v:textbox>
                      </v:rect>
                      <v:shape id="肘形连接符 5" o:spid="_x0000_s1026" o:spt="35" type="#_x0000_t35" style="position:absolute;left:1694180;top:1313180;flip:x;height:127000;width:520700;" filled="f" stroked="t" coordsize="21600,21600" o:gfxdata="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OUx69QAAAAFAQAADwAAAAAAAAABACAAAAAiAAAAZHJz&#10;L2Rvd25yZXYueG1sUEsBAhQAFAAAAAgAh07iQFoTwxBBAgAAYAQAAA4AAAAAAAAAAQAgAAAAIwEA&#10;AGRycy9lMm9Eb2MueG1sUEsFBgAAAAAGAAYAWQEAANYFAAAAAA==&#10;" adj="-23423,65624">
                        <v:fill on="f" focussize="0,0"/>
                        <v:stroke color="#000000" joinstyle="miter" endarrow="block"/>
                        <v:imagedata o:title=""/>
                        <o:lock v:ext="edit" aspectratio="f"/>
                      </v:shape>
                      <v:shape id="文本框 6" o:spid="_x0000_s1026" o:spt="202" type="#_x0000_t202" style="position:absolute;left:1751330;top:1522730;height:190500;width:1117600;" filled="f" stroked="f" coordsize="21600,21600" o:gfxdata="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I6Sr1gAAAAUBAAAPAAAAAAAAAAEAIAAAACIAAABkcnMvZG93bnJldi54&#10;bWxQSwECFAAUAAAACACHTuJAm+lkncMBAACAAwAADgAAAAAAAAABACAAAAAlAQAAZHJzL2Uyb0Rv&#10;Yy54bWxQSwUGAAAAAAYABgBZAQAAWgUAAAAA&#10;">
                        <v:fill on="f" focussize="0,0"/>
                        <v:stroke on="f"/>
                        <v:imagedata o:title=""/>
                        <o:lock v:ext="edit" aspectratio="f"/>
                        <v:textbox inset="0mm,0mm,0mm,0mm">
                          <w:txbxContent>
                            <w:p w14:paraId="106CFBFC">
                              <w:pPr>
                                <w:rPr>
                                  <w:rFonts w:hint="default"/>
                                  <w:lang w:val="en-US" w:eastAsia="zh-CN"/>
                                </w:rPr>
                              </w:pPr>
                              <w:r>
                                <w:rPr>
                                  <w:rFonts w:hint="eastAsia" w:ascii="Times New Roman" w:hAnsi="Times New Roman" w:eastAsia="宋体" w:cs="Times New Roman"/>
                                  <w:kern w:val="2"/>
                                  <w:sz w:val="21"/>
                                  <w:szCs w:val="21"/>
                                  <w:lang w:val="en-US" w:eastAsia="zh-CN" w:bidi="ar-SA"/>
                                </w:rPr>
                                <w:t>循环量为</w:t>
                              </w:r>
                              <w:r>
                                <w:rPr>
                                  <w:rFonts w:hint="eastAsia" w:cs="Times New Roman"/>
                                  <w:kern w:val="2"/>
                                  <w:sz w:val="21"/>
                                  <w:szCs w:val="21"/>
                                  <w:lang w:val="en-US" w:eastAsia="zh-CN" w:bidi="ar-SA"/>
                                </w:rPr>
                                <w:t>4800</w:t>
                              </w:r>
                            </w:p>
                          </w:txbxContent>
                        </v:textbox>
                      </v:shape>
                      <v:shape id="直接箭头连接符 7" o:spid="_x0000_s1026" o:spt="32" type="#_x0000_t32" style="position:absolute;left:675005;top:1265555;height:0;width:424180;" filled="f" stroked="t" coordsize="21600,21600" o:gfxdata="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XXqK1gAAAAUBAAAPAAAA&#10;AAAAAAEAIAAAACIAAABkcnMvZG93bnJldi54bWxQSwECFAAUAAAACACHTuJAXi/9rBcCAAAKBAAA&#10;DgAAAAAAAAABACAAAAAlAQAAZHJzL2Uyb0RvYy54bWxQSwUGAAAAAAYABgBZAQAArgUAAAAA&#10;">
                        <v:fill on="f" focussize="0,0"/>
                        <v:stroke color="#000000" joinstyle="round" endarrow="block"/>
                        <v:imagedata o:title=""/>
                        <o:lock v:ext="edit" aspectratio="f"/>
                      </v:shape>
                      <v:shape id="文本框 8" o:spid="_x0000_s1026" o:spt="202" type="#_x0000_t202" style="position:absolute;left:751205;top:998855;height:257810;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jIXf1AAA&#10;AAUBAAAPAAAAAAAAAAEAIAAAACIAAABkcnMvZG93bnJldi54bWxQSwECFAAUAAAACACHTuJA2SQ5&#10;TOkBAADRAwAADgAAAAAAAAABACAAAAAjAQAAZHJzL2Uyb0RvYy54bWxQSwUGAAAAAAYABgBZAQAA&#10;fgUAAAAA&#10;">
                        <v:fill on="t" opacity="0f" focussize="0,0"/>
                        <v:stroke on="f"/>
                        <v:imagedata o:title=""/>
                        <o:lock v:ext="edit" aspectratio="f"/>
                        <v:textbox inset="0mm,0mm,0mm,0mm">
                          <w:txbxContent>
                            <w:p w14:paraId="3A5E49D7">
                              <w:pPr>
                                <w:ind w:firstLine="0" w:firstLineChars="0"/>
                                <w:rPr>
                                  <w:rFonts w:hint="default" w:eastAsia="宋体"/>
                                  <w:sz w:val="21"/>
                                  <w:szCs w:val="21"/>
                                  <w:lang w:val="en-US" w:eastAsia="zh-CN"/>
                                </w:rPr>
                              </w:pPr>
                              <w:r>
                                <w:rPr>
                                  <w:rFonts w:hint="eastAsia"/>
                                  <w:sz w:val="21"/>
                                  <w:szCs w:val="21"/>
                                  <w:lang w:val="en-US" w:eastAsia="zh-CN"/>
                                </w:rPr>
                                <w:t>52</w:t>
                              </w:r>
                            </w:p>
                          </w:txbxContent>
                        </v:textbox>
                      </v:shape>
                      <v:shape id="曲线连接符 9" o:spid="_x0000_s1026" o:spt="38" type="#_x0000_t38" style="position:absolute;left:1170305;top:932180;flip:y;height:163830;width:278130;" filled="f" stroked="t" coordsize="21600,21600" o:gfxdata="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qXVR1QAAAAUBAAAPAAAAAAAAAAEAIAAAACIAAABkcnMvZG93bnJldi54bWxQ&#10;SwECFAAUAAAACACHTuJAqCGyTTMCAAA/BAAADgAAAAAAAAABACAAAAAkAQAAZHJzL2Uyb0RvYy54&#10;bWxQSwUGAAAAAAYABgBZAQAAyQUAAAAA&#10;" adj="10800">
                        <v:fill on="f" focussize="0,0"/>
                        <v:stroke weight="1pt" color="#000000" joinstyle="round" endarrow="block"/>
                        <v:imagedata o:title=""/>
                        <o:lock v:ext="edit" aspectratio="f"/>
                      </v:shape>
                      <v:shape id="文本框 10" o:spid="_x0000_s1026" o:spt="202" type="#_x0000_t202" style="position:absolute;left:1398905;top:751205;height:219075;width:560705;"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jIXf1AAA&#10;AAUBAAAPAAAAAAAAAAEAIAAAACIAAABkcnMvZG93bnJldi54bWxQSwECFAAUAAAACACHTuJAYcy+&#10;d+kBAADTAwAADgAAAAAAAAABACAAAAAjAQAAZHJzL2Uyb0RvYy54bWxQSwUGAAAAAAYABgBZAQAA&#10;fgUAAAAA&#10;">
                        <v:fill on="t" opacity="0f" focussize="0,0"/>
                        <v:stroke on="f"/>
                        <v:imagedata o:title=""/>
                        <o:lock v:ext="edit" aspectratio="f"/>
                        <v:textbox inset="0mm,0mm,0mm,0mm">
                          <w:txbxContent>
                            <w:p w14:paraId="7E42959C">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48</w:t>
                              </w:r>
                            </w:p>
                          </w:txbxContent>
                        </v:textbox>
                      </v:shape>
                      <v:line id="直接连接符 11" o:spid="_x0000_s1026" o:spt="20" style="position:absolute;left:2208530;top:1246505;height:5715;width:897255;" filled="f" stroked="t" coordsize="21600,21600" o:gfxdata="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MQDw1wAAAAUBAAAPAAAAAAAA&#10;AAEAIAAAACIAAABkcnMvZG93bnJldi54bWxQSwECFAAUAAAACACHTuJAiOpbsxMCAAD/AwAADgAA&#10;AAAAAAABACAAAAAmAQAAZHJzL2Uyb0RvYy54bWxQSwUGAAAAAAYABgBZAQAAqwUAAAAA&#10;">
                        <v:fill on="f" focussize="0,0"/>
                        <v:stroke color="#000000" joinstyle="round" endarrow="block"/>
                        <v:imagedata o:title=""/>
                        <o:lock v:ext="edit" aspectratio="f"/>
                      </v:line>
                      <v:shape id="文本框 12" o:spid="_x0000_s1026" o:spt="202" type="#_x0000_t202" style="position:absolute;left:2427605;top:96075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jIXf&#10;1AAAAAUBAAAPAAAAAAAAAAEAIAAAACIAAABkcnMvZG93bnJldi54bWxQSwECFAAUAAAACACHTuJA&#10;ut/fEOwBAADTAwAADgAAAAAAAAABACAAAAAjAQAAZHJzL2Uyb0RvYy54bWxQSwUGAAAAAAYABgBZ&#10;AQAAgQUAAAAA&#10;">
                        <v:fill on="t" opacity="0f" focussize="0,0"/>
                        <v:stroke on="f"/>
                        <v:imagedata o:title=""/>
                        <o:lock v:ext="edit" aspectratio="f"/>
                        <v:textbox inset="0mm,0mm,0mm,0mm">
                          <w:txbxContent>
                            <w:p w14:paraId="506CAAAF">
                              <w:pPr>
                                <w:ind w:firstLine="0" w:firstLineChars="0"/>
                                <w:rPr>
                                  <w:rFonts w:hint="default" w:eastAsia="宋体"/>
                                  <w:sz w:val="21"/>
                                  <w:szCs w:val="21"/>
                                  <w:lang w:val="en-US" w:eastAsia="zh-CN"/>
                                </w:rPr>
                              </w:pPr>
                              <w:r>
                                <w:rPr>
                                  <w:rFonts w:hint="eastAsia"/>
                                  <w:sz w:val="21"/>
                                  <w:szCs w:val="21"/>
                                  <w:lang w:val="en-US" w:eastAsia="zh-CN"/>
                                </w:rPr>
                                <w:t>4</w:t>
                              </w:r>
                            </w:p>
                          </w:txbxContent>
                        </v:textbox>
                      </v:shape>
                      <v:shape id="文本框 13" o:spid="_x0000_s1026" o:spt="202" type="#_x0000_t202" style="position:absolute;left:3208655;top:1160780;height:234950;width:123063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yF39QA&#10;AAAFAQAADwAAAAAAAAABACAAAAAiAAAAZHJzL2Rvd25yZXYueG1sUEsBAhQAFAAAAAgAh07iQKpV&#10;PGjqAQAA1QMAAA4AAAAAAAAAAQAgAAAAIwEAAGRycy9lMm9Eb2MueG1sUEsFBgAAAAAGAAYAWQEA&#10;AH8FAAAAAA==&#10;">
                        <v:fill on="t" opacity="0f" focussize="0,0"/>
                        <v:stroke on="f"/>
                        <v:imagedata o:title=""/>
                        <o:lock v:ext="edit" aspectratio="f"/>
                        <v:textbox inset="0mm,0mm,0mm,0mm">
                          <w:txbxContent>
                            <w:p w14:paraId="61D0749C">
                              <w:pPr>
                                <w:rPr>
                                  <w:rFonts w:hint="default"/>
                                  <w:color w:val="auto"/>
                                  <w:lang w:val="en-US"/>
                                </w:rPr>
                              </w:pPr>
                              <w:r>
                                <w:rPr>
                                  <w:rFonts w:hint="eastAsia" w:cs="Times New Roman"/>
                                  <w:color w:val="auto"/>
                                  <w:lang w:val="en-US" w:eastAsia="zh-CN"/>
                                </w:rPr>
                                <w:t>废液</w:t>
                              </w:r>
                            </w:p>
                          </w:txbxContent>
                        </v:textbox>
                      </v:shape>
                      <v:rect id="矩形 14" o:spid="_x0000_s1026" o:spt="1" style="position:absolute;left:1151255;top:2122805;height:292100;width:1231265;" fillcolor="#FFFFFF" filled="t" stroked="t" coordsize="21600,21600" o:gfxdata="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8hhzrVAAAABQEAAA8AAAAAAAAAAQAgAAAA&#10;IgAAAGRycy9kb3ducmV2LnhtbFBLAQIUABQAAAAIAIdO4kDRG06fDgIAADgEAAAOAAAAAAAAAAEA&#10;IAAAACQBAABkcnMvZTJvRG9jLnhtbFBLBQYAAAAABgAGAFkBAACkBQAAAAA=&#10;">
                        <v:fill on="t" focussize="0,0"/>
                        <v:stroke color="#000000" joinstyle="miter"/>
                        <v:imagedata o:title=""/>
                        <o:lock v:ext="edit" aspectratio="f"/>
                        <v:textbox>
                          <w:txbxContent>
                            <w:p w14:paraId="6A0AA019">
                              <w:pPr>
                                <w:jc w:val="center"/>
                              </w:pPr>
                              <w:r>
                                <w:rPr>
                                  <w:rFonts w:hint="eastAsia"/>
                                  <w:szCs w:val="21"/>
                                  <w:lang w:val="en-US" w:eastAsia="zh-CN"/>
                                </w:rPr>
                                <w:t>超声波清洗</w:t>
                              </w:r>
                              <w:r>
                                <w:rPr>
                                  <w:rFonts w:hint="eastAsia"/>
                                  <w:szCs w:val="21"/>
                                </w:rPr>
                                <w:t>用水</w:t>
                              </w:r>
                            </w:p>
                          </w:txbxContent>
                        </v:textbox>
                      </v:rect>
                      <v:shape id="肘形连接符 15" o:spid="_x0000_s1026" o:spt="35" type="#_x0000_t35" style="position:absolute;left:1894205;top:2341880;flip:x;height:127000;width:520700;" filled="f" stroked="t" coordsize="21600,21600" o:gfxdata="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5THr1AAAAAUBAAAPAAAAAAAAAAEAIAAAACIAAABk&#10;cnMvZG93bnJldi54bWxQSwECFAAUAAAACACHTuJAS/euI0MCAABhBAAADgAAAAAAAAABACAAAAAj&#10;AQAAZHJzL2Uyb0RvYy54bWxQSwUGAAAAAAYABgBZAQAA2AUAAAAA&#10;" adj="-23423,65624">
                        <v:fill on="f" focussize="0,0"/>
                        <v:stroke color="#000000" joinstyle="miter" endarrow="block"/>
                        <v:imagedata o:title=""/>
                        <o:lock v:ext="edit" aspectratio="f"/>
                      </v:shape>
                      <v:shape id="文本框 16" o:spid="_x0000_s1026" o:spt="202" type="#_x0000_t202" style="position:absolute;left:1922780;top:2532380;height:190500;width:1117600;" filled="f" stroked="f" coordsize="21600,21600" o:gfxdata="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I6Sr1gAAAAUBAAAPAAAAAAAAAAEAIAAAACIAAABkcnMvZG93bnJl&#10;di54bWxQSwECFAAUAAAACACHTuJAe0YnscYBAACBAwAADgAAAAAAAAABACAAAAAlAQAAZHJzL2Uy&#10;b0RvYy54bWxQSwUGAAAAAAYABgBZAQAAXQUAAAAA&#10;">
                        <v:fill on="f" focussize="0,0"/>
                        <v:stroke on="f"/>
                        <v:imagedata o:title=""/>
                        <o:lock v:ext="edit" aspectratio="f"/>
                        <v:textbox inset="0mm,0mm,0mm,0mm">
                          <w:txbxContent>
                            <w:p w14:paraId="090F4BC5">
                              <w:pPr>
                                <w:rPr>
                                  <w:rFonts w:hint="default"/>
                                  <w:lang w:val="en-US" w:eastAsia="zh-CN"/>
                                </w:rPr>
                              </w:pPr>
                              <w:r>
                                <w:rPr>
                                  <w:rFonts w:hint="eastAsia" w:ascii="Times New Roman" w:hAnsi="Times New Roman" w:eastAsia="宋体" w:cs="Times New Roman"/>
                                  <w:kern w:val="2"/>
                                  <w:sz w:val="21"/>
                                  <w:szCs w:val="21"/>
                                  <w:lang w:val="en-US" w:eastAsia="zh-CN" w:bidi="ar-SA"/>
                                </w:rPr>
                                <w:t>循环量为</w:t>
                              </w:r>
                              <w:r>
                                <w:rPr>
                                  <w:rFonts w:hint="eastAsia" w:cs="Times New Roman"/>
                                  <w:kern w:val="2"/>
                                  <w:sz w:val="21"/>
                                  <w:szCs w:val="21"/>
                                  <w:lang w:val="en-US" w:eastAsia="zh-CN" w:bidi="ar-SA"/>
                                </w:rPr>
                                <w:t>3105</w:t>
                              </w:r>
                            </w:p>
                          </w:txbxContent>
                        </v:textbox>
                      </v:shape>
                      <v:line id="直接连接符 17" o:spid="_x0000_s1026" o:spt="20" style="position:absolute;left:2437130;top:2265680;height:5715;width:897255;" filled="f" stroked="t" coordsize="21600,21600" o:gfxdata="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xAPDXAAAABQEAAA8AAAAAAAAA&#10;AQAgAAAAIgAAAGRycy9kb3ducmV2LnhtbFBLAQIUABQAAAAIAIdO4kC/feygEgIAAP8DAAAOAAAA&#10;AAAAAAEAIAAAACYBAABkcnMvZTJvRG9jLnhtbFBLBQYAAAAABgAGAFkBAACqBQAAAAA=&#10;">
                        <v:fill on="f" focussize="0,0"/>
                        <v:stroke color="#000000" joinstyle="round" endarrow="block"/>
                        <v:imagedata o:title=""/>
                        <o:lock v:ext="edit" aspectratio="f"/>
                      </v:line>
                      <v:shape id="文本框 18" o:spid="_x0000_s1026" o:spt="202" type="#_x0000_t202" style="position:absolute;left:3351530;top:2132330;height:330200;width:123063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yF39QAAAAF&#10;AQAADwAAAAAAAAABACAAAAAiAAAAZHJzL2Rvd25yZXYueG1sUEsBAhQAFAAAAAgAh07iQMk1ENzn&#10;AQAA1QMAAA4AAAAAAAAAAQAgAAAAIwEAAGRycy9lMm9Eb2MueG1sUEsFBgAAAAAGAAYAWQEAAHwF&#10;AAAAAA==&#10;">
                        <v:fill on="t" opacity="0f" focussize="0,0"/>
                        <v:stroke on="f"/>
                        <v:imagedata o:title=""/>
                        <o:lock v:ext="edit" aspectratio="f"/>
                        <v:textbox inset="0mm,0mm,0mm,0mm">
                          <w:txbxContent>
                            <w:p w14:paraId="6A4A1228">
                              <w:pPr>
                                <w:rPr>
                                  <w:rFonts w:hint="default"/>
                                  <w:color w:val="auto"/>
                                  <w:lang w:val="en-US"/>
                                </w:rPr>
                              </w:pPr>
                              <w:r>
                                <w:rPr>
                                  <w:rFonts w:hint="eastAsia" w:cs="Times New Roman"/>
                                  <w:color w:val="auto"/>
                                  <w:lang w:val="en-US" w:eastAsia="zh-CN"/>
                                </w:rPr>
                                <w:t>废液</w:t>
                              </w:r>
                            </w:p>
                          </w:txbxContent>
                        </v:textbox>
                      </v:shape>
                      <v:shape id="文本框 19" o:spid="_x0000_s1026" o:spt="202" type="#_x0000_t202" style="position:absolute;left:2551430;top:200850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2Mhd/U&#10;AAAABQEAAA8AAAAAAAAAAQAgAAAAIgAAAGRycy9kb3ducmV2LnhtbFBLAQIUABQAAAAIAIdO4kDl&#10;KIgW6wEAANQDAAAOAAAAAAAAAAEAIAAAACMBAABkcnMvZTJvRG9jLnhtbFBLBQYAAAAABgAGAFkB&#10;AACABQAAAAA=&#10;">
                        <v:fill on="t" opacity="0f" focussize="0,0"/>
                        <v:stroke on="f"/>
                        <v:imagedata o:title=""/>
                        <o:lock v:ext="edit" aspectratio="f"/>
                        <v:textbox inset="0mm,0mm,0mm,0mm">
                          <w:txbxContent>
                            <w:p w14:paraId="7008FFDF">
                              <w:pPr>
                                <w:ind w:firstLine="0" w:firstLineChars="0"/>
                                <w:rPr>
                                  <w:rFonts w:hint="default" w:eastAsia="宋体"/>
                                  <w:sz w:val="21"/>
                                  <w:szCs w:val="21"/>
                                  <w:lang w:val="en-US" w:eastAsia="zh-CN"/>
                                </w:rPr>
                              </w:pPr>
                              <w:r>
                                <w:rPr>
                                  <w:rFonts w:hint="eastAsia"/>
                                  <w:sz w:val="21"/>
                                  <w:szCs w:val="21"/>
                                  <w:lang w:val="en-US" w:eastAsia="zh-CN"/>
                                </w:rPr>
                                <w:t>6.9</w:t>
                              </w:r>
                            </w:p>
                          </w:txbxContent>
                        </v:textbox>
                      </v:shape>
                      <v:shape id="曲线连接符 21" o:spid="_x0000_s1026" o:spt="38" type="#_x0000_t38" style="position:absolute;left:1198880;top:1951355;flip:y;height:163830;width:278130;" filled="f" stroked="t" coordsize="21600,21600" o:gfxdata="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pdVHVAAAABQEAAA8AAAAAAAAAAQAgAAAAIgAAAGRycy9kb3ducmV2LnhtbFBL&#10;AQIUABQAAAAIAIdO4kDrQ/5QMgIAAEEEAAAOAAAAAAAAAAEAIAAAACQBAABkcnMvZTJvRG9jLnht&#10;bFBLBQYAAAAABgAGAFkBAADIBQAAAAA=&#10;" adj="10800">
                        <v:fill on="f" focussize="0,0"/>
                        <v:stroke weight="1pt" color="#000000" joinstyle="round" endarrow="block"/>
                        <v:imagedata o:title=""/>
                        <o:lock v:ext="edit" aspectratio="f"/>
                      </v:shape>
                      <v:shape id="文本框 22" o:spid="_x0000_s1026" o:spt="202" type="#_x0000_t202" style="position:absolute;left:1465580;top:1846580;height:219075;width:560705;"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yF39QA&#10;AAAFAQAADwAAAAAAAAABACAAAAAiAAAAZHJzL2Rvd25yZXYueG1sUEsBAhQAFAAAAAgAh07iQJdT&#10;XyjqAQAA1AMAAA4AAAAAAAAAAQAgAAAAIwEAAGRycy9lMm9Eb2MueG1sUEsFBgAAAAAGAAYAWQEA&#10;AH8FAAAAAA==&#10;">
                        <v:fill on="t" opacity="0f" focussize="0,0"/>
                        <v:stroke on="f"/>
                        <v:imagedata o:title=""/>
                        <o:lock v:ext="edit" aspectratio="f"/>
                        <v:textbox inset="0mm,0mm,0mm,0mm">
                          <w:txbxContent>
                            <w:p w14:paraId="29CFF6CD">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6.9</w:t>
                              </w:r>
                            </w:p>
                          </w:txbxContent>
                        </v:textbox>
                      </v:shape>
                      <v:shape id="直接箭头连接符 23" o:spid="_x0000_s1026" o:spt="32" type="#_x0000_t32" style="position:absolute;left:722630;top:2265680;height:0;width:424180;" filled="f" stroked="t" coordsize="21600,21600" o:gfxdata="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XXqK1gAAAAUBAAAPAAAA&#10;AAAAAAEAIAAAACIAAABkcnMvZG93bnJldi54bWxQSwECFAAUAAAACACHTuJAkWtcVxcCAAALBAAA&#10;DgAAAAAAAAABACAAAAAlAQAAZHJzL2Uyb0RvYy54bWxQSwUGAAAAAAYABgBZAQAArgUAAAAA&#10;">
                        <v:fill on="f" focussize="0,0"/>
                        <v:stroke color="#000000" joinstyle="round" endarrow="block"/>
                        <v:imagedata o:title=""/>
                        <o:lock v:ext="edit" aspectratio="f"/>
                      </v:shape>
                      <v:shape id="文本框 24" o:spid="_x0000_s1026" o:spt="202" type="#_x0000_t202" style="position:absolute;left:741680;top:2075180;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2Mhd/U&#10;AAAABQEAAA8AAAAAAAAAAQAgAAAAIgAAAGRycy9kb3ducmV2LnhtbFBLAQIUABQAAAAIAIdO4kBb&#10;EBkp6wEAANMDAAAOAAAAAAAAAAEAIAAAACMBAABkcnMvZTJvRG9jLnhtbFBLBQYAAAAABgAGAFkB&#10;AACABQAAAAA=&#10;">
                        <v:fill on="t" opacity="0f" focussize="0,0"/>
                        <v:stroke on="f"/>
                        <v:imagedata o:title=""/>
                        <o:lock v:ext="edit" aspectratio="f"/>
                        <v:textbox inset="0mm,0mm,0mm,0mm">
                          <w:txbxContent>
                            <w:p w14:paraId="7F5C5166">
                              <w:pPr>
                                <w:ind w:firstLine="0" w:firstLineChars="0"/>
                                <w:rPr>
                                  <w:rFonts w:hint="default" w:eastAsia="宋体"/>
                                  <w:sz w:val="21"/>
                                  <w:szCs w:val="21"/>
                                  <w:lang w:val="en-US" w:eastAsia="zh-CN"/>
                                </w:rPr>
                              </w:pPr>
                              <w:r>
                                <w:rPr>
                                  <w:rFonts w:hint="eastAsia"/>
                                  <w:sz w:val="21"/>
                                  <w:szCs w:val="21"/>
                                  <w:lang w:val="en-US" w:eastAsia="zh-CN"/>
                                </w:rPr>
                                <w:t>6.9</w:t>
                              </w:r>
                            </w:p>
                          </w:txbxContent>
                        </v:textbox>
                      </v:shape>
                      <v:rect id="矩形 38" o:spid="_x0000_s1026" o:spt="1" style="position:absolute;left:1103630;top:3275330;height:292100;width:1316990;" fillcolor="#FFFFFF" filled="t" stroked="t" coordsize="21600,21600" o:gfxdata="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8hhzrVAAAABQEAAA8AAAAAAAAAAQAgAAAA&#10;IgAAAGRycy9kb3ducmV2LnhtbFBLAQIUABQAAAAIAIdO4kAC+rkqDgIAADgEAAAOAAAAAAAAAAEA&#10;IAAAACQBAABkcnMvZTJvRG9jLnhtbFBLBQYAAAAABgAGAFkBAACkBQAAAAA=&#10;">
                        <v:fill on="t" focussize="0,0"/>
                        <v:stroke color="#000000" joinstyle="miter"/>
                        <v:imagedata o:title=""/>
                        <o:lock v:ext="edit" aspectratio="f"/>
                        <v:textbox>
                          <w:txbxContent>
                            <w:p w14:paraId="687004B0">
                              <w:pPr>
                                <w:jc w:val="center"/>
                                <w:rPr>
                                  <w:rFonts w:hint="default"/>
                                  <w:lang w:val="en-US"/>
                                </w:rPr>
                              </w:pPr>
                              <w:r>
                                <w:rPr>
                                  <w:rFonts w:hint="eastAsia"/>
                                  <w:szCs w:val="21"/>
                                  <w:lang w:val="en-US" w:eastAsia="zh-CN"/>
                                </w:rPr>
                                <w:t>切削液配水</w:t>
                              </w:r>
                            </w:p>
                          </w:txbxContent>
                        </v:textbox>
                      </v:rect>
                      <v:line id="直接连接符 39" o:spid="_x0000_s1026" o:spt="20" style="position:absolute;left:2454275;top:3453765;height:8255;width:794385;" filled="f" stroked="t" coordsize="21600,21600" o:gfxdata="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zEA8NcAAAAFAQAADwAAAAAA&#10;AAABACAAAAAiAAAAZHJzL2Rvd25yZXYueG1sUEsBAhQAFAAAAAgAh07iQPUXN+gUAgAA/wMAAA4A&#10;AAAAAAAAAQAgAAAAJgEAAGRycy9lMm9Eb2MueG1sUEsFBgAAAAAGAAYAWQEAAKwFAAAAAA==&#10;">
                        <v:fill on="f" focussize="0,0"/>
                        <v:stroke color="#000000" joinstyle="round" endarrow="block"/>
                        <v:imagedata o:title=""/>
                        <o:lock v:ext="edit" aspectratio="f"/>
                      </v:line>
                      <v:shape id="文本框 40" o:spid="_x0000_s1026" o:spt="202" type="#_x0000_t202" style="position:absolute;left:3240405;top:3361055;height:226060;width:10312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jIXf1AAA&#10;AAUBAAAPAAAAAAAAAAEAIAAAACIAAABkcnMvZG93bnJldi54bWxQSwECFAAUAAAACACHTuJAQXNH&#10;M+kBAADVAwAADgAAAAAAAAABACAAAAAjAQAAZHJzL2Uyb0RvYy54bWxQSwUGAAAAAAYABgBZAQAA&#10;fgUAAAAA&#10;">
                        <v:fill on="t" opacity="0f" focussize="0,0"/>
                        <v:stroke on="f"/>
                        <v:imagedata o:title=""/>
                        <o:lock v:ext="edit" aspectratio="f"/>
                        <v:textbox inset="0mm,0mm,0mm,0mm">
                          <w:txbxContent>
                            <w:p w14:paraId="69240E12">
                              <w:pPr>
                                <w:rPr>
                                  <w:rFonts w:hint="default"/>
                                  <w:lang w:val="en-US"/>
                                </w:rPr>
                              </w:pPr>
                              <w:r>
                                <w:rPr>
                                  <w:rFonts w:hint="eastAsia" w:cs="Times New Roman"/>
                                  <w:lang w:val="en-US" w:eastAsia="zh-CN"/>
                                </w:rPr>
                                <w:t>进入废切削液</w:t>
                              </w:r>
                            </w:p>
                          </w:txbxContent>
                        </v:textbox>
                      </v:shape>
                      <v:shape id="直接箭头连接符 41" o:spid="_x0000_s1026" o:spt="32" type="#_x0000_t32" style="position:absolute;left:675005;top:3427730;height:0;width:424180;" filled="f" stroked="t" coordsize="21600,21600" o:gfxdata="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XXqK1gAAAAUBAAAP&#10;AAAAAAAAAAEAIAAAACIAAABkcnMvZG93bnJldi54bWxQSwECFAAUAAAACACHTuJA8Bmm+hoCAAAL&#10;BAAADgAAAAAAAAABACAAAAAlAQAAZHJzL2Uyb0RvYy54bWxQSwUGAAAAAAYABgBZAQAAsQUAAAAA&#10;">
                        <v:fill on="f" focussize="0,0"/>
                        <v:stroke color="#000000" joinstyle="round" endarrow="block"/>
                        <v:imagedata o:title=""/>
                        <o:lock v:ext="edit" aspectratio="f"/>
                      </v:shape>
                      <v:shape id="文本框 42" o:spid="_x0000_s1026" o:spt="202" type="#_x0000_t202" style="position:absolute;left:817880;top:315150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jIXf&#10;1AAAAAUBAAAPAAAAAAAAAAEAIAAAACIAAABkcnMvZG93bnJldi54bWxQSwECFAAUAAAACACHTuJA&#10;foquSewBAADTAwAADgAAAAAAAAABACAAAAAjAQAAZHJzL2Uyb0RvYy54bWxQSwUGAAAAAAYABgBZ&#10;AQAAgQUAAAAA&#10;">
                        <v:fill on="t" opacity="0f" focussize="0,0"/>
                        <v:stroke on="f"/>
                        <v:imagedata o:title=""/>
                        <o:lock v:ext="edit" aspectratio="f"/>
                        <v:textbox inset="0mm,0mm,0mm,0mm">
                          <w:txbxContent>
                            <w:p w14:paraId="6127BB37">
                              <w:pPr>
                                <w:ind w:firstLine="0" w:firstLineChars="0"/>
                                <w:rPr>
                                  <w:rFonts w:hint="default" w:eastAsia="宋体"/>
                                  <w:sz w:val="21"/>
                                  <w:szCs w:val="21"/>
                                  <w:lang w:val="en-US" w:eastAsia="zh-CN"/>
                                </w:rPr>
                              </w:pPr>
                              <w:r>
                                <w:rPr>
                                  <w:rFonts w:hint="eastAsia"/>
                                  <w:sz w:val="21"/>
                                  <w:szCs w:val="21"/>
                                  <w:lang w:val="en-US" w:eastAsia="zh-CN"/>
                                </w:rPr>
                                <w:t>5</w:t>
                              </w:r>
                            </w:p>
                          </w:txbxContent>
                        </v:textbox>
                      </v:shape>
                      <v:shape id="曲线连接符 43" o:spid="_x0000_s1026" o:spt="38" type="#_x0000_t38" style="position:absolute;left:1856105;top:3094355;flip:y;height:163830;width:278130;" filled="f" stroked="t" coordsize="21600,21600" o:gfxdata="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KpdVHVAAAABQEAAA8AAAAAAAAAAQAgAAAAIgAAAGRycy9kb3ducmV2Lnht&#10;bFBLAQIUABQAAAAIAIdO4kD0/9tFNQIAAEEEAAAOAAAAAAAAAAEAIAAAACQBAABkcnMvZTJvRG9j&#10;LnhtbFBLBQYAAAAABgAGAFkBAADLBQAAAAA=&#10;" adj="10800">
                        <v:fill on="f" focussize="0,0"/>
                        <v:stroke weight="1pt" color="#000000" joinstyle="round" endarrow="block"/>
                        <v:imagedata o:title=""/>
                        <o:lock v:ext="edit" aspectratio="f"/>
                      </v:shape>
                      <v:shape id="文本框 44" o:spid="_x0000_s1026" o:spt="202" type="#_x0000_t202" style="position:absolute;left:2084705;top:2989580;height:238125;width:84582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yF39QA&#10;AAAFAQAADwAAAAAAAAABACAAAAAiAAAAZHJzL2Rvd25yZXYueG1sUEsBAhQAFAAAAAgAh07iQI1U&#10;5NbqAQAA1AMAAA4AAAAAAAAAAQAgAAAAIwEAAGRycy9lMm9Eb2MueG1sUEsFBgAAAAAGAAYAWQEA&#10;AH8FAAAAAA==&#10;">
                        <v:fill on="t" opacity="0f" focussize="0,0"/>
                        <v:stroke on="f"/>
                        <v:imagedata o:title=""/>
                        <o:lock v:ext="edit" aspectratio="f"/>
                        <v:textbox inset="0mm,0mm,0mm,0mm">
                          <w:txbxContent>
                            <w:p w14:paraId="571E18B0">
                              <w:pPr>
                                <w:ind w:firstLine="0" w:firstLineChars="0"/>
                                <w:rPr>
                                  <w:rFonts w:hint="default" w:eastAsia="宋体"/>
                                  <w:color w:val="FF0000"/>
                                  <w:sz w:val="21"/>
                                  <w:szCs w:val="21"/>
                                  <w:lang w:val="en-US" w:eastAsia="zh-CN"/>
                                </w:rPr>
                              </w:pPr>
                              <w:r>
                                <w:rPr>
                                  <w:rFonts w:hint="eastAsia"/>
                                  <w:color w:val="FF0000"/>
                                  <w:sz w:val="21"/>
                                  <w:szCs w:val="21"/>
                                  <w:lang w:val="en-US" w:eastAsia="zh-CN"/>
                                </w:rPr>
                                <w:t>蒸发</w:t>
                              </w:r>
                              <w:r>
                                <w:rPr>
                                  <w:rFonts w:hint="eastAsia"/>
                                  <w:color w:val="FF0000"/>
                                  <w:sz w:val="21"/>
                                  <w:szCs w:val="21"/>
                                </w:rPr>
                                <w:t>损耗</w:t>
                              </w:r>
                              <w:r>
                                <w:rPr>
                                  <w:rFonts w:hint="eastAsia"/>
                                  <w:color w:val="FF0000"/>
                                  <w:sz w:val="21"/>
                                  <w:szCs w:val="21"/>
                                  <w:lang w:val="en-US" w:eastAsia="zh-CN"/>
                                </w:rPr>
                                <w:t>4</w:t>
                              </w:r>
                            </w:p>
                          </w:txbxContent>
                        </v:textbox>
                      </v:shape>
                      <v:shape id="文本框 45" o:spid="_x0000_s1026" o:spt="202" type="#_x0000_t202" style="position:absolute;left:2589530;top:3284855;height:153035;width:33274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jIXf&#10;1AAAAAUBAAAPAAAAAAAAAAEAIAAAACIAAABkcnMvZG93bnJldi54bWxQSwECFAAUAAAACACHTuJA&#10;lLyj0ewBAADUAwAADgAAAAAAAAABACAAAAAjAQAAZHJzL2Uyb0RvYy54bWxQSwUGAAAAAAYABgBZ&#10;AQAAgQUAAAAA&#10;">
                        <v:fill on="t" opacity="0f" focussize="0,0"/>
                        <v:stroke on="f"/>
                        <v:imagedata o:title=""/>
                        <o:lock v:ext="edit" aspectratio="f"/>
                        <v:textbox inset="0mm,0mm,0mm,0mm">
                          <w:txbxContent>
                            <w:p w14:paraId="5A803580">
                              <w:pPr>
                                <w:ind w:firstLine="0" w:firstLineChars="0"/>
                                <w:rPr>
                                  <w:rFonts w:hint="default" w:eastAsia="宋体"/>
                                  <w:sz w:val="21"/>
                                  <w:szCs w:val="21"/>
                                  <w:lang w:val="en-US" w:eastAsia="zh-CN"/>
                                </w:rPr>
                              </w:pPr>
                              <w:r>
                                <w:rPr>
                                  <w:rFonts w:hint="eastAsia"/>
                                  <w:sz w:val="21"/>
                                  <w:szCs w:val="21"/>
                                  <w:lang w:val="en-US" w:eastAsia="zh-CN"/>
                                </w:rPr>
                                <w:t>1.4</w:t>
                              </w:r>
                            </w:p>
                          </w:txbxContent>
                        </v:textbox>
                      </v:shape>
                      <v:rect id="矩形 38" o:spid="_x0000_s1026" o:spt="1" style="position:absolute;left:1093470;top:4084955;height:292100;width:1336040;" fillcolor="#FFFFFF" filled="t" stroked="t" coordsize="21600,21600" o:gfxdata="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yGHOtUAAAAFAQAADwAAAAAAAAABACAA&#10;AAAiAAAAZHJzL2Rvd25yZXYueG1sUEsBAhQAFAAAAAgAh07iQCM0SksQAgAANgQAAA4AAAAAAAAA&#10;AQAgAAAAJAEAAGRycy9lMm9Eb2MueG1sUEsFBgAAAAAGAAYAWQEAAKYFAAAAAA==&#10;">
                        <v:fill on="t" focussize="0,0"/>
                        <v:stroke color="#000000" joinstyle="miter"/>
                        <v:imagedata o:title=""/>
                        <o:lock v:ext="edit" aspectratio="f"/>
                        <v:textbox>
                          <w:txbxContent>
                            <w:p w14:paraId="7AFB2F46">
                              <w:pPr>
                                <w:jc w:val="center"/>
                                <w:rPr>
                                  <w:rFonts w:hint="default"/>
                                  <w:lang w:val="en-US"/>
                                </w:rPr>
                              </w:pPr>
                              <w:r>
                                <w:rPr>
                                  <w:rFonts w:hint="eastAsia"/>
                                  <w:szCs w:val="21"/>
                                  <w:lang w:val="en-US" w:eastAsia="zh-CN"/>
                                </w:rPr>
                                <w:t>脱膜剂含水0.012</w:t>
                              </w:r>
                            </w:p>
                          </w:txbxContent>
                        </v:textbox>
                      </v:rect>
                      <v:shape id="曲线连接符 43" o:spid="_x0000_s1026" o:spt="38" type="#_x0000_t38" style="position:absolute;left:1789430;top:3932555;flip:y;height:163830;width:278130;" filled="f" stroked="t" coordsize="21600,21600" o:gfxdata="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4Hdzr1gAAAAUBAAAPAAAAAAAAAAEAIAAAACIAAABkcnMvZG93bnJldi54&#10;bWxQSwECFAAUAAAACACHTuJAYt1h+jUCAAA/BAAADgAAAAAAAAABACAAAAAlAQAAZHJzL2Uyb0Rv&#10;Yy54bWxQSwUGAAAAAAYABgBZAQAAzAUAAAAA&#10;" adj="10060">
                        <v:fill on="f" focussize="0,0"/>
                        <v:stroke weight="1pt" color="#000000" joinstyle="round" endarrow="block"/>
                        <v:imagedata o:title=""/>
                        <o:lock v:ext="edit" aspectratio="f"/>
                      </v:shape>
                      <v:shape id="文本框 44" o:spid="_x0000_s1026" o:spt="202" type="#_x0000_t202" style="position:absolute;left:1989455;top:3723005;height:238125;width:1007745;"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jIXf&#10;1AAAAAUBAAAPAAAAAAAAAAEAIAAAACIAAABkcnMvZG93bnJldi54bWxQSwECFAAUAAAACACHTuJA&#10;X2K8c+wBAADTAwAADgAAAAAAAAABACAAAAAjAQAAZHJzL2Uyb0RvYy54bWxQSwUGAAAAAAYABgBZ&#10;AQAAgQUAAAAA&#10;">
                        <v:fill on="t" opacity="0f" focussize="0,0"/>
                        <v:stroke on="f"/>
                        <v:imagedata o:title=""/>
                        <o:lock v:ext="edit" aspectratio="f"/>
                        <v:textbox inset="0mm,0mm,0mm,0mm">
                          <w:txbxContent>
                            <w:p w14:paraId="4E4DA49F">
                              <w:pPr>
                                <w:ind w:firstLine="0" w:firstLineChars="0"/>
                                <w:rPr>
                                  <w:rFonts w:hint="default" w:eastAsia="宋体"/>
                                  <w:color w:val="FF0000"/>
                                  <w:sz w:val="21"/>
                                  <w:szCs w:val="21"/>
                                  <w:lang w:val="en-US" w:eastAsia="zh-CN"/>
                                </w:rPr>
                              </w:pPr>
                              <w:r>
                                <w:rPr>
                                  <w:rFonts w:hint="eastAsia"/>
                                  <w:color w:val="FF0000"/>
                                  <w:sz w:val="21"/>
                                  <w:szCs w:val="21"/>
                                  <w:lang w:val="en-US" w:eastAsia="zh-CN"/>
                                </w:rPr>
                                <w:t>蒸发</w:t>
                              </w:r>
                              <w:r>
                                <w:rPr>
                                  <w:rFonts w:hint="eastAsia"/>
                                  <w:color w:val="FF0000"/>
                                  <w:sz w:val="21"/>
                                  <w:szCs w:val="21"/>
                                </w:rPr>
                                <w:t>损耗</w:t>
                              </w:r>
                              <w:r>
                                <w:rPr>
                                  <w:rFonts w:hint="eastAsia"/>
                                  <w:color w:val="FF0000"/>
                                  <w:sz w:val="21"/>
                                  <w:szCs w:val="21"/>
                                  <w:lang w:val="en-US" w:eastAsia="zh-CN"/>
                                </w:rPr>
                                <w:t>0.012</w:t>
                              </w:r>
                            </w:p>
                          </w:txbxContent>
                        </v:textbox>
                      </v:shape>
                      <v:shape id="文本框 22" o:spid="_x0000_s1026" o:spt="202" type="#_x0000_t202" style="position:absolute;left:875665;top:2818765;height:313690;width:922020;" fillcolor="#FFFFFF" filled="t" stroked="f" coordsize="21600,21600" o:gfxdata="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yF39QA&#10;AAAFAQAADwAAAAAAAAABACAAAAAiAAAAZHJzL2Rvd25yZXYueG1sUEsBAhQAFAAAAAgAh07iQNrp&#10;X6jqAQAA0gMAAA4AAAAAAAAAAQAgAAAAIwEAAGRycy9lMm9Eb2MueG1sUEsFBgAAAAAGAAYAWQEA&#10;AH8FAAAAAA==&#10;">
                        <v:fill on="t" opacity="0f" focussize="0,0"/>
                        <v:stroke on="f"/>
                        <v:imagedata o:title=""/>
                        <o:lock v:ext="edit" aspectratio="f"/>
                        <v:textbox inset="0mm,0mm,0mm,0mm">
                          <w:txbxContent>
                            <w:p w14:paraId="58B15973">
                              <w:pPr>
                                <w:ind w:firstLine="0" w:firstLineChars="0"/>
                                <w:rPr>
                                  <w:rFonts w:hint="default" w:eastAsia="宋体"/>
                                  <w:color w:val="FF0000"/>
                                  <w:sz w:val="21"/>
                                  <w:szCs w:val="21"/>
                                  <w:lang w:val="en-US" w:eastAsia="zh-CN"/>
                                </w:rPr>
                              </w:pPr>
                              <w:r>
                                <w:rPr>
                                  <w:rFonts w:hint="eastAsia"/>
                                  <w:color w:val="FF0000"/>
                                  <w:sz w:val="21"/>
                                  <w:szCs w:val="21"/>
                                  <w:lang w:val="en-US" w:eastAsia="zh-CN"/>
                                </w:rPr>
                                <w:t>切削液含水0.4</w:t>
                              </w:r>
                            </w:p>
                          </w:txbxContent>
                        </v:textbox>
                      </v:shape>
                      <w10:wrap type="none"/>
                      <w10:anchorlock/>
                    </v:group>
                  </w:pict>
                </mc:Fallback>
              </mc:AlternateContent>
            </w:r>
          </w:p>
          <w:p w14:paraId="0B1BF47F">
            <w:pPr>
              <w:keepNext w:val="0"/>
              <w:keepLines w:val="0"/>
              <w:pageBreakBefore w:val="0"/>
              <w:numPr>
                <w:ilvl w:val="0"/>
                <w:numId w:val="0"/>
              </w:numPr>
              <w:kinsoku/>
              <w:wordWrap/>
              <w:overflowPunct/>
              <w:topLinePunct w:val="0"/>
              <w:autoSpaceDE/>
              <w:autoSpaceDN/>
              <w:bidi w:val="0"/>
              <w:adjustRightInd/>
              <w:snapToGrid/>
              <w:spacing w:line="360" w:lineRule="auto"/>
              <w:ind w:left="420" w:leftChars="200" w:firstLine="0" w:firstLineChars="0"/>
              <w:jc w:val="center"/>
              <w:textAlignment w:val="auto"/>
              <w:rPr>
                <w:rFonts w:hint="eastAsia"/>
                <w:b/>
                <w:bCs/>
                <w:color w:val="auto"/>
                <w:lang w:val="en-US" w:eastAsia="zh-CN"/>
              </w:rPr>
            </w:pPr>
            <w:r>
              <w:rPr>
                <w:rFonts w:hint="default" w:ascii="Times New Roman" w:hAnsi="Times New Roman" w:cs="Times New Roman"/>
                <w:b/>
                <w:bCs/>
                <w:color w:val="auto"/>
                <w:lang w:val="en-US" w:eastAsia="zh-CN"/>
              </w:rPr>
              <w:t>图2-</w:t>
            </w:r>
            <w:r>
              <w:rPr>
                <w:rFonts w:hint="eastAsia" w:cs="Times New Roman"/>
                <w:b/>
                <w:bCs/>
                <w:color w:val="auto"/>
                <w:lang w:val="en-US" w:eastAsia="zh-CN"/>
              </w:rPr>
              <w:t>2</w:t>
            </w:r>
            <w:r>
              <w:rPr>
                <w:rFonts w:hint="eastAsia"/>
                <w:b/>
                <w:bCs/>
                <w:color w:val="auto"/>
                <w:lang w:val="en-US" w:eastAsia="zh-CN"/>
              </w:rPr>
              <w:t>水平衡图（单位：t/a）</w:t>
            </w:r>
          </w:p>
          <w:p w14:paraId="514EB9D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eastAsia="宋体"/>
                <w:color w:val="auto"/>
                <w:sz w:val="21"/>
                <w:szCs w:val="21"/>
                <w:lang w:val="en-US" w:eastAsia="zh-CN"/>
              </w:rPr>
            </w:pPr>
            <w:r>
              <w:rPr>
                <w:rFonts w:hint="eastAsia" w:hAnsi="宋体"/>
                <w:b/>
                <w:color w:val="auto"/>
                <w:sz w:val="21"/>
                <w:szCs w:val="21"/>
                <w:lang w:val="en-US" w:eastAsia="zh-CN"/>
              </w:rPr>
              <w:t>2.7</w:t>
            </w:r>
            <w:r>
              <w:rPr>
                <w:b/>
                <w:color w:val="auto"/>
                <w:sz w:val="21"/>
                <w:szCs w:val="21"/>
              </w:rPr>
              <w:t>劳动定员及工</w:t>
            </w:r>
            <w:r>
              <w:rPr>
                <w:b/>
                <w:bCs/>
                <w:color w:val="auto"/>
                <w:sz w:val="21"/>
                <w:szCs w:val="21"/>
              </w:rPr>
              <w:t>作制</w:t>
            </w:r>
          </w:p>
          <w:p w14:paraId="2B5EBA83">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auto"/>
                <w:sz w:val="21"/>
                <w:szCs w:val="21"/>
              </w:rPr>
            </w:pPr>
            <w:r>
              <w:rPr>
                <w:rFonts w:hint="eastAsia"/>
                <w:color w:val="auto"/>
                <w:sz w:val="21"/>
                <w:szCs w:val="21"/>
              </w:rPr>
              <w:t>本项目新增员工</w:t>
            </w:r>
            <w:r>
              <w:rPr>
                <w:rFonts w:hint="eastAsia"/>
                <w:color w:val="auto"/>
                <w:sz w:val="21"/>
                <w:szCs w:val="21"/>
                <w:lang w:val="en-US" w:eastAsia="zh-CN"/>
              </w:rPr>
              <w:t>20</w:t>
            </w:r>
            <w:r>
              <w:rPr>
                <w:rFonts w:hint="eastAsia"/>
                <w:color w:val="auto"/>
                <w:sz w:val="21"/>
                <w:szCs w:val="21"/>
              </w:rPr>
              <w:t>人，实行</w:t>
            </w:r>
            <w:r>
              <w:rPr>
                <w:rFonts w:hint="eastAsia"/>
                <w:color w:val="auto"/>
                <w:sz w:val="21"/>
                <w:szCs w:val="21"/>
                <w:lang w:val="en-US" w:eastAsia="zh-CN"/>
              </w:rPr>
              <w:t>2</w:t>
            </w:r>
            <w:r>
              <w:rPr>
                <w:rFonts w:hint="eastAsia"/>
                <w:color w:val="auto"/>
                <w:sz w:val="21"/>
                <w:szCs w:val="21"/>
              </w:rPr>
              <w:t>班制，每班工作8h，每年工作300天</w:t>
            </w:r>
            <w:r>
              <w:rPr>
                <w:rFonts w:hint="eastAsia"/>
                <w:color w:val="auto"/>
                <w:sz w:val="21"/>
                <w:szCs w:val="21"/>
                <w:lang w:eastAsia="zh-CN"/>
              </w:rPr>
              <w:t>，</w:t>
            </w:r>
            <w:r>
              <w:rPr>
                <w:rFonts w:hint="eastAsia"/>
                <w:color w:val="auto"/>
                <w:sz w:val="21"/>
                <w:szCs w:val="21"/>
                <w:lang w:val="en-US" w:eastAsia="zh-CN"/>
              </w:rPr>
              <w:t>年工作时间4800h</w:t>
            </w:r>
            <w:r>
              <w:rPr>
                <w:rFonts w:hint="eastAsia"/>
                <w:color w:val="auto"/>
                <w:sz w:val="21"/>
                <w:szCs w:val="21"/>
                <w:lang w:eastAsia="zh-CN"/>
              </w:rPr>
              <w:t>（</w:t>
            </w:r>
            <w:r>
              <w:rPr>
                <w:rFonts w:hint="eastAsia"/>
                <w:color w:val="auto"/>
                <w:szCs w:val="21"/>
                <w:lang w:val="en-US" w:eastAsia="zh-CN"/>
              </w:rPr>
              <w:t>电炉融化设备，年工作时间5010h/a</w:t>
            </w:r>
            <w:r>
              <w:rPr>
                <w:rFonts w:hint="eastAsia"/>
                <w:color w:val="auto"/>
                <w:sz w:val="21"/>
                <w:szCs w:val="21"/>
                <w:lang w:eastAsia="zh-CN"/>
              </w:rPr>
              <w:t>）。</w:t>
            </w:r>
            <w:r>
              <w:rPr>
                <w:rFonts w:hint="eastAsia"/>
                <w:color w:val="auto"/>
                <w:sz w:val="21"/>
                <w:szCs w:val="21"/>
              </w:rPr>
              <w:t>不设食堂和住宿，员工用餐为外卖。</w:t>
            </w:r>
          </w:p>
          <w:p w14:paraId="2A1E3DF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2.8</w:t>
            </w:r>
            <w:r>
              <w:rPr>
                <w:rFonts w:ascii="Times New Roman" w:hAnsi="Times New Roman" w:eastAsia="宋体" w:cs="Times New Roman"/>
                <w:b/>
                <w:bCs/>
                <w:color w:val="auto"/>
                <w:szCs w:val="21"/>
              </w:rPr>
              <w:t>平面布置</w:t>
            </w:r>
            <w:r>
              <w:rPr>
                <w:rFonts w:hint="eastAsia" w:cs="Times New Roman"/>
                <w:b/>
                <w:bCs/>
                <w:color w:val="auto"/>
                <w:szCs w:val="21"/>
                <w:lang w:val="en-US" w:eastAsia="zh-CN"/>
              </w:rPr>
              <w:t xml:space="preserve">    </w:t>
            </w:r>
          </w:p>
          <w:p w14:paraId="598127B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本项目用地面积</w:t>
            </w:r>
            <w:r>
              <w:rPr>
                <w:rFonts w:hint="eastAsia" w:ascii="Times New Roman" w:hAnsi="Times New Roman"/>
                <w:color w:val="auto"/>
                <w:szCs w:val="21"/>
              </w:rPr>
              <w:t>1</w:t>
            </w:r>
            <w:r>
              <w:rPr>
                <w:rFonts w:hint="eastAsia" w:ascii="Times New Roman" w:hAnsi="Times New Roman"/>
                <w:color w:val="auto"/>
                <w:szCs w:val="21"/>
                <w:lang w:val="en-US" w:eastAsia="zh-CN"/>
              </w:rPr>
              <w:t>315</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，由</w:t>
            </w:r>
            <w:r>
              <w:rPr>
                <w:rFonts w:hint="eastAsia" w:cs="Times New Roman"/>
                <w:color w:val="auto"/>
                <w:szCs w:val="21"/>
                <w:lang w:val="en-US" w:eastAsia="zh-CN"/>
              </w:rPr>
              <w:t>铸造生产线位于车间南侧，热处理区位于车间东侧，清洗区及机加工区位于车间北侧</w:t>
            </w:r>
            <w:r>
              <w:rPr>
                <w:rFonts w:hint="eastAsia" w:ascii="Times New Roman" w:hAnsi="Times New Roman" w:eastAsia="宋体" w:cs="Times New Roman"/>
                <w:color w:val="auto"/>
                <w:szCs w:val="21"/>
              </w:rPr>
              <w:t>；危废仓库位于车间西</w:t>
            </w:r>
            <w:r>
              <w:rPr>
                <w:rFonts w:hint="eastAsia" w:cs="Times New Roman"/>
                <w:color w:val="auto"/>
                <w:szCs w:val="21"/>
                <w:lang w:val="en-US" w:eastAsia="zh-CN"/>
              </w:rPr>
              <w:t>南</w:t>
            </w:r>
            <w:r>
              <w:rPr>
                <w:rFonts w:hint="eastAsia" w:ascii="Times New Roman" w:hAnsi="Times New Roman" w:eastAsia="宋体" w:cs="Times New Roman"/>
                <w:color w:val="auto"/>
                <w:szCs w:val="21"/>
              </w:rPr>
              <w:t>角；一般固废仓库位于车间</w:t>
            </w:r>
            <w:r>
              <w:rPr>
                <w:rFonts w:hint="eastAsia" w:cs="Times New Roman"/>
                <w:color w:val="auto"/>
                <w:szCs w:val="21"/>
                <w:lang w:val="en-US" w:eastAsia="zh-CN"/>
              </w:rPr>
              <w:t>东</w:t>
            </w:r>
            <w:r>
              <w:rPr>
                <w:rFonts w:hint="eastAsia" w:ascii="Times New Roman" w:hAnsi="Times New Roman" w:eastAsia="宋体" w:cs="Times New Roman"/>
                <w:color w:val="auto"/>
                <w:szCs w:val="21"/>
              </w:rPr>
              <w:t>南角。</w:t>
            </w:r>
            <w:r>
              <w:rPr>
                <w:rFonts w:hint="eastAsia" w:ascii="Times New Roman" w:hAnsi="Times New Roman" w:eastAsia="宋体" w:cs="Times New Roman"/>
                <w:color w:val="auto"/>
                <w:lang w:val="en-US" w:eastAsia="zh-CN"/>
              </w:rPr>
              <w:t>本项目实施后，车间布局做到功能分区明确，整个总平面布置紧凑，节约用地，生产物流顺畅，运费能耗最小，符合各种防护间距，确保生产安全。</w:t>
            </w:r>
            <w:r>
              <w:rPr>
                <w:rFonts w:hint="eastAsia" w:ascii="Times New Roman" w:hAnsi="Times New Roman" w:eastAsia="宋体" w:cs="Times New Roman"/>
                <w:color w:val="auto"/>
                <w:szCs w:val="21"/>
              </w:rPr>
              <w:t>具体厂区平面布置图见附图3。</w:t>
            </w:r>
          </w:p>
          <w:p w14:paraId="2A97B527">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hint="eastAsia"/>
                <w:b/>
                <w:color w:val="auto"/>
                <w:sz w:val="21"/>
                <w:szCs w:val="21"/>
                <w:lang w:val="en-US" w:eastAsia="zh-CN"/>
              </w:rPr>
            </w:pPr>
          </w:p>
          <w:p w14:paraId="271B359E">
            <w:pPr>
              <w:pStyle w:val="4"/>
              <w:rPr>
                <w:rFonts w:hint="eastAsia"/>
                <w:b/>
                <w:color w:val="auto"/>
                <w:sz w:val="21"/>
                <w:szCs w:val="21"/>
                <w:lang w:val="en-US" w:eastAsia="zh-CN"/>
              </w:rPr>
            </w:pPr>
          </w:p>
          <w:p w14:paraId="72BEF200">
            <w:pPr>
              <w:rPr>
                <w:rFonts w:hint="eastAsia"/>
                <w:b/>
                <w:color w:val="auto"/>
                <w:sz w:val="21"/>
                <w:szCs w:val="21"/>
                <w:lang w:val="en-US" w:eastAsia="zh-CN"/>
              </w:rPr>
            </w:pPr>
          </w:p>
          <w:p w14:paraId="00084F89">
            <w:pPr>
              <w:pStyle w:val="4"/>
              <w:rPr>
                <w:rFonts w:hint="eastAsia"/>
                <w:b/>
                <w:color w:val="auto"/>
                <w:sz w:val="21"/>
                <w:szCs w:val="21"/>
                <w:lang w:val="en-US" w:eastAsia="zh-CN"/>
              </w:rPr>
            </w:pPr>
          </w:p>
          <w:p w14:paraId="0C2D55DD">
            <w:pPr>
              <w:rPr>
                <w:rFonts w:hint="eastAsia"/>
                <w:b/>
                <w:color w:val="auto"/>
                <w:sz w:val="21"/>
                <w:szCs w:val="21"/>
                <w:lang w:val="en-US" w:eastAsia="zh-CN"/>
              </w:rPr>
            </w:pPr>
          </w:p>
          <w:p w14:paraId="392130AA">
            <w:pPr>
              <w:pStyle w:val="3"/>
              <w:rPr>
                <w:color w:val="auto"/>
              </w:rPr>
            </w:pPr>
          </w:p>
        </w:tc>
      </w:tr>
    </w:tbl>
    <w:p w14:paraId="303A4DC8">
      <w:pPr>
        <w:pStyle w:val="22"/>
        <w:jc w:val="center"/>
        <w:outlineLvl w:val="0"/>
        <w:rPr>
          <w:rFonts w:hint="eastAsia" w:ascii="Times New Roman" w:hAnsi="Times New Roman" w:eastAsia="黑体"/>
          <w:snapToGrid w:val="0"/>
          <w:color w:val="auto"/>
          <w:sz w:val="30"/>
          <w:szCs w:val="30"/>
        </w:rPr>
        <w:sectPr>
          <w:footerReference r:id="rId6"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8699"/>
      </w:tblGrid>
      <w:tr w14:paraId="6C7D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dxa"/>
            <w:vAlign w:val="center"/>
          </w:tcPr>
          <w:p w14:paraId="59163688">
            <w:pPr>
              <w:pStyle w:val="22"/>
              <w:adjustRightInd w:val="0"/>
              <w:snapToGrid w:val="0"/>
              <w:spacing w:before="0" w:beforeAutospacing="0" w:after="0" w:afterAutospacing="0" w:line="320" w:lineRule="exact"/>
              <w:jc w:val="center"/>
              <w:rPr>
                <w:rFonts w:hint="eastAsia" w:ascii="Times New Roman" w:hAnsi="Times New Roman" w:eastAsia="黑体"/>
                <w:snapToGrid w:val="0"/>
                <w:color w:val="auto"/>
                <w:sz w:val="30"/>
                <w:szCs w:val="30"/>
                <w:vertAlign w:val="baseline"/>
              </w:rPr>
            </w:pPr>
            <w:r>
              <w:rPr>
                <w:rFonts w:ascii="Times New Roman" w:hAnsi="Times New Roman"/>
                <w:color w:val="auto"/>
                <w:sz w:val="21"/>
                <w:szCs w:val="21"/>
              </w:rPr>
              <w:t>工艺流程和产排污环节</w:t>
            </w:r>
          </w:p>
        </w:tc>
        <w:tc>
          <w:tcPr>
            <w:tcW w:w="8185" w:type="dxa"/>
            <w:vAlign w:val="top"/>
          </w:tcPr>
          <w:p w14:paraId="06785152">
            <w:pPr>
              <w:spacing w:line="360" w:lineRule="auto"/>
              <w:ind w:firstLine="422" w:firstLineChars="200"/>
              <w:jc w:val="left"/>
              <w:rPr>
                <w:rFonts w:ascii="Times New Roman" w:hAnsi="Times New Roman"/>
                <w:b/>
                <w:color w:val="auto"/>
                <w:szCs w:val="21"/>
              </w:rPr>
            </w:pPr>
            <w:r>
              <w:rPr>
                <w:rFonts w:ascii="Times New Roman" w:hAnsi="Times New Roman"/>
                <w:b/>
                <w:color w:val="auto"/>
                <w:szCs w:val="21"/>
              </w:rPr>
              <w:t>1、施工期</w:t>
            </w:r>
          </w:p>
          <w:p w14:paraId="09D2CCE2">
            <w:pPr>
              <w:spacing w:line="360" w:lineRule="auto"/>
              <w:ind w:firstLine="480"/>
              <w:rPr>
                <w:rFonts w:hint="eastAsia" w:ascii="Times New Roman" w:hAnsi="Times New Roman"/>
                <w:color w:val="auto"/>
                <w:szCs w:val="21"/>
                <w:lang w:eastAsia="zh-CN"/>
              </w:rPr>
            </w:pPr>
            <w:r>
              <w:rPr>
                <w:color w:val="auto"/>
                <w:szCs w:val="22"/>
              </w:rPr>
              <w:t>本项目利用</w:t>
            </w:r>
            <w:r>
              <w:rPr>
                <w:rFonts w:hint="eastAsia"/>
                <w:color w:val="auto"/>
                <w:szCs w:val="22"/>
              </w:rPr>
              <w:t>租赁厂房</w:t>
            </w:r>
            <w:r>
              <w:rPr>
                <w:color w:val="auto"/>
                <w:szCs w:val="22"/>
              </w:rPr>
              <w:t>，没有土建施工，不产生土建施工的相关环境影响如机械噪声和扬尘等污染问题。但在设备安装过程会产生一些机械噪声，源强峰值可达 85~100dB(A)，因此，为控制设备安装期间的噪声污染，施工单位应尽量采用低噪声的器械，避免夜间进行高噪振动操作，从而减轻对厂界周围声环境的影响。另外设备安装期间产生生活污水应排入化粪池收集处理，生活垃圾应及时收集处理，设备安装</w:t>
            </w:r>
            <w:r>
              <w:rPr>
                <w:rFonts w:hint="eastAsia"/>
                <w:color w:val="auto"/>
                <w:szCs w:val="22"/>
                <w:lang w:eastAsia="zh-CN"/>
              </w:rPr>
              <w:t>期间</w:t>
            </w:r>
            <w:r>
              <w:rPr>
                <w:color w:val="auto"/>
                <w:szCs w:val="22"/>
              </w:rPr>
              <w:t>产生的固废应妥善处理，能回用的应回用，不能回用的应根据固废的性质不同交由不同的处理部门处理</w:t>
            </w:r>
            <w:r>
              <w:rPr>
                <w:rFonts w:hint="eastAsia"/>
                <w:color w:val="auto"/>
                <w:szCs w:val="22"/>
              </w:rPr>
              <w:t>，如废油漆涂料等危废交由有资质单位处置</w:t>
            </w:r>
            <w:r>
              <w:rPr>
                <w:color w:val="auto"/>
                <w:szCs w:val="22"/>
              </w:rPr>
              <w:t>。设备安装期的影响较短暂，随着安装调试的结束，环境影响随即停止</w:t>
            </w:r>
            <w:r>
              <w:rPr>
                <w:rFonts w:hint="eastAsia" w:ascii="Times New Roman" w:hAnsi="Times New Roman"/>
                <w:color w:val="auto"/>
                <w:szCs w:val="21"/>
                <w:lang w:eastAsia="zh-CN"/>
              </w:rPr>
              <w:t>。</w:t>
            </w:r>
          </w:p>
          <w:p w14:paraId="428E1C05">
            <w:pPr>
              <w:spacing w:line="360" w:lineRule="auto"/>
              <w:ind w:firstLine="422" w:firstLineChars="200"/>
              <w:jc w:val="left"/>
              <w:rPr>
                <w:rFonts w:ascii="Times New Roman" w:hAnsi="Times New Roman"/>
                <w:b/>
                <w:color w:val="auto"/>
                <w:szCs w:val="21"/>
              </w:rPr>
            </w:pPr>
          </w:p>
          <w:p w14:paraId="0CDF5ED9">
            <w:pPr>
              <w:spacing w:line="360" w:lineRule="auto"/>
              <w:ind w:firstLine="422" w:firstLineChars="200"/>
              <w:jc w:val="left"/>
              <w:rPr>
                <w:rFonts w:ascii="Times New Roman" w:hAnsi="Times New Roman"/>
                <w:b/>
                <w:color w:val="auto"/>
                <w:szCs w:val="21"/>
              </w:rPr>
            </w:pPr>
          </w:p>
          <w:p w14:paraId="4C8DD7FA">
            <w:pPr>
              <w:spacing w:line="360" w:lineRule="auto"/>
              <w:ind w:firstLine="422" w:firstLineChars="200"/>
              <w:jc w:val="left"/>
              <w:rPr>
                <w:rFonts w:ascii="Times New Roman" w:hAnsi="Times New Roman"/>
                <w:b/>
                <w:color w:val="auto"/>
                <w:szCs w:val="21"/>
              </w:rPr>
            </w:pPr>
          </w:p>
          <w:p w14:paraId="7963E8A4">
            <w:pPr>
              <w:spacing w:line="360" w:lineRule="auto"/>
              <w:ind w:firstLine="422" w:firstLineChars="200"/>
              <w:jc w:val="left"/>
              <w:rPr>
                <w:rFonts w:ascii="Times New Roman" w:hAnsi="Times New Roman"/>
                <w:b/>
                <w:color w:val="auto"/>
                <w:szCs w:val="21"/>
              </w:rPr>
            </w:pPr>
          </w:p>
          <w:p w14:paraId="032398EC">
            <w:pPr>
              <w:spacing w:line="360" w:lineRule="auto"/>
              <w:ind w:firstLine="422" w:firstLineChars="200"/>
              <w:jc w:val="left"/>
              <w:rPr>
                <w:rFonts w:ascii="Times New Roman" w:hAnsi="Times New Roman"/>
                <w:b/>
                <w:color w:val="auto"/>
                <w:szCs w:val="21"/>
              </w:rPr>
            </w:pPr>
          </w:p>
          <w:p w14:paraId="6DB68411">
            <w:pPr>
              <w:spacing w:line="360" w:lineRule="auto"/>
              <w:ind w:firstLine="422" w:firstLineChars="200"/>
              <w:jc w:val="left"/>
              <w:rPr>
                <w:rFonts w:ascii="Times New Roman" w:hAnsi="Times New Roman"/>
                <w:b/>
                <w:color w:val="auto"/>
                <w:szCs w:val="21"/>
              </w:rPr>
            </w:pPr>
          </w:p>
          <w:p w14:paraId="66E775F7">
            <w:pPr>
              <w:spacing w:line="360" w:lineRule="auto"/>
              <w:ind w:firstLine="422" w:firstLineChars="200"/>
              <w:jc w:val="left"/>
              <w:rPr>
                <w:rFonts w:ascii="Times New Roman" w:hAnsi="Times New Roman"/>
                <w:b/>
                <w:color w:val="auto"/>
                <w:szCs w:val="21"/>
              </w:rPr>
            </w:pPr>
          </w:p>
          <w:p w14:paraId="5AE7B84E">
            <w:pPr>
              <w:spacing w:line="360" w:lineRule="auto"/>
              <w:ind w:firstLine="422" w:firstLineChars="200"/>
              <w:jc w:val="left"/>
              <w:rPr>
                <w:rFonts w:ascii="Times New Roman" w:hAnsi="Times New Roman"/>
                <w:b/>
                <w:color w:val="auto"/>
                <w:szCs w:val="21"/>
              </w:rPr>
            </w:pPr>
          </w:p>
          <w:p w14:paraId="38768CFA">
            <w:pPr>
              <w:spacing w:line="360" w:lineRule="auto"/>
              <w:ind w:firstLine="422" w:firstLineChars="200"/>
              <w:jc w:val="left"/>
              <w:rPr>
                <w:rFonts w:ascii="Times New Roman" w:hAnsi="Times New Roman"/>
                <w:b/>
                <w:color w:val="auto"/>
                <w:szCs w:val="21"/>
              </w:rPr>
            </w:pPr>
          </w:p>
          <w:p w14:paraId="3A15C737">
            <w:pPr>
              <w:spacing w:line="360" w:lineRule="auto"/>
              <w:ind w:firstLine="422" w:firstLineChars="200"/>
              <w:jc w:val="left"/>
              <w:rPr>
                <w:rFonts w:ascii="Times New Roman" w:hAnsi="Times New Roman"/>
                <w:b/>
                <w:color w:val="auto"/>
                <w:szCs w:val="21"/>
              </w:rPr>
            </w:pPr>
          </w:p>
          <w:p w14:paraId="25042332">
            <w:pPr>
              <w:spacing w:line="360" w:lineRule="auto"/>
              <w:ind w:firstLine="422" w:firstLineChars="200"/>
              <w:jc w:val="left"/>
              <w:rPr>
                <w:rFonts w:ascii="Times New Roman" w:hAnsi="Times New Roman"/>
                <w:b/>
                <w:color w:val="auto"/>
                <w:szCs w:val="21"/>
              </w:rPr>
            </w:pPr>
          </w:p>
          <w:p w14:paraId="1EE6D79C">
            <w:pPr>
              <w:spacing w:line="360" w:lineRule="auto"/>
              <w:ind w:firstLine="422" w:firstLineChars="200"/>
              <w:jc w:val="left"/>
              <w:rPr>
                <w:rFonts w:ascii="Times New Roman" w:hAnsi="Times New Roman"/>
                <w:b/>
                <w:color w:val="auto"/>
                <w:szCs w:val="21"/>
              </w:rPr>
            </w:pPr>
          </w:p>
          <w:p w14:paraId="408C0D4A">
            <w:pPr>
              <w:spacing w:line="360" w:lineRule="auto"/>
              <w:ind w:firstLine="422" w:firstLineChars="200"/>
              <w:jc w:val="left"/>
              <w:rPr>
                <w:rFonts w:ascii="Times New Roman" w:hAnsi="Times New Roman"/>
                <w:b/>
                <w:color w:val="auto"/>
                <w:szCs w:val="21"/>
              </w:rPr>
            </w:pPr>
          </w:p>
          <w:p w14:paraId="28A57223">
            <w:pPr>
              <w:spacing w:line="360" w:lineRule="auto"/>
              <w:ind w:firstLine="422" w:firstLineChars="200"/>
              <w:jc w:val="left"/>
              <w:rPr>
                <w:rFonts w:ascii="Times New Roman" w:hAnsi="Times New Roman"/>
                <w:b/>
                <w:color w:val="auto"/>
                <w:szCs w:val="21"/>
              </w:rPr>
            </w:pPr>
          </w:p>
          <w:p w14:paraId="268BCA1D">
            <w:pPr>
              <w:spacing w:line="360" w:lineRule="auto"/>
              <w:ind w:firstLine="422" w:firstLineChars="200"/>
              <w:jc w:val="left"/>
              <w:rPr>
                <w:rFonts w:ascii="Times New Roman" w:hAnsi="Times New Roman"/>
                <w:b/>
                <w:color w:val="auto"/>
                <w:szCs w:val="21"/>
              </w:rPr>
            </w:pPr>
          </w:p>
          <w:p w14:paraId="1BF95DAD">
            <w:pPr>
              <w:spacing w:line="360" w:lineRule="auto"/>
              <w:ind w:firstLine="422" w:firstLineChars="200"/>
              <w:jc w:val="left"/>
              <w:rPr>
                <w:rFonts w:ascii="Times New Roman" w:hAnsi="Times New Roman"/>
                <w:b/>
                <w:color w:val="auto"/>
                <w:szCs w:val="21"/>
              </w:rPr>
            </w:pPr>
          </w:p>
          <w:p w14:paraId="7CB8FE6F">
            <w:pPr>
              <w:spacing w:line="360" w:lineRule="auto"/>
              <w:ind w:firstLine="422" w:firstLineChars="200"/>
              <w:jc w:val="left"/>
              <w:rPr>
                <w:rFonts w:ascii="Times New Roman" w:hAnsi="Times New Roman"/>
                <w:b/>
                <w:color w:val="auto"/>
                <w:szCs w:val="21"/>
              </w:rPr>
            </w:pPr>
          </w:p>
          <w:p w14:paraId="4DCEF31D">
            <w:pPr>
              <w:spacing w:line="360" w:lineRule="auto"/>
              <w:ind w:firstLine="422" w:firstLineChars="200"/>
              <w:jc w:val="left"/>
              <w:rPr>
                <w:rFonts w:ascii="Times New Roman" w:hAnsi="Times New Roman"/>
                <w:b/>
                <w:color w:val="auto"/>
                <w:szCs w:val="21"/>
              </w:rPr>
            </w:pPr>
          </w:p>
          <w:p w14:paraId="3D35B897">
            <w:pPr>
              <w:spacing w:line="360" w:lineRule="auto"/>
              <w:ind w:firstLine="422" w:firstLineChars="200"/>
              <w:jc w:val="left"/>
              <w:rPr>
                <w:rFonts w:ascii="Times New Roman" w:hAnsi="Times New Roman"/>
                <w:b/>
                <w:color w:val="auto"/>
                <w:szCs w:val="21"/>
              </w:rPr>
            </w:pPr>
          </w:p>
          <w:p w14:paraId="20C85DB8">
            <w:pPr>
              <w:spacing w:line="360" w:lineRule="auto"/>
              <w:ind w:firstLine="422" w:firstLineChars="200"/>
              <w:jc w:val="left"/>
              <w:rPr>
                <w:rFonts w:ascii="Times New Roman" w:hAnsi="Times New Roman"/>
                <w:b/>
                <w:color w:val="auto"/>
                <w:szCs w:val="21"/>
              </w:rPr>
            </w:pPr>
          </w:p>
          <w:p w14:paraId="6BB7B546">
            <w:pPr>
              <w:spacing w:line="360" w:lineRule="auto"/>
              <w:ind w:firstLine="422" w:firstLineChars="200"/>
              <w:jc w:val="left"/>
              <w:rPr>
                <w:rFonts w:ascii="Times New Roman" w:hAnsi="Times New Roman"/>
                <w:b/>
                <w:color w:val="auto"/>
                <w:szCs w:val="21"/>
              </w:rPr>
            </w:pPr>
          </w:p>
          <w:p w14:paraId="40727B14">
            <w:pPr>
              <w:spacing w:line="360" w:lineRule="auto"/>
              <w:ind w:firstLine="422" w:firstLineChars="200"/>
              <w:jc w:val="left"/>
              <w:rPr>
                <w:rFonts w:ascii="Times New Roman" w:hAnsi="Times New Roman"/>
                <w:b/>
                <w:color w:val="auto"/>
                <w:szCs w:val="21"/>
              </w:rPr>
            </w:pPr>
          </w:p>
          <w:p w14:paraId="0C6E14D7">
            <w:pPr>
              <w:spacing w:line="360" w:lineRule="auto"/>
              <w:ind w:firstLine="422" w:firstLineChars="200"/>
              <w:jc w:val="left"/>
              <w:rPr>
                <w:rFonts w:ascii="Times New Roman" w:hAnsi="Times New Roman"/>
                <w:b/>
                <w:color w:val="auto"/>
                <w:szCs w:val="21"/>
              </w:rPr>
            </w:pPr>
          </w:p>
          <w:p w14:paraId="4E3F2A11">
            <w:pPr>
              <w:spacing w:line="360" w:lineRule="auto"/>
              <w:ind w:firstLine="422" w:firstLineChars="200"/>
              <w:jc w:val="left"/>
              <w:rPr>
                <w:rFonts w:ascii="Times New Roman" w:hAnsi="Times New Roman"/>
                <w:b/>
                <w:color w:val="auto"/>
                <w:szCs w:val="21"/>
              </w:rPr>
            </w:pPr>
          </w:p>
          <w:p w14:paraId="326CDCF4">
            <w:pPr>
              <w:spacing w:line="360" w:lineRule="auto"/>
              <w:ind w:firstLine="422" w:firstLineChars="200"/>
              <w:jc w:val="left"/>
              <w:rPr>
                <w:rFonts w:ascii="Times New Roman" w:hAnsi="Times New Roman"/>
                <w:b/>
                <w:color w:val="auto"/>
                <w:szCs w:val="21"/>
              </w:rPr>
            </w:pPr>
          </w:p>
          <w:p w14:paraId="14014F9E">
            <w:pPr>
              <w:spacing w:line="360" w:lineRule="auto"/>
              <w:ind w:firstLine="422" w:firstLineChars="200"/>
              <w:jc w:val="left"/>
              <w:rPr>
                <w:rFonts w:ascii="Times New Roman" w:hAnsi="Times New Roman"/>
                <w:b/>
                <w:color w:val="auto"/>
                <w:szCs w:val="21"/>
              </w:rPr>
            </w:pPr>
          </w:p>
          <w:p w14:paraId="526675C1">
            <w:pPr>
              <w:spacing w:line="360" w:lineRule="auto"/>
              <w:ind w:firstLine="422" w:firstLineChars="200"/>
              <w:jc w:val="left"/>
              <w:rPr>
                <w:rFonts w:ascii="Times New Roman" w:hAnsi="Times New Roman"/>
                <w:b/>
                <w:color w:val="auto"/>
                <w:szCs w:val="21"/>
              </w:rPr>
            </w:pPr>
          </w:p>
          <w:p w14:paraId="506B161F">
            <w:pPr>
              <w:spacing w:line="360" w:lineRule="auto"/>
              <w:ind w:firstLine="422" w:firstLineChars="200"/>
              <w:jc w:val="left"/>
              <w:rPr>
                <w:rFonts w:ascii="Times New Roman" w:hAnsi="Times New Roman"/>
                <w:b/>
                <w:color w:val="auto"/>
                <w:szCs w:val="21"/>
              </w:rPr>
            </w:pPr>
          </w:p>
          <w:p w14:paraId="1464FA79">
            <w:pPr>
              <w:spacing w:line="360" w:lineRule="auto"/>
              <w:ind w:firstLine="422" w:firstLineChars="200"/>
              <w:jc w:val="left"/>
              <w:rPr>
                <w:rFonts w:ascii="Times New Roman" w:hAnsi="Times New Roman"/>
                <w:b/>
                <w:color w:val="auto"/>
                <w:szCs w:val="21"/>
              </w:rPr>
            </w:pPr>
          </w:p>
          <w:p w14:paraId="092C46B0">
            <w:pPr>
              <w:spacing w:line="360" w:lineRule="auto"/>
              <w:ind w:firstLine="422" w:firstLineChars="200"/>
              <w:jc w:val="left"/>
              <w:rPr>
                <w:rFonts w:ascii="Times New Roman" w:hAnsi="Times New Roman"/>
                <w:b/>
                <w:color w:val="auto"/>
                <w:szCs w:val="21"/>
              </w:rPr>
            </w:pPr>
            <w:r>
              <w:rPr>
                <w:rFonts w:ascii="Times New Roman" w:hAnsi="Times New Roman"/>
                <w:b/>
                <w:color w:val="auto"/>
                <w:szCs w:val="21"/>
              </w:rPr>
              <w:t>2、营运期</w:t>
            </w:r>
          </w:p>
          <w:p w14:paraId="620CD190">
            <w:pPr>
              <w:spacing w:line="360" w:lineRule="auto"/>
              <w:ind w:firstLine="420" w:firstLineChars="200"/>
              <w:jc w:val="left"/>
              <w:rPr>
                <w:rFonts w:hint="default"/>
                <w:bCs/>
                <w:color w:val="auto"/>
                <w:szCs w:val="21"/>
                <w:lang w:val="en-US" w:eastAsia="zh-CN"/>
              </w:rPr>
            </w:pPr>
            <w:r>
              <w:rPr>
                <w:rFonts w:hint="eastAsia"/>
                <w:color w:val="auto"/>
                <w:szCs w:val="22"/>
              </w:rPr>
              <w:t>铸造</w:t>
            </w:r>
            <w:r>
              <w:rPr>
                <w:rFonts w:hint="eastAsia"/>
                <w:color w:val="auto"/>
                <w:szCs w:val="22"/>
                <w:lang w:val="en-US" w:eastAsia="zh-CN"/>
              </w:rPr>
              <w:t>线</w:t>
            </w:r>
            <w:r>
              <w:rPr>
                <w:rFonts w:hint="eastAsia"/>
                <w:color w:val="auto"/>
                <w:szCs w:val="22"/>
              </w:rPr>
              <w:t>工艺流程及产污节点图见图2-2</w:t>
            </w:r>
            <w:r>
              <w:rPr>
                <w:rFonts w:hint="eastAsia"/>
                <w:bCs/>
                <w:color w:val="auto"/>
                <w:szCs w:val="21"/>
                <w:lang w:val="en-US" w:eastAsia="zh-CN"/>
              </w:rPr>
              <w:t>。</w:t>
            </w:r>
          </w:p>
          <w:p w14:paraId="5CB592B0">
            <w:pPr>
              <w:spacing w:line="360" w:lineRule="auto"/>
              <w:jc w:val="center"/>
              <w:rPr>
                <w:rFonts w:hint="eastAsia" w:ascii="Times New Roman" w:hAnsi="Times New Roman" w:eastAsia="宋体"/>
                <w:b/>
                <w:color w:val="auto"/>
                <w:szCs w:val="21"/>
                <w:lang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2914650</wp:posOffset>
                      </wp:positionH>
                      <wp:positionV relativeFrom="paragraph">
                        <wp:posOffset>1209040</wp:posOffset>
                      </wp:positionV>
                      <wp:extent cx="2305050" cy="2171065"/>
                      <wp:effectExtent l="5080" t="0" r="14605" b="57150"/>
                      <wp:wrapNone/>
                      <wp:docPr id="192" name="肘形连接符 192"/>
                      <wp:cNvGraphicFramePr/>
                      <a:graphic xmlns:a="http://schemas.openxmlformats.org/drawingml/2006/main">
                        <a:graphicData uri="http://schemas.microsoft.com/office/word/2010/wordprocessingShape">
                          <wps:wsp>
                            <wps:cNvCnPr/>
                            <wps:spPr>
                              <a:xfrm rot="16200000">
                                <a:off x="3602355" y="3190875"/>
                                <a:ext cx="2305050" cy="2171065"/>
                              </a:xfrm>
                              <a:prstGeom prst="bentConnector3">
                                <a:avLst>
                                  <a:gd name="adj1" fmla="val -2107"/>
                                </a:avLst>
                              </a:prstGeom>
                              <a:ln w="9525" cmpd="sng">
                                <a:solidFill>
                                  <a:schemeClr val="tx1"/>
                                </a:solidFill>
                                <a:prstDash val="solid"/>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229.5pt;margin-top:95.2pt;height:170.95pt;width:181.5pt;rotation:-5898240f;z-index:251662336;mso-width-relative:page;mso-height-relative:page;" filled="f" stroked="t" coordsize="21600,21600" o:gfxdata="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8070V2AAAAAsBAAAPAAAAAAAAAAEAIAAAACIAAABkcnMvZG93bnJldi54&#10;bWxQSwECFAAUAAAACACHTuJA90Q4ljMCAAAlBAAADgAAAAAAAAABACAAAAAnAQAAZHJzL2Uyb0Rv&#10;Yy54bWxQSwUGAAAAAAYABgBZAQAAzAUAAAAA&#10;" adj="-455">
                      <v:fill on="f" focussize="0,0"/>
                      <v:stroke color="#000000 [3213]" miterlimit="8" joinstyle="miter"/>
                      <v:imagedata o:title=""/>
                      <o:lock v:ext="edit" aspectratio="f"/>
                    </v:shape>
                  </w:pict>
                </mc:Fallback>
              </mc:AlternateContent>
            </w:r>
            <w:r>
              <w:rPr>
                <w:rFonts w:ascii="Times New Roman"/>
                <w:color w:val="auto"/>
              </w:rPr>
              <mc:AlternateContent>
                <mc:Choice Requires="wpc">
                  <w:drawing>
                    <wp:inline distT="0" distB="0" distL="114300" distR="114300">
                      <wp:extent cx="5386705" cy="6642100"/>
                      <wp:effectExtent l="0" t="0" r="0" b="0"/>
                      <wp:docPr id="166" name="画布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 name="直接连接符 137"/>
                              <wps:cNvCnPr/>
                              <wps:spPr>
                                <a:xfrm>
                                  <a:off x="1455420" y="1191260"/>
                                  <a:ext cx="635" cy="380365"/>
                                </a:xfrm>
                                <a:prstGeom prst="line">
                                  <a:avLst/>
                                </a:prstGeom>
                                <a:ln w="9525" cap="flat" cmpd="sng">
                                  <a:solidFill>
                                    <a:srgbClr val="000000"/>
                                  </a:solidFill>
                                  <a:prstDash val="solid"/>
                                  <a:round/>
                                  <a:headEnd type="none" w="med" len="med"/>
                                  <a:tailEnd type="none" w="med" len="med"/>
                                </a:ln>
                              </wps:spPr>
                              <wps:bodyPr upright="1"/>
                            </wps:wsp>
                            <wps:wsp>
                              <wps:cNvPr id="132" name="矩形 132"/>
                              <wps:cNvSpPr/>
                              <wps:spPr>
                                <a:xfrm>
                                  <a:off x="2181860" y="1955165"/>
                                  <a:ext cx="819785" cy="278130"/>
                                </a:xfrm>
                                <a:prstGeom prst="rect">
                                  <a:avLst/>
                                </a:prstGeom>
                                <a:noFill/>
                                <a:ln w="9525" cap="flat" cmpd="sng">
                                  <a:solidFill>
                                    <a:srgbClr val="000000"/>
                                  </a:solidFill>
                                  <a:prstDash val="solid"/>
                                  <a:miter/>
                                  <a:headEnd type="none" w="med" len="med"/>
                                  <a:tailEnd type="none" w="med" len="med"/>
                                </a:ln>
                                <a:effectLst/>
                              </wps:spPr>
                              <wps:txbx>
                                <w:txbxContent>
                                  <w:p w14:paraId="400AD78B">
                                    <w:pPr>
                                      <w:jc w:val="center"/>
                                      <w:rPr>
                                        <w:rFonts w:hint="eastAsia" w:eastAsia="宋体"/>
                                        <w:lang w:val="en-US" w:eastAsia="zh-CN"/>
                                      </w:rPr>
                                    </w:pPr>
                                    <w:r>
                                      <w:rPr>
                                        <w:rFonts w:hint="eastAsia"/>
                                        <w:lang w:val="en-US" w:eastAsia="zh-CN"/>
                                      </w:rPr>
                                      <w:t>浇注</w:t>
                                    </w:r>
                                  </w:p>
                                </w:txbxContent>
                              </wps:txbx>
                              <wps:bodyPr upright="1"/>
                            </wps:wsp>
                            <wps:wsp>
                              <wps:cNvPr id="138" name="直接连接符 138"/>
                              <wps:cNvCnPr/>
                              <wps:spPr>
                                <a:xfrm>
                                  <a:off x="2561590" y="2242820"/>
                                  <a:ext cx="635" cy="377825"/>
                                </a:xfrm>
                                <a:prstGeom prst="line">
                                  <a:avLst/>
                                </a:prstGeom>
                                <a:ln w="9525" cap="flat" cmpd="sng">
                                  <a:solidFill>
                                    <a:srgbClr val="000000"/>
                                  </a:solidFill>
                                  <a:prstDash val="solid"/>
                                  <a:round/>
                                  <a:headEnd type="none" w="med" len="med"/>
                                  <a:tailEnd type="triangle" w="med" len="med"/>
                                </a:ln>
                              </wps:spPr>
                              <wps:bodyPr upright="1"/>
                            </wps:wsp>
                            <wps:wsp>
                              <wps:cNvPr id="134" name="矩形 134"/>
                              <wps:cNvSpPr/>
                              <wps:spPr>
                                <a:xfrm>
                                  <a:off x="2161540" y="3933825"/>
                                  <a:ext cx="801370" cy="278130"/>
                                </a:xfrm>
                                <a:prstGeom prst="rect">
                                  <a:avLst/>
                                </a:prstGeom>
                                <a:noFill/>
                                <a:ln w="9525" cap="flat" cmpd="sng">
                                  <a:solidFill>
                                    <a:srgbClr val="000000"/>
                                  </a:solidFill>
                                  <a:prstDash val="solid"/>
                                  <a:miter/>
                                  <a:headEnd type="none" w="med" len="med"/>
                                  <a:tailEnd type="none" w="med" len="med"/>
                                </a:ln>
                                <a:effectLst/>
                              </wps:spPr>
                              <wps:txbx>
                                <w:txbxContent>
                                  <w:p w14:paraId="3DB69003">
                                    <w:pPr>
                                      <w:jc w:val="center"/>
                                      <w:rPr>
                                        <w:rFonts w:hint="default" w:eastAsia="宋体"/>
                                        <w:lang w:val="en-US" w:eastAsia="zh-CN"/>
                                      </w:rPr>
                                    </w:pPr>
                                    <w:r>
                                      <w:rPr>
                                        <w:rFonts w:hint="eastAsia"/>
                                        <w:lang w:val="en-US" w:eastAsia="zh-CN"/>
                                      </w:rPr>
                                      <w:t>热处理</w:t>
                                    </w:r>
                                  </w:p>
                                </w:txbxContent>
                              </wps:txbx>
                              <wps:bodyPr upright="1"/>
                            </wps:wsp>
                            <wps:wsp>
                              <wps:cNvPr id="136" name="矩形 136"/>
                              <wps:cNvSpPr/>
                              <wps:spPr>
                                <a:xfrm>
                                  <a:off x="3312160" y="4467225"/>
                                  <a:ext cx="1870075" cy="734060"/>
                                </a:xfrm>
                                <a:prstGeom prst="rect">
                                  <a:avLst/>
                                </a:prstGeom>
                                <a:noFill/>
                                <a:ln>
                                  <a:noFill/>
                                </a:ln>
                                <a:effectLst/>
                              </wps:spPr>
                              <wps:txbx>
                                <w:txbxContent>
                                  <w:p w14:paraId="0AAD7FCE">
                                    <w:pPr>
                                      <w:jc w:val="left"/>
                                      <w:rPr>
                                        <w:rFonts w:hint="eastAsia"/>
                                        <w:sz w:val="18"/>
                                        <w:szCs w:val="18"/>
                                        <w:lang w:val="en-US" w:eastAsia="zh-CN"/>
                                      </w:rPr>
                                    </w:pPr>
                                    <w:r>
                                      <w:rPr>
                                        <w:rFonts w:hint="eastAsia"/>
                                        <w:sz w:val="18"/>
                                        <w:szCs w:val="18"/>
                                        <w:lang w:val="en-US" w:eastAsia="zh-CN"/>
                                      </w:rPr>
                                      <w:t>G5机加工废气</w:t>
                                    </w:r>
                                  </w:p>
                                  <w:p w14:paraId="77F38254">
                                    <w:pPr>
                                      <w:jc w:val="left"/>
                                      <w:rPr>
                                        <w:rFonts w:hint="eastAsia"/>
                                        <w:sz w:val="18"/>
                                        <w:szCs w:val="18"/>
                                        <w:lang w:val="en-US" w:eastAsia="zh-CN"/>
                                      </w:rPr>
                                    </w:pPr>
                                    <w:r>
                                      <w:rPr>
                                        <w:rFonts w:hint="eastAsia"/>
                                        <w:sz w:val="18"/>
                                        <w:szCs w:val="18"/>
                                        <w:lang w:val="en-US" w:eastAsia="zh-CN"/>
                                      </w:rPr>
                                      <w:t>S4废切削液</w:t>
                                    </w:r>
                                  </w:p>
                                  <w:p w14:paraId="558CCBCD">
                                    <w:pPr>
                                      <w:jc w:val="left"/>
                                      <w:rPr>
                                        <w:rFonts w:hint="eastAsia"/>
                                        <w:sz w:val="18"/>
                                        <w:szCs w:val="18"/>
                                        <w:lang w:val="en-US" w:eastAsia="zh-CN"/>
                                      </w:rPr>
                                    </w:pPr>
                                    <w:r>
                                      <w:rPr>
                                        <w:rFonts w:hint="eastAsia"/>
                                        <w:sz w:val="18"/>
                                        <w:szCs w:val="18"/>
                                      </w:rPr>
                                      <w:t>S</w:t>
                                    </w:r>
                                    <w:r>
                                      <w:rPr>
                                        <w:rFonts w:hint="eastAsia"/>
                                        <w:sz w:val="18"/>
                                        <w:szCs w:val="18"/>
                                        <w:lang w:val="en-US" w:eastAsia="zh-CN"/>
                                      </w:rPr>
                                      <w:t>5含油铝屑</w:t>
                                    </w:r>
                                  </w:p>
                                  <w:p w14:paraId="62973CB2">
                                    <w:pPr>
                                      <w:jc w:val="left"/>
                                      <w:rPr>
                                        <w:rFonts w:hint="default" w:eastAsia="宋体"/>
                                        <w:sz w:val="18"/>
                                        <w:szCs w:val="18"/>
                                        <w:lang w:val="en-US" w:eastAsia="zh-CN"/>
                                      </w:rPr>
                                    </w:pPr>
                                    <w:r>
                                      <w:rPr>
                                        <w:rFonts w:hint="eastAsia"/>
                                        <w:sz w:val="18"/>
                                        <w:szCs w:val="18"/>
                                      </w:rPr>
                                      <w:t>S</w:t>
                                    </w:r>
                                    <w:r>
                                      <w:rPr>
                                        <w:rFonts w:hint="eastAsia"/>
                                        <w:sz w:val="18"/>
                                        <w:szCs w:val="18"/>
                                        <w:lang w:val="en-US" w:eastAsia="zh-CN"/>
                                      </w:rPr>
                                      <w:t>6废包装桶</w:t>
                                    </w:r>
                                  </w:p>
                                  <w:p w14:paraId="74E21206">
                                    <w:pPr>
                                      <w:jc w:val="left"/>
                                      <w:rPr>
                                        <w:rFonts w:hint="default" w:eastAsia="宋体"/>
                                        <w:sz w:val="18"/>
                                        <w:szCs w:val="18"/>
                                        <w:lang w:val="en-US" w:eastAsia="zh-CN"/>
                                      </w:rPr>
                                    </w:pPr>
                                  </w:p>
                                </w:txbxContent>
                              </wps:txbx>
                              <wps:bodyPr upright="1"/>
                            </wps:wsp>
                            <wps:wsp>
                              <wps:cNvPr id="139" name="直接连接符 139"/>
                              <wps:cNvCnPr/>
                              <wps:spPr>
                                <a:xfrm flipH="1">
                                  <a:off x="2537460" y="3592830"/>
                                  <a:ext cx="1270" cy="337820"/>
                                </a:xfrm>
                                <a:prstGeom prst="line">
                                  <a:avLst/>
                                </a:prstGeom>
                                <a:ln w="9525" cap="flat" cmpd="sng">
                                  <a:solidFill>
                                    <a:srgbClr val="000000"/>
                                  </a:solidFill>
                                  <a:prstDash val="solid"/>
                                  <a:headEnd type="none" w="med" len="med"/>
                                  <a:tailEnd type="triangle" w="med" len="med"/>
                                </a:ln>
                                <a:effectLst/>
                              </wps:spPr>
                              <wps:bodyPr upright="1"/>
                            </wps:wsp>
                            <wps:wsp>
                              <wps:cNvPr id="140" name="矩形 140"/>
                              <wps:cNvSpPr/>
                              <wps:spPr>
                                <a:xfrm>
                                  <a:off x="2146935" y="4645025"/>
                                  <a:ext cx="800735" cy="268605"/>
                                </a:xfrm>
                                <a:prstGeom prst="rect">
                                  <a:avLst/>
                                </a:prstGeom>
                                <a:noFill/>
                                <a:ln w="9525" cap="flat" cmpd="sng">
                                  <a:solidFill>
                                    <a:srgbClr val="000000"/>
                                  </a:solidFill>
                                  <a:prstDash val="solid"/>
                                  <a:miter/>
                                  <a:headEnd type="none" w="med" len="med"/>
                                  <a:tailEnd type="none" w="med" len="med"/>
                                </a:ln>
                                <a:effectLst/>
                              </wps:spPr>
                              <wps:txbx>
                                <w:txbxContent>
                                  <w:p w14:paraId="5277C3F9">
                                    <w:pPr>
                                      <w:jc w:val="center"/>
                                      <w:rPr>
                                        <w:rFonts w:hint="eastAsia" w:eastAsia="宋体"/>
                                        <w:lang w:val="en-US" w:eastAsia="zh-CN"/>
                                      </w:rPr>
                                    </w:pPr>
                                    <w:r>
                                      <w:rPr>
                                        <w:rFonts w:hint="eastAsia"/>
                                        <w:lang w:val="en-US" w:eastAsia="zh-CN"/>
                                      </w:rPr>
                                      <w:t>精加工</w:t>
                                    </w:r>
                                  </w:p>
                                </w:txbxContent>
                              </wps:txbx>
                              <wps:bodyPr upright="1"/>
                            </wps:wsp>
                            <wps:wsp>
                              <wps:cNvPr id="141" name="直接连接符 141"/>
                              <wps:cNvCnPr/>
                              <wps:spPr>
                                <a:xfrm flipH="1">
                                  <a:off x="2567305" y="4932045"/>
                                  <a:ext cx="635" cy="337820"/>
                                </a:xfrm>
                                <a:prstGeom prst="line">
                                  <a:avLst/>
                                </a:prstGeom>
                                <a:ln w="9525" cap="flat" cmpd="sng">
                                  <a:solidFill>
                                    <a:srgbClr val="000000"/>
                                  </a:solidFill>
                                  <a:prstDash val="solid"/>
                                  <a:headEnd type="none" w="med" len="med"/>
                                  <a:tailEnd type="triangle" w="med" len="med"/>
                                </a:ln>
                                <a:effectLst/>
                              </wps:spPr>
                              <wps:bodyPr upright="1"/>
                            </wps:wsp>
                            <wps:wsp>
                              <wps:cNvPr id="142" name="矩形 142"/>
                              <wps:cNvSpPr/>
                              <wps:spPr>
                                <a:xfrm>
                                  <a:off x="2165985" y="5289550"/>
                                  <a:ext cx="800735" cy="278130"/>
                                </a:xfrm>
                                <a:prstGeom prst="rect">
                                  <a:avLst/>
                                </a:prstGeom>
                                <a:noFill/>
                                <a:ln w="9525" cap="flat" cmpd="sng">
                                  <a:solidFill>
                                    <a:srgbClr val="000000"/>
                                  </a:solidFill>
                                  <a:prstDash val="solid"/>
                                  <a:miter/>
                                  <a:headEnd type="none" w="med" len="med"/>
                                  <a:tailEnd type="none" w="med" len="med"/>
                                </a:ln>
                                <a:effectLst/>
                              </wps:spPr>
                              <wps:txbx>
                                <w:txbxContent>
                                  <w:p w14:paraId="601D7993">
                                    <w:pPr>
                                      <w:jc w:val="center"/>
                                      <w:rPr>
                                        <w:rFonts w:hint="default" w:eastAsia="宋体"/>
                                        <w:lang w:val="en-US" w:eastAsia="zh-CN"/>
                                      </w:rPr>
                                    </w:pPr>
                                    <w:r>
                                      <w:rPr>
                                        <w:rFonts w:hint="eastAsia" w:ascii="Times New Roman" w:hAnsi="Times New Roman" w:eastAsia="宋体" w:cs="Times New Roman"/>
                                        <w:shd w:val="clear" w:color="auto" w:fill="FFFFFF"/>
                                        <w:lang w:val="en-US" w:eastAsia="zh-CN"/>
                                      </w:rPr>
                                      <w:t>打磨</w:t>
                                    </w:r>
                                    <w:r>
                                      <w:rPr>
                                        <w:rFonts w:hint="eastAsia"/>
                                        <w:lang w:val="en-US" w:eastAsia="zh-CN"/>
                                      </w:rPr>
                                      <w:t>抛光</w:t>
                                    </w:r>
                                  </w:p>
                                </w:txbxContent>
                              </wps:txbx>
                              <wps:bodyPr upright="1"/>
                            </wps:wsp>
                            <wps:wsp>
                              <wps:cNvPr id="146" name="矩形 146"/>
                              <wps:cNvSpPr/>
                              <wps:spPr>
                                <a:xfrm>
                                  <a:off x="970915" y="889000"/>
                                  <a:ext cx="810895" cy="278130"/>
                                </a:xfrm>
                                <a:prstGeom prst="rect">
                                  <a:avLst/>
                                </a:prstGeom>
                                <a:noFill/>
                                <a:ln w="9525" cap="flat" cmpd="sng">
                                  <a:solidFill>
                                    <a:srgbClr val="000000"/>
                                  </a:solidFill>
                                  <a:prstDash val="solid"/>
                                  <a:miter/>
                                  <a:headEnd type="none" w="med" len="med"/>
                                  <a:tailEnd type="none" w="med" len="med"/>
                                </a:ln>
                                <a:effectLst/>
                              </wps:spPr>
                              <wps:txbx>
                                <w:txbxContent>
                                  <w:p w14:paraId="02644B65">
                                    <w:pPr>
                                      <w:jc w:val="center"/>
                                      <w:rPr>
                                        <w:rFonts w:hint="default"/>
                                        <w:lang w:val="en-US"/>
                                      </w:rPr>
                                    </w:pPr>
                                    <w:r>
                                      <w:rPr>
                                        <w:rFonts w:hint="eastAsia"/>
                                        <w:lang w:val="en-US" w:eastAsia="zh-CN"/>
                                      </w:rPr>
                                      <w:t>制芯</w:t>
                                    </w:r>
                                  </w:p>
                                </w:txbxContent>
                              </wps:txbx>
                              <wps:bodyPr upright="1"/>
                            </wps:wsp>
                            <wps:wsp>
                              <wps:cNvPr id="147" name="直接连接符 147"/>
                              <wps:cNvCnPr/>
                              <wps:spPr>
                                <a:xfrm flipH="1">
                                  <a:off x="2542540" y="4267200"/>
                                  <a:ext cx="0" cy="330835"/>
                                </a:xfrm>
                                <a:prstGeom prst="line">
                                  <a:avLst/>
                                </a:prstGeom>
                                <a:ln w="9525" cap="flat" cmpd="sng">
                                  <a:solidFill>
                                    <a:srgbClr val="000000"/>
                                  </a:solidFill>
                                  <a:prstDash val="solid"/>
                                  <a:headEnd type="none" w="med" len="med"/>
                                  <a:tailEnd type="triangle" w="med" len="med"/>
                                </a:ln>
                                <a:effectLst/>
                              </wps:spPr>
                              <wps:bodyPr upright="1"/>
                            </wps:wsp>
                            <wps:wsp>
                              <wps:cNvPr id="152" name="直接连接符 152"/>
                              <wps:cNvCnPr/>
                              <wps:spPr>
                                <a:xfrm>
                                  <a:off x="3028315" y="2761615"/>
                                  <a:ext cx="342900" cy="0"/>
                                </a:xfrm>
                                <a:prstGeom prst="line">
                                  <a:avLst/>
                                </a:prstGeom>
                                <a:ln w="9525" cap="flat" cmpd="sng">
                                  <a:solidFill>
                                    <a:srgbClr val="000000"/>
                                  </a:solidFill>
                                  <a:prstDash val="dash"/>
                                  <a:headEnd type="none" w="med" len="med"/>
                                  <a:tailEnd type="triangle" w="med" len="med"/>
                                </a:ln>
                                <a:effectLst/>
                              </wps:spPr>
                              <wps:bodyPr upright="1"/>
                            </wps:wsp>
                            <wps:wsp>
                              <wps:cNvPr id="156" name="矩形 156"/>
                              <wps:cNvSpPr/>
                              <wps:spPr>
                                <a:xfrm>
                                  <a:off x="2170430" y="3256915"/>
                                  <a:ext cx="800735" cy="266700"/>
                                </a:xfrm>
                                <a:prstGeom prst="rect">
                                  <a:avLst/>
                                </a:prstGeom>
                                <a:noFill/>
                                <a:ln w="9525" cap="flat" cmpd="sng">
                                  <a:solidFill>
                                    <a:srgbClr val="000000"/>
                                  </a:solidFill>
                                  <a:prstDash val="solid"/>
                                  <a:miter/>
                                  <a:headEnd type="none" w="med" len="med"/>
                                  <a:tailEnd type="none" w="med" len="med"/>
                                </a:ln>
                                <a:effectLst/>
                              </wps:spPr>
                              <wps:txbx>
                                <w:txbxContent>
                                  <w:p w14:paraId="109598E5">
                                    <w:pPr>
                                      <w:jc w:val="center"/>
                                      <w:rPr>
                                        <w:rFonts w:hint="default" w:eastAsia="宋体"/>
                                        <w:lang w:val="en-US" w:eastAsia="zh-CN"/>
                                      </w:rPr>
                                    </w:pPr>
                                    <w:r>
                                      <w:rPr>
                                        <w:rFonts w:hint="eastAsia"/>
                                        <w:lang w:val="en-US" w:eastAsia="zh-CN"/>
                                      </w:rPr>
                                      <w:t>切割冒口</w:t>
                                    </w:r>
                                  </w:p>
                                </w:txbxContent>
                              </wps:txbx>
                              <wps:bodyPr upright="1"/>
                            </wps:wsp>
                            <wps:wsp>
                              <wps:cNvPr id="160" name="矩形 160"/>
                              <wps:cNvSpPr/>
                              <wps:spPr>
                                <a:xfrm>
                                  <a:off x="2170430" y="2627630"/>
                                  <a:ext cx="800100" cy="266700"/>
                                </a:xfrm>
                                <a:prstGeom prst="rect">
                                  <a:avLst/>
                                </a:prstGeom>
                                <a:noFill/>
                                <a:ln w="9525" cap="flat" cmpd="sng">
                                  <a:solidFill>
                                    <a:srgbClr val="000000"/>
                                  </a:solidFill>
                                  <a:prstDash val="solid"/>
                                  <a:miter/>
                                  <a:headEnd type="none" w="med" len="med"/>
                                  <a:tailEnd type="none" w="med" len="med"/>
                                </a:ln>
                                <a:effectLst/>
                              </wps:spPr>
                              <wps:txbx>
                                <w:txbxContent>
                                  <w:p w14:paraId="5D5D6968">
                                    <w:pPr>
                                      <w:jc w:val="center"/>
                                      <w:rPr>
                                        <w:rFonts w:hint="default" w:eastAsia="宋体"/>
                                        <w:lang w:val="en-US" w:eastAsia="zh-CN"/>
                                      </w:rPr>
                                    </w:pPr>
                                    <w:r>
                                      <w:rPr>
                                        <w:rFonts w:hint="eastAsia"/>
                                        <w:lang w:val="en-US" w:eastAsia="zh-CN"/>
                                      </w:rPr>
                                      <w:t>落砂</w:t>
                                    </w:r>
                                  </w:p>
                                </w:txbxContent>
                              </wps:txbx>
                              <wps:bodyPr upright="1"/>
                            </wps:wsp>
                            <wps:wsp>
                              <wps:cNvPr id="162" name="矩形 162"/>
                              <wps:cNvSpPr/>
                              <wps:spPr>
                                <a:xfrm>
                                  <a:off x="3342005" y="2523490"/>
                                  <a:ext cx="1186815" cy="729615"/>
                                </a:xfrm>
                                <a:prstGeom prst="rect">
                                  <a:avLst/>
                                </a:prstGeom>
                                <a:noFill/>
                                <a:ln>
                                  <a:noFill/>
                                </a:ln>
                                <a:effectLst/>
                              </wps:spPr>
                              <wps:txbx>
                                <w:txbxContent>
                                  <w:p w14:paraId="059B877C">
                                    <w:pPr>
                                      <w:rPr>
                                        <w:rFonts w:hint="eastAsia"/>
                                        <w:color w:val="000000"/>
                                        <w:sz w:val="18"/>
                                        <w:szCs w:val="18"/>
                                        <w:lang w:val="en-US" w:eastAsia="zh-CN"/>
                                      </w:rPr>
                                    </w:pPr>
                                    <w:r>
                                      <w:rPr>
                                        <w:rFonts w:hint="eastAsia"/>
                                        <w:color w:val="000000"/>
                                        <w:sz w:val="18"/>
                                        <w:szCs w:val="18"/>
                                      </w:rPr>
                                      <w:t>G</w:t>
                                    </w:r>
                                    <w:r>
                                      <w:rPr>
                                        <w:rFonts w:hint="eastAsia"/>
                                        <w:color w:val="000000"/>
                                        <w:sz w:val="18"/>
                                        <w:szCs w:val="18"/>
                                        <w:lang w:val="en-US" w:eastAsia="zh-CN"/>
                                      </w:rPr>
                                      <w:t>4落砂废气</w:t>
                                    </w:r>
                                  </w:p>
                                  <w:p w14:paraId="61948EF4">
                                    <w:pPr>
                                      <w:rPr>
                                        <w:rFonts w:hint="eastAsia"/>
                                        <w:color w:val="000000"/>
                                        <w:sz w:val="18"/>
                                        <w:szCs w:val="18"/>
                                        <w:lang w:val="en-US" w:eastAsia="zh-CN"/>
                                      </w:rPr>
                                    </w:pPr>
                                    <w:r>
                                      <w:rPr>
                                        <w:rFonts w:hint="eastAsia"/>
                                        <w:color w:val="000000"/>
                                        <w:sz w:val="18"/>
                                        <w:szCs w:val="18"/>
                                        <w:lang w:val="en-US" w:eastAsia="zh-CN"/>
                                      </w:rPr>
                                      <w:t>（</w:t>
                                    </w:r>
                                    <w:r>
                                      <w:rPr>
                                        <w:rFonts w:hint="eastAsia"/>
                                        <w:color w:val="000000"/>
                                        <w:sz w:val="18"/>
                                        <w:szCs w:val="18"/>
                                      </w:rPr>
                                      <w:t>颗粒物</w:t>
                                    </w:r>
                                    <w:r>
                                      <w:rPr>
                                        <w:rFonts w:hint="eastAsia"/>
                                        <w:color w:val="000000"/>
                                        <w:sz w:val="18"/>
                                        <w:szCs w:val="18"/>
                                        <w:lang w:val="en-US" w:eastAsia="zh-CN"/>
                                      </w:rPr>
                                      <w:t>）</w:t>
                                    </w:r>
                                  </w:p>
                                  <w:p w14:paraId="1E526FB2">
                                    <w:pPr>
                                      <w:rPr>
                                        <w:rFonts w:hint="eastAsia"/>
                                        <w:color w:val="000000"/>
                                        <w:sz w:val="18"/>
                                        <w:szCs w:val="18"/>
                                        <w:lang w:val="en-US" w:eastAsia="zh-CN"/>
                                      </w:rPr>
                                    </w:pPr>
                                    <w:r>
                                      <w:rPr>
                                        <w:rFonts w:hint="eastAsia"/>
                                        <w:color w:val="000000"/>
                                        <w:sz w:val="18"/>
                                        <w:szCs w:val="18"/>
                                      </w:rPr>
                                      <w:t>S</w:t>
                                    </w:r>
                                    <w:r>
                                      <w:rPr>
                                        <w:rFonts w:hint="eastAsia"/>
                                        <w:color w:val="000000"/>
                                        <w:sz w:val="18"/>
                                        <w:szCs w:val="18"/>
                                        <w:lang w:val="en-US" w:eastAsia="zh-CN"/>
                                      </w:rPr>
                                      <w:t>2废砂</w:t>
                                    </w:r>
                                  </w:p>
                                  <w:p w14:paraId="55A0EB35">
                                    <w:pPr>
                                      <w:rPr>
                                        <w:rFonts w:hint="eastAsia" w:eastAsia="宋体"/>
                                        <w:color w:val="000000"/>
                                        <w:sz w:val="18"/>
                                        <w:szCs w:val="18"/>
                                        <w:lang w:val="en-US" w:eastAsia="zh-CN"/>
                                      </w:rPr>
                                    </w:pPr>
                                  </w:p>
                                </w:txbxContent>
                              </wps:txbx>
                              <wps:bodyPr upright="1"/>
                            </wps:wsp>
                            <wps:wsp>
                              <wps:cNvPr id="163" name="直接连接符 163"/>
                              <wps:cNvCnPr/>
                              <wps:spPr>
                                <a:xfrm>
                                  <a:off x="2570480" y="2941955"/>
                                  <a:ext cx="0" cy="292100"/>
                                </a:xfrm>
                                <a:prstGeom prst="line">
                                  <a:avLst/>
                                </a:prstGeom>
                                <a:ln w="9525" cap="flat" cmpd="sng">
                                  <a:solidFill>
                                    <a:srgbClr val="000000"/>
                                  </a:solidFill>
                                  <a:prstDash val="solid"/>
                                  <a:headEnd type="none" w="med" len="med"/>
                                  <a:tailEnd type="triangle" w="med" len="med"/>
                                </a:ln>
                                <a:effectLst/>
                              </wps:spPr>
                              <wps:bodyPr upright="1"/>
                            </wps:wsp>
                            <wps:wsp>
                              <wps:cNvPr id="165" name="矩形 165"/>
                              <wps:cNvSpPr/>
                              <wps:spPr>
                                <a:xfrm>
                                  <a:off x="3255645" y="875030"/>
                                  <a:ext cx="779145" cy="285750"/>
                                </a:xfrm>
                                <a:prstGeom prst="rect">
                                  <a:avLst/>
                                </a:prstGeom>
                                <a:noFill/>
                                <a:ln w="12700" cmpd="sng">
                                  <a:solidFill>
                                    <a:srgbClr val="000000"/>
                                  </a:solidFill>
                                  <a:prstDash val="solid"/>
                                </a:ln>
                                <a:effectLst/>
                              </wps:spPr>
                              <wps:txbx>
                                <w:txbxContent>
                                  <w:p w14:paraId="0C21F945">
                                    <w:pPr>
                                      <w:jc w:val="center"/>
                                      <w:rPr>
                                        <w:rFonts w:hint="default" w:eastAsia="宋体"/>
                                        <w:lang w:val="en-US" w:eastAsia="zh-CN"/>
                                      </w:rPr>
                                    </w:pPr>
                                    <w:r>
                                      <w:rPr>
                                        <w:rFonts w:hint="eastAsia"/>
                                        <w:lang w:val="en-US" w:eastAsia="zh-CN"/>
                                      </w:rPr>
                                      <w:t>熔融</w:t>
                                    </w:r>
                                  </w:p>
                                </w:txbxContent>
                              </wps:txbx>
                              <wps:bodyPr upright="1"/>
                            </wps:wsp>
                            <wps:wsp>
                              <wps:cNvPr id="167" name="矩形 167"/>
                              <wps:cNvSpPr/>
                              <wps:spPr>
                                <a:xfrm>
                                  <a:off x="3094990" y="190500"/>
                                  <a:ext cx="1058545" cy="443865"/>
                                </a:xfrm>
                                <a:prstGeom prst="rect">
                                  <a:avLst/>
                                </a:prstGeom>
                                <a:noFill/>
                                <a:ln>
                                  <a:noFill/>
                                </a:ln>
                                <a:effectLst/>
                              </wps:spPr>
                              <wps:txbx>
                                <w:txbxContent>
                                  <w:p w14:paraId="42EDF3DE">
                                    <w:pPr>
                                      <w:jc w:val="center"/>
                                      <w:rPr>
                                        <w:rFonts w:hint="default" w:eastAsia="宋体"/>
                                        <w:lang w:val="en-US" w:eastAsia="zh-CN"/>
                                      </w:rPr>
                                    </w:pPr>
                                    <w:r>
                                      <w:rPr>
                                        <w:rFonts w:hint="eastAsia"/>
                                        <w:lang w:val="en-US" w:eastAsia="zh-CN"/>
                                      </w:rPr>
                                      <w:t>铝合金、</w:t>
                                    </w:r>
                                    <w:r>
                                      <w:rPr>
                                        <w:rFonts w:hint="eastAsia"/>
                                        <w:color w:val="auto"/>
                                        <w:lang w:val="en-US" w:eastAsia="zh-CN"/>
                                      </w:rPr>
                                      <w:t>氮气、除渣剂</w:t>
                                    </w:r>
                                  </w:p>
                                </w:txbxContent>
                              </wps:txbx>
                              <wps:bodyPr upright="1"/>
                            </wps:wsp>
                            <wps:wsp>
                              <wps:cNvPr id="168" name="矩形 168"/>
                              <wps:cNvSpPr/>
                              <wps:spPr>
                                <a:xfrm>
                                  <a:off x="798830" y="341630"/>
                                  <a:ext cx="1106805" cy="321310"/>
                                </a:xfrm>
                                <a:prstGeom prst="rect">
                                  <a:avLst/>
                                </a:prstGeom>
                                <a:noFill/>
                                <a:ln>
                                  <a:noFill/>
                                </a:ln>
                                <a:effectLst/>
                              </wps:spPr>
                              <wps:txbx>
                                <w:txbxContent>
                                  <w:p w14:paraId="7E82F77C">
                                    <w:pPr>
                                      <w:jc w:val="center"/>
                                      <w:rPr>
                                        <w:rFonts w:hint="eastAsia" w:eastAsia="宋体"/>
                                        <w:lang w:val="en-US" w:eastAsia="zh-CN"/>
                                      </w:rPr>
                                    </w:pPr>
                                    <w:r>
                                      <w:rPr>
                                        <w:rFonts w:hint="eastAsia"/>
                                        <w:lang w:val="en-US" w:eastAsia="zh-CN"/>
                                      </w:rPr>
                                      <w:t>覆膜砂</w:t>
                                    </w:r>
                                  </w:p>
                                </w:txbxContent>
                              </wps:txbx>
                              <wps:bodyPr upright="1"/>
                            </wps:wsp>
                            <wps:wsp>
                              <wps:cNvPr id="170" name="直接连接符 170"/>
                              <wps:cNvCnPr/>
                              <wps:spPr>
                                <a:xfrm flipH="1">
                                  <a:off x="3608705" y="580390"/>
                                  <a:ext cx="8890" cy="312420"/>
                                </a:xfrm>
                                <a:prstGeom prst="line">
                                  <a:avLst/>
                                </a:prstGeom>
                                <a:ln w="9525" cap="flat" cmpd="sng">
                                  <a:solidFill>
                                    <a:srgbClr val="000000"/>
                                  </a:solidFill>
                                  <a:prstDash val="solid"/>
                                  <a:headEnd type="none" w="med" len="med"/>
                                  <a:tailEnd type="triangle" w="med" len="med"/>
                                </a:ln>
                                <a:effectLst/>
                              </wps:spPr>
                              <wps:bodyPr upright="1"/>
                            </wps:wsp>
                            <wps:wsp>
                              <wps:cNvPr id="143" name="直接连接符 143"/>
                              <wps:cNvCnPr/>
                              <wps:spPr>
                                <a:xfrm flipH="1">
                                  <a:off x="3605530" y="1174115"/>
                                  <a:ext cx="635" cy="391160"/>
                                </a:xfrm>
                                <a:prstGeom prst="line">
                                  <a:avLst/>
                                </a:prstGeom>
                                <a:ln w="9525" cap="flat" cmpd="sng">
                                  <a:solidFill>
                                    <a:srgbClr val="000000"/>
                                  </a:solidFill>
                                  <a:prstDash val="solid"/>
                                  <a:round/>
                                  <a:headEnd type="none" w="med" len="med"/>
                                  <a:tailEnd type="none" w="med" len="med"/>
                                </a:ln>
                              </wps:spPr>
                              <wps:bodyPr upright="1"/>
                            </wps:wsp>
                            <wps:wsp>
                              <wps:cNvPr id="175" name="矩形 175"/>
                              <wps:cNvSpPr/>
                              <wps:spPr>
                                <a:xfrm>
                                  <a:off x="2130425" y="703580"/>
                                  <a:ext cx="1021080" cy="749300"/>
                                </a:xfrm>
                                <a:prstGeom prst="rect">
                                  <a:avLst/>
                                </a:prstGeom>
                                <a:noFill/>
                                <a:ln>
                                  <a:noFill/>
                                </a:ln>
                                <a:effectLst/>
                              </wps:spPr>
                              <wps:txbx>
                                <w:txbxContent>
                                  <w:p w14:paraId="17BBEB53">
                                    <w:pPr>
                                      <w:rPr>
                                        <w:rFonts w:hint="eastAsia"/>
                                        <w:sz w:val="18"/>
                                        <w:szCs w:val="18"/>
                                        <w:lang w:val="en-US" w:eastAsia="zh-CN"/>
                                      </w:rPr>
                                    </w:pPr>
                                    <w:r>
                                      <w:rPr>
                                        <w:rFonts w:hint="eastAsia"/>
                                        <w:sz w:val="18"/>
                                        <w:szCs w:val="18"/>
                                      </w:rPr>
                                      <w:t>G</w:t>
                                    </w:r>
                                    <w:r>
                                      <w:rPr>
                                        <w:rFonts w:hint="eastAsia"/>
                                        <w:sz w:val="18"/>
                                        <w:szCs w:val="18"/>
                                        <w:lang w:val="en-US" w:eastAsia="zh-CN"/>
                                      </w:rPr>
                                      <w:t>1制芯废气</w:t>
                                    </w:r>
                                  </w:p>
                                  <w:p w14:paraId="5965EC47">
                                    <w:pPr>
                                      <w:rPr>
                                        <w:sz w:val="18"/>
                                        <w:szCs w:val="18"/>
                                      </w:rPr>
                                    </w:pPr>
                                    <w:r>
                                      <w:rPr>
                                        <w:rFonts w:hint="eastAsia"/>
                                        <w:sz w:val="18"/>
                                        <w:szCs w:val="18"/>
                                        <w:lang w:val="en-US" w:eastAsia="zh-CN"/>
                                      </w:rPr>
                                      <w:t>（</w:t>
                                    </w:r>
                                    <w:r>
                                      <w:rPr>
                                        <w:rFonts w:hint="eastAsia"/>
                                        <w:sz w:val="18"/>
                                        <w:szCs w:val="18"/>
                                      </w:rPr>
                                      <w:t>颗粒物</w:t>
                                    </w:r>
                                    <w:r>
                                      <w:rPr>
                                        <w:rFonts w:hint="eastAsia"/>
                                        <w:sz w:val="18"/>
                                        <w:szCs w:val="18"/>
                                        <w:lang w:eastAsia="zh-CN"/>
                                      </w:rPr>
                                      <w:t>、</w:t>
                                    </w:r>
                                    <w:r>
                                      <w:rPr>
                                        <w:rFonts w:hint="eastAsia"/>
                                        <w:sz w:val="18"/>
                                        <w:szCs w:val="18"/>
                                        <w:lang w:val="en-US" w:eastAsia="zh-CN"/>
                                      </w:rPr>
                                      <w:t>非甲烷总烃、</w:t>
                                    </w:r>
                                    <w:r>
                                      <w:rPr>
                                        <w:rFonts w:hint="eastAsia"/>
                                        <w:color w:val="auto"/>
                                        <w:sz w:val="18"/>
                                        <w:szCs w:val="18"/>
                                        <w:lang w:val="en-US" w:eastAsia="zh-CN"/>
                                      </w:rPr>
                                      <w:t>甲醛</w:t>
                                    </w:r>
                                    <w:r>
                                      <w:rPr>
                                        <w:rFonts w:hint="eastAsia"/>
                                        <w:sz w:val="18"/>
                                        <w:szCs w:val="18"/>
                                        <w:lang w:val="en-US" w:eastAsia="zh-CN"/>
                                      </w:rPr>
                                      <w:t>、苯酚）</w:t>
                                    </w:r>
                                  </w:p>
                                  <w:p w14:paraId="04932DDE"/>
                                </w:txbxContent>
                              </wps:txbx>
                              <wps:bodyPr upright="1"/>
                            </wps:wsp>
                            <wps:wsp>
                              <wps:cNvPr id="144" name="直接连接符 144"/>
                              <wps:cNvCnPr/>
                              <wps:spPr>
                                <a:xfrm>
                                  <a:off x="4057015" y="923290"/>
                                  <a:ext cx="313055" cy="8890"/>
                                </a:xfrm>
                                <a:prstGeom prst="line">
                                  <a:avLst/>
                                </a:prstGeom>
                                <a:ln w="9525" cap="flat" cmpd="sng">
                                  <a:solidFill>
                                    <a:srgbClr val="000000"/>
                                  </a:solidFill>
                                  <a:prstDash val="dash"/>
                                  <a:round/>
                                  <a:headEnd type="none" w="med" len="med"/>
                                  <a:tailEnd type="triangle" w="med" len="med"/>
                                </a:ln>
                              </wps:spPr>
                              <wps:bodyPr upright="1"/>
                            </wps:wsp>
                            <wps:wsp>
                              <wps:cNvPr id="178" name="直接连接符 178"/>
                              <wps:cNvCnPr/>
                              <wps:spPr>
                                <a:xfrm>
                                  <a:off x="1808480" y="1036955"/>
                                  <a:ext cx="342900" cy="0"/>
                                </a:xfrm>
                                <a:prstGeom prst="line">
                                  <a:avLst/>
                                </a:prstGeom>
                                <a:ln w="9525" cap="flat" cmpd="sng">
                                  <a:solidFill>
                                    <a:srgbClr val="000000"/>
                                  </a:solidFill>
                                  <a:prstDash val="dash"/>
                                  <a:headEnd type="none" w="med" len="med"/>
                                  <a:tailEnd type="triangle" w="med" len="med"/>
                                </a:ln>
                                <a:effectLst/>
                              </wps:spPr>
                              <wps:bodyPr upright="1"/>
                            </wps:wsp>
                            <wps:wsp>
                              <wps:cNvPr id="180" name="矩形 180"/>
                              <wps:cNvSpPr/>
                              <wps:spPr>
                                <a:xfrm>
                                  <a:off x="4256405" y="560705"/>
                                  <a:ext cx="1057275" cy="664210"/>
                                </a:xfrm>
                                <a:prstGeom prst="rect">
                                  <a:avLst/>
                                </a:prstGeom>
                                <a:noFill/>
                                <a:ln>
                                  <a:noFill/>
                                </a:ln>
                                <a:effectLst/>
                              </wps:spPr>
                              <wps:txbx>
                                <w:txbxContent>
                                  <w:p w14:paraId="1900E447">
                                    <w:pPr>
                                      <w:rPr>
                                        <w:rFonts w:hint="eastAsia"/>
                                        <w:color w:val="000000"/>
                                        <w:sz w:val="18"/>
                                        <w:szCs w:val="18"/>
                                        <w:lang w:val="en-US" w:eastAsia="zh-CN"/>
                                      </w:rPr>
                                    </w:pPr>
                                    <w:r>
                                      <w:rPr>
                                        <w:rFonts w:hint="eastAsia"/>
                                        <w:color w:val="000000"/>
                                        <w:sz w:val="18"/>
                                        <w:szCs w:val="18"/>
                                      </w:rPr>
                                      <w:t>G</w:t>
                                    </w:r>
                                    <w:r>
                                      <w:rPr>
                                        <w:rFonts w:hint="eastAsia"/>
                                        <w:color w:val="000000"/>
                                        <w:sz w:val="18"/>
                                        <w:szCs w:val="18"/>
                                        <w:lang w:val="en-US" w:eastAsia="zh-CN"/>
                                      </w:rPr>
                                      <w:t>2熔融烟尘</w:t>
                                    </w:r>
                                  </w:p>
                                  <w:p w14:paraId="7AD5091F">
                                    <w:pPr>
                                      <w:rPr>
                                        <w:rFonts w:hint="default" w:eastAsia="宋体"/>
                                        <w:color w:val="000000"/>
                                        <w:sz w:val="18"/>
                                        <w:szCs w:val="18"/>
                                        <w:lang w:val="en-US" w:eastAsia="zh-CN"/>
                                      </w:rPr>
                                    </w:pPr>
                                    <w:r>
                                      <w:rPr>
                                        <w:rFonts w:hint="eastAsia"/>
                                        <w:color w:val="000000"/>
                                        <w:sz w:val="18"/>
                                        <w:szCs w:val="18"/>
                                        <w:lang w:val="en-US" w:eastAsia="zh-CN"/>
                                      </w:rPr>
                                      <w:t>（颗粒物）</w:t>
                                    </w:r>
                                  </w:p>
                                  <w:p w14:paraId="7544B692">
                                    <w:pPr>
                                      <w:rPr>
                                        <w:rFonts w:hint="default" w:eastAsia="宋体"/>
                                        <w:color w:val="000000"/>
                                        <w:sz w:val="18"/>
                                        <w:szCs w:val="18"/>
                                        <w:lang w:val="en-US" w:eastAsia="zh-CN"/>
                                      </w:rPr>
                                    </w:pPr>
                                    <w:r>
                                      <w:rPr>
                                        <w:rFonts w:hint="eastAsia"/>
                                        <w:color w:val="000000"/>
                                        <w:sz w:val="18"/>
                                        <w:szCs w:val="18"/>
                                        <w:lang w:val="en-US" w:eastAsia="zh-CN"/>
                                      </w:rPr>
                                      <w:t>S1炉渣</w:t>
                                    </w:r>
                                  </w:p>
                                </w:txbxContent>
                              </wps:txbx>
                              <wps:bodyPr upright="1"/>
                            </wps:wsp>
                            <wps:wsp>
                              <wps:cNvPr id="182" name="矩形 182"/>
                              <wps:cNvSpPr/>
                              <wps:spPr>
                                <a:xfrm>
                                  <a:off x="3332480" y="1884680"/>
                                  <a:ext cx="1106170" cy="730250"/>
                                </a:xfrm>
                                <a:prstGeom prst="rect">
                                  <a:avLst/>
                                </a:prstGeom>
                                <a:noFill/>
                                <a:ln>
                                  <a:noFill/>
                                </a:ln>
                                <a:effectLst/>
                              </wps:spPr>
                              <wps:txbx>
                                <w:txbxContent>
                                  <w:p w14:paraId="145BB1BF">
                                    <w:pPr>
                                      <w:rPr>
                                        <w:rFonts w:hint="eastAsia"/>
                                        <w:sz w:val="18"/>
                                        <w:szCs w:val="18"/>
                                        <w:lang w:val="en-US" w:eastAsia="zh-CN"/>
                                      </w:rPr>
                                    </w:pPr>
                                    <w:r>
                                      <w:rPr>
                                        <w:rFonts w:hint="eastAsia"/>
                                        <w:sz w:val="18"/>
                                        <w:szCs w:val="18"/>
                                      </w:rPr>
                                      <w:t>G</w:t>
                                    </w:r>
                                    <w:r>
                                      <w:rPr>
                                        <w:rFonts w:hint="eastAsia"/>
                                        <w:sz w:val="18"/>
                                        <w:szCs w:val="18"/>
                                        <w:lang w:val="en-US" w:eastAsia="zh-CN"/>
                                      </w:rPr>
                                      <w:t>3浇注废气</w:t>
                                    </w:r>
                                  </w:p>
                                  <w:p w14:paraId="427B375B">
                                    <w:pPr>
                                      <w:rPr>
                                        <w:sz w:val="18"/>
                                        <w:szCs w:val="18"/>
                                      </w:rPr>
                                    </w:pPr>
                                    <w:r>
                                      <w:rPr>
                                        <w:rFonts w:hint="eastAsia"/>
                                        <w:sz w:val="18"/>
                                        <w:szCs w:val="18"/>
                                        <w:lang w:val="en-US" w:eastAsia="zh-CN"/>
                                      </w:rPr>
                                      <w:t>（</w:t>
                                    </w:r>
                                    <w:r>
                                      <w:rPr>
                                        <w:rFonts w:hint="eastAsia"/>
                                        <w:sz w:val="18"/>
                                        <w:szCs w:val="18"/>
                                      </w:rPr>
                                      <w:t>颗粒物</w:t>
                                    </w:r>
                                    <w:r>
                                      <w:rPr>
                                        <w:rFonts w:hint="eastAsia"/>
                                        <w:sz w:val="18"/>
                                        <w:szCs w:val="18"/>
                                        <w:lang w:eastAsia="zh-CN"/>
                                      </w:rPr>
                                      <w:t>、</w:t>
                                    </w:r>
                                    <w:r>
                                      <w:rPr>
                                        <w:rFonts w:hint="eastAsia"/>
                                        <w:sz w:val="18"/>
                                        <w:szCs w:val="18"/>
                                        <w:lang w:val="en-US" w:eastAsia="zh-CN"/>
                                      </w:rPr>
                                      <w:t>非甲烷总烃、</w:t>
                                    </w:r>
                                    <w:r>
                                      <w:rPr>
                                        <w:rFonts w:hint="eastAsia"/>
                                        <w:color w:val="auto"/>
                                        <w:sz w:val="18"/>
                                        <w:szCs w:val="18"/>
                                        <w:lang w:val="en-US" w:eastAsia="zh-CN"/>
                                      </w:rPr>
                                      <w:t>甲醛</w:t>
                                    </w:r>
                                    <w:r>
                                      <w:rPr>
                                        <w:rFonts w:hint="eastAsia"/>
                                        <w:sz w:val="18"/>
                                        <w:szCs w:val="18"/>
                                        <w:lang w:val="en-US" w:eastAsia="zh-CN"/>
                                      </w:rPr>
                                      <w:t>、苯酚）</w:t>
                                    </w:r>
                                  </w:p>
                                  <w:p w14:paraId="2EAEA2E5"/>
                                </w:txbxContent>
                              </wps:txbx>
                              <wps:bodyPr upright="1"/>
                            </wps:wsp>
                            <wps:wsp>
                              <wps:cNvPr id="183" name="直接连接符 183"/>
                              <wps:cNvCnPr/>
                              <wps:spPr>
                                <a:xfrm>
                                  <a:off x="3027680" y="2103755"/>
                                  <a:ext cx="342900" cy="0"/>
                                </a:xfrm>
                                <a:prstGeom prst="line">
                                  <a:avLst/>
                                </a:prstGeom>
                                <a:ln w="9525" cap="flat" cmpd="sng">
                                  <a:solidFill>
                                    <a:srgbClr val="000000"/>
                                  </a:solidFill>
                                  <a:prstDash val="dash"/>
                                  <a:headEnd type="none" w="med" len="med"/>
                                  <a:tailEnd type="triangle" w="med" len="med"/>
                                </a:ln>
                                <a:effectLst/>
                              </wps:spPr>
                              <wps:bodyPr upright="1"/>
                            </wps:wsp>
                            <wps:wsp>
                              <wps:cNvPr id="185" name="矩形 185"/>
                              <wps:cNvSpPr/>
                              <wps:spPr>
                                <a:xfrm>
                                  <a:off x="3303905" y="5266055"/>
                                  <a:ext cx="1186815" cy="852170"/>
                                </a:xfrm>
                                <a:prstGeom prst="rect">
                                  <a:avLst/>
                                </a:prstGeom>
                                <a:noFill/>
                                <a:ln>
                                  <a:noFill/>
                                </a:ln>
                                <a:effectLst/>
                              </wps:spPr>
                              <wps:txbx>
                                <w:txbxContent>
                                  <w:p w14:paraId="678B3FD2">
                                    <w:pPr>
                                      <w:rPr>
                                        <w:rFonts w:hint="eastAsia"/>
                                        <w:color w:val="000000"/>
                                        <w:sz w:val="18"/>
                                        <w:szCs w:val="18"/>
                                        <w:lang w:val="en-US" w:eastAsia="zh-CN"/>
                                      </w:rPr>
                                    </w:pPr>
                                    <w:r>
                                      <w:rPr>
                                        <w:rFonts w:hint="eastAsia"/>
                                        <w:color w:val="000000"/>
                                        <w:sz w:val="18"/>
                                        <w:szCs w:val="18"/>
                                      </w:rPr>
                                      <w:t>G</w:t>
                                    </w:r>
                                    <w:r>
                                      <w:rPr>
                                        <w:rFonts w:hint="eastAsia"/>
                                        <w:color w:val="000000"/>
                                        <w:sz w:val="18"/>
                                        <w:szCs w:val="18"/>
                                        <w:lang w:val="en-US" w:eastAsia="zh-CN"/>
                                      </w:rPr>
                                      <w:t>6打磨抛光废气</w:t>
                                    </w:r>
                                  </w:p>
                                  <w:p w14:paraId="3CDEAFB2">
                                    <w:pPr>
                                      <w:rPr>
                                        <w:rFonts w:hint="eastAsia"/>
                                        <w:color w:val="000000"/>
                                        <w:sz w:val="18"/>
                                        <w:szCs w:val="18"/>
                                        <w:lang w:val="en-US" w:eastAsia="zh-CN"/>
                                      </w:rPr>
                                    </w:pPr>
                                    <w:r>
                                      <w:rPr>
                                        <w:rFonts w:hint="eastAsia"/>
                                        <w:color w:val="000000"/>
                                        <w:sz w:val="18"/>
                                        <w:szCs w:val="18"/>
                                        <w:lang w:val="en-US" w:eastAsia="zh-CN"/>
                                      </w:rPr>
                                      <w:t>（</w:t>
                                    </w:r>
                                    <w:r>
                                      <w:rPr>
                                        <w:rFonts w:hint="eastAsia"/>
                                        <w:color w:val="000000"/>
                                        <w:sz w:val="18"/>
                                        <w:szCs w:val="18"/>
                                      </w:rPr>
                                      <w:t>颗粒物</w:t>
                                    </w:r>
                                    <w:r>
                                      <w:rPr>
                                        <w:rFonts w:hint="eastAsia"/>
                                        <w:color w:val="000000"/>
                                        <w:sz w:val="18"/>
                                        <w:szCs w:val="18"/>
                                        <w:lang w:val="en-US" w:eastAsia="zh-CN"/>
                                      </w:rPr>
                                      <w:t>）</w:t>
                                    </w:r>
                                  </w:p>
                                  <w:p w14:paraId="4F350FCA">
                                    <w:pPr>
                                      <w:rPr>
                                        <w:rFonts w:hint="eastAsia" w:eastAsia="宋体"/>
                                        <w:color w:val="000000"/>
                                        <w:sz w:val="18"/>
                                        <w:szCs w:val="18"/>
                                        <w:lang w:eastAsia="zh-CN"/>
                                      </w:rPr>
                                    </w:pPr>
                                    <w:r>
                                      <w:rPr>
                                        <w:rFonts w:hint="eastAsia"/>
                                        <w:sz w:val="18"/>
                                        <w:szCs w:val="18"/>
                                        <w:lang w:bidi="bo-CN"/>
                                      </w:rPr>
                                      <w:t>S</w:t>
                                    </w:r>
                                    <w:r>
                                      <w:rPr>
                                        <w:rFonts w:hint="eastAsia"/>
                                        <w:sz w:val="18"/>
                                        <w:szCs w:val="18"/>
                                        <w:lang w:val="en-US" w:eastAsia="zh-CN" w:bidi="bo-CN"/>
                                      </w:rPr>
                                      <w:t>7</w:t>
                                    </w:r>
                                    <w:r>
                                      <w:rPr>
                                        <w:rFonts w:hint="eastAsia"/>
                                        <w:color w:val="000000"/>
                                        <w:sz w:val="18"/>
                                        <w:szCs w:val="18"/>
                                      </w:rPr>
                                      <w:t>废砂</w:t>
                                    </w:r>
                                    <w:r>
                                      <w:rPr>
                                        <w:rFonts w:hint="eastAsia"/>
                                        <w:color w:val="000000"/>
                                        <w:sz w:val="18"/>
                                        <w:szCs w:val="18"/>
                                        <w:lang w:val="en-US" w:eastAsia="zh-CN"/>
                                      </w:rPr>
                                      <w:t>纸</w:t>
                                    </w:r>
                                  </w:p>
                                </w:txbxContent>
                              </wps:txbx>
                              <wps:bodyPr upright="1"/>
                            </wps:wsp>
                            <wps:wsp>
                              <wps:cNvPr id="186" name="直接连接符 186"/>
                              <wps:cNvCnPr/>
                              <wps:spPr>
                                <a:xfrm>
                                  <a:off x="2989580" y="5456555"/>
                                  <a:ext cx="342900" cy="0"/>
                                </a:xfrm>
                                <a:prstGeom prst="line">
                                  <a:avLst/>
                                </a:prstGeom>
                                <a:ln w="9525" cap="flat" cmpd="sng">
                                  <a:solidFill>
                                    <a:srgbClr val="000000"/>
                                  </a:solidFill>
                                  <a:prstDash val="dash"/>
                                  <a:headEnd type="none" w="med" len="med"/>
                                  <a:tailEnd type="triangle" w="med" len="med"/>
                                </a:ln>
                                <a:effectLst/>
                              </wps:spPr>
                              <wps:bodyPr upright="1"/>
                            </wps:wsp>
                            <wps:wsp>
                              <wps:cNvPr id="148" name="矩形 148"/>
                              <wps:cNvSpPr/>
                              <wps:spPr>
                                <a:xfrm>
                                  <a:off x="742950" y="4665980"/>
                                  <a:ext cx="939800" cy="440055"/>
                                </a:xfrm>
                                <a:prstGeom prst="rect">
                                  <a:avLst/>
                                </a:prstGeom>
                                <a:noFill/>
                                <a:ln>
                                  <a:noFill/>
                                </a:ln>
                                <a:effectLst/>
                              </wps:spPr>
                              <wps:txbx>
                                <w:txbxContent>
                                  <w:p w14:paraId="6C856581">
                                    <w:pPr>
                                      <w:jc w:val="center"/>
                                      <w:rPr>
                                        <w:rFonts w:hint="default" w:eastAsia="宋体"/>
                                        <w:lang w:val="en-US" w:eastAsia="zh-CN"/>
                                      </w:rPr>
                                    </w:pPr>
                                    <w:r>
                                      <w:rPr>
                                        <w:rFonts w:hint="eastAsia" w:hAnsi="宋体"/>
                                        <w:lang w:val="en-US" w:eastAsia="zh-CN"/>
                                      </w:rPr>
                                      <w:t>切削液</w:t>
                                    </w:r>
                                  </w:p>
                                </w:txbxContent>
                              </wps:txbx>
                              <wps:bodyPr upright="1"/>
                            </wps:wsp>
                            <wps:wsp>
                              <wps:cNvPr id="172" name="直接连接符 172"/>
                              <wps:cNvCnPr/>
                              <wps:spPr>
                                <a:xfrm>
                                  <a:off x="579755" y="1046480"/>
                                  <a:ext cx="393700" cy="0"/>
                                </a:xfrm>
                                <a:prstGeom prst="line">
                                  <a:avLst/>
                                </a:prstGeom>
                                <a:ln w="9525" cap="flat" cmpd="sng">
                                  <a:solidFill>
                                    <a:srgbClr val="000000"/>
                                  </a:solidFill>
                                  <a:prstDash val="solid"/>
                                  <a:headEnd type="none" w="med" len="med"/>
                                  <a:tailEnd type="triangle" w="med" len="med"/>
                                </a:ln>
                                <a:effectLst/>
                              </wps:spPr>
                              <wps:bodyPr upright="1"/>
                            </wps:wsp>
                            <wps:wsp>
                              <wps:cNvPr id="150" name="直接连接符 150"/>
                              <wps:cNvCnPr/>
                              <wps:spPr>
                                <a:xfrm>
                                  <a:off x="2570480" y="1579880"/>
                                  <a:ext cx="0" cy="368300"/>
                                </a:xfrm>
                                <a:prstGeom prst="line">
                                  <a:avLst/>
                                </a:prstGeom>
                                <a:ln w="9525" cap="flat" cmpd="sng">
                                  <a:solidFill>
                                    <a:srgbClr val="000000"/>
                                  </a:solidFill>
                                  <a:prstDash val="solid"/>
                                  <a:round/>
                                  <a:headEnd type="none" w="med" len="med"/>
                                  <a:tailEnd type="triangle" w="med" len="med"/>
                                </a:ln>
                              </wps:spPr>
                              <wps:bodyPr upright="1"/>
                            </wps:wsp>
                            <wps:wsp>
                              <wps:cNvPr id="151" name="直接连接符 151"/>
                              <wps:cNvCnPr/>
                              <wps:spPr>
                                <a:xfrm>
                                  <a:off x="1452880" y="1569085"/>
                                  <a:ext cx="2152650" cy="635"/>
                                </a:xfrm>
                                <a:prstGeom prst="line">
                                  <a:avLst/>
                                </a:prstGeom>
                                <a:ln w="9525" cap="flat" cmpd="sng">
                                  <a:solidFill>
                                    <a:srgbClr val="000000"/>
                                  </a:solidFill>
                                  <a:prstDash val="solid"/>
                                  <a:headEnd type="none" w="med" len="med"/>
                                  <a:tailEnd type="none" w="med" len="med"/>
                                </a:ln>
                              </wps:spPr>
                              <wps:bodyPr upright="1"/>
                            </wps:wsp>
                            <wps:wsp>
                              <wps:cNvPr id="157" name="直接连接符 157"/>
                              <wps:cNvCnPr/>
                              <wps:spPr>
                                <a:xfrm>
                                  <a:off x="2952750" y="4817110"/>
                                  <a:ext cx="342900" cy="635"/>
                                </a:xfrm>
                                <a:prstGeom prst="line">
                                  <a:avLst/>
                                </a:prstGeom>
                                <a:ln w="9525" cap="flat" cmpd="sng">
                                  <a:solidFill>
                                    <a:srgbClr val="000000"/>
                                  </a:solidFill>
                                  <a:prstDash val="dash"/>
                                  <a:headEnd type="none" w="med" len="med"/>
                                  <a:tailEnd type="triangle" w="med" len="med"/>
                                </a:ln>
                                <a:effectLst/>
                              </wps:spPr>
                              <wps:bodyPr upright="1"/>
                            </wps:wsp>
                            <wps:wsp>
                              <wps:cNvPr id="164" name="矩形 164"/>
                              <wps:cNvSpPr/>
                              <wps:spPr>
                                <a:xfrm>
                                  <a:off x="28575" y="941705"/>
                                  <a:ext cx="731520" cy="335915"/>
                                </a:xfrm>
                                <a:prstGeom prst="rect">
                                  <a:avLst/>
                                </a:prstGeom>
                                <a:noFill/>
                                <a:ln>
                                  <a:noFill/>
                                </a:ln>
                                <a:effectLst/>
                              </wps:spPr>
                              <wps:txbx>
                                <w:txbxContent>
                                  <w:p w14:paraId="0A4FCDF0">
                                    <w:pPr>
                                      <w:jc w:val="center"/>
                                      <w:rPr>
                                        <w:rFonts w:hint="default" w:eastAsia="宋体"/>
                                        <w:color w:val="auto"/>
                                        <w:lang w:val="en-US" w:eastAsia="zh-CN"/>
                                      </w:rPr>
                                    </w:pPr>
                                    <w:r>
                                      <w:rPr>
                                        <w:rFonts w:hint="eastAsia" w:hAnsi="宋体"/>
                                        <w:color w:val="auto"/>
                                        <w:lang w:val="en-US" w:eastAsia="zh-CN"/>
                                      </w:rPr>
                                      <w:t>脱模剂</w:t>
                                    </w:r>
                                  </w:p>
                                </w:txbxContent>
                              </wps:txbx>
                              <wps:bodyPr upright="1"/>
                            </wps:wsp>
                            <wps:wsp>
                              <wps:cNvPr id="169" name="直接连接符 169"/>
                              <wps:cNvCnPr/>
                              <wps:spPr>
                                <a:xfrm flipH="1">
                                  <a:off x="1322705" y="618490"/>
                                  <a:ext cx="8890" cy="281940"/>
                                </a:xfrm>
                                <a:prstGeom prst="line">
                                  <a:avLst/>
                                </a:prstGeom>
                                <a:ln w="9525" cap="flat" cmpd="sng">
                                  <a:solidFill>
                                    <a:srgbClr val="000000"/>
                                  </a:solidFill>
                                  <a:prstDash val="solid"/>
                                  <a:round/>
                                  <a:headEnd type="none" w="med" len="med"/>
                                  <a:tailEnd type="triangle" w="med" len="med"/>
                                </a:ln>
                              </wps:spPr>
                              <wps:bodyPr upright="1"/>
                            </wps:wsp>
                            <wps:wsp>
                              <wps:cNvPr id="173" name="矩形 173"/>
                              <wps:cNvSpPr/>
                              <wps:spPr>
                                <a:xfrm>
                                  <a:off x="2199005" y="5993130"/>
                                  <a:ext cx="800735" cy="278130"/>
                                </a:xfrm>
                                <a:prstGeom prst="rect">
                                  <a:avLst/>
                                </a:prstGeom>
                                <a:noFill/>
                                <a:ln w="9525" cap="flat" cmpd="sng">
                                  <a:solidFill>
                                    <a:srgbClr val="000000"/>
                                  </a:solidFill>
                                  <a:prstDash val="solid"/>
                                  <a:miter/>
                                  <a:headEnd type="none" w="med" len="med"/>
                                  <a:tailEnd type="none" w="med" len="med"/>
                                </a:ln>
                                <a:effectLst/>
                              </wps:spPr>
                              <wps:txbx>
                                <w:txbxContent>
                                  <w:p w14:paraId="3E10D54B">
                                    <w:pPr>
                                      <w:jc w:val="center"/>
                                      <w:rPr>
                                        <w:rFonts w:hint="default" w:eastAsia="宋体"/>
                                        <w:lang w:val="en-US" w:eastAsia="zh-CN"/>
                                      </w:rPr>
                                    </w:pPr>
                                    <w:r>
                                      <w:rPr>
                                        <w:rFonts w:hint="eastAsia"/>
                                        <w:lang w:val="en-US" w:eastAsia="zh-CN"/>
                                      </w:rPr>
                                      <w:t>清洗包装</w:t>
                                    </w:r>
                                  </w:p>
                                </w:txbxContent>
                              </wps:txbx>
                              <wps:bodyPr upright="1"/>
                            </wps:wsp>
                            <wps:wsp>
                              <wps:cNvPr id="174" name="直接连接符 174"/>
                              <wps:cNvCnPr/>
                              <wps:spPr>
                                <a:xfrm>
                                  <a:off x="2580640" y="5589905"/>
                                  <a:ext cx="1270" cy="409575"/>
                                </a:xfrm>
                                <a:prstGeom prst="line">
                                  <a:avLst/>
                                </a:prstGeom>
                                <a:ln w="9525" cap="flat" cmpd="sng">
                                  <a:solidFill>
                                    <a:srgbClr val="000000"/>
                                  </a:solidFill>
                                  <a:prstDash val="solid"/>
                                  <a:headEnd type="none" w="med" len="med"/>
                                  <a:tailEnd type="triangle" w="med" len="med"/>
                                </a:ln>
                                <a:effectLst/>
                              </wps:spPr>
                              <wps:bodyPr upright="1"/>
                            </wps:wsp>
                            <wps:wsp>
                              <wps:cNvPr id="176" name="直接连接符 176"/>
                              <wps:cNvCnPr/>
                              <wps:spPr>
                                <a:xfrm>
                                  <a:off x="1713230" y="4799330"/>
                                  <a:ext cx="393700" cy="0"/>
                                </a:xfrm>
                                <a:prstGeom prst="line">
                                  <a:avLst/>
                                </a:prstGeom>
                                <a:ln w="9525" cap="flat" cmpd="sng">
                                  <a:solidFill>
                                    <a:srgbClr val="000000"/>
                                  </a:solidFill>
                                  <a:prstDash val="solid"/>
                                  <a:headEnd type="none" w="med" len="med"/>
                                  <a:tailEnd type="triangle" w="med" len="med"/>
                                </a:ln>
                                <a:effectLst/>
                              </wps:spPr>
                              <wps:bodyPr upright="1"/>
                            </wps:wsp>
                            <wps:wsp>
                              <wps:cNvPr id="179" name="直接连接符 179"/>
                              <wps:cNvCnPr/>
                              <wps:spPr>
                                <a:xfrm>
                                  <a:off x="2999105" y="4094480"/>
                                  <a:ext cx="342900" cy="635"/>
                                </a:xfrm>
                                <a:prstGeom prst="line">
                                  <a:avLst/>
                                </a:prstGeom>
                                <a:ln w="9525" cap="flat" cmpd="sng">
                                  <a:solidFill>
                                    <a:srgbClr val="000000"/>
                                  </a:solidFill>
                                  <a:prstDash val="dash"/>
                                  <a:headEnd type="none" w="med" len="med"/>
                                  <a:tailEnd type="triangle" w="med" len="med"/>
                                </a:ln>
                                <a:effectLst/>
                              </wps:spPr>
                              <wps:bodyPr upright="1"/>
                            </wps:wsp>
                            <wps:wsp>
                              <wps:cNvPr id="181" name="矩形 181"/>
                              <wps:cNvSpPr/>
                              <wps:spPr>
                                <a:xfrm>
                                  <a:off x="3380105" y="3970655"/>
                                  <a:ext cx="1082040" cy="368935"/>
                                </a:xfrm>
                                <a:prstGeom prst="rect">
                                  <a:avLst/>
                                </a:prstGeom>
                                <a:noFill/>
                                <a:ln>
                                  <a:noFill/>
                                </a:ln>
                                <a:effectLst/>
                              </wps:spPr>
                              <wps:txbx>
                                <w:txbxContent>
                                  <w:p w14:paraId="6ADAEF34">
                                    <w:pPr>
                                      <w:rPr>
                                        <w:rFonts w:hint="default"/>
                                        <w:color w:val="000000"/>
                                        <w:sz w:val="18"/>
                                        <w:szCs w:val="18"/>
                                        <w:lang w:val="en-US" w:eastAsia="zh-CN"/>
                                      </w:rPr>
                                    </w:pPr>
                                    <w:r>
                                      <w:rPr>
                                        <w:rFonts w:hint="eastAsia"/>
                                        <w:color w:val="auto"/>
                                        <w:sz w:val="18"/>
                                        <w:szCs w:val="18"/>
                                      </w:rPr>
                                      <w:t>S</w:t>
                                    </w:r>
                                    <w:r>
                                      <w:rPr>
                                        <w:rFonts w:hint="eastAsia"/>
                                        <w:color w:val="auto"/>
                                        <w:sz w:val="18"/>
                                        <w:szCs w:val="18"/>
                                        <w:lang w:val="en-US" w:eastAsia="zh-CN"/>
                                      </w:rPr>
                                      <w:t>3废液</w:t>
                                    </w:r>
                                  </w:p>
                                  <w:p w14:paraId="50AB3B8C">
                                    <w:pPr>
                                      <w:rPr>
                                        <w:rFonts w:hint="eastAsia" w:eastAsia="宋体"/>
                                        <w:color w:val="000000"/>
                                        <w:sz w:val="18"/>
                                        <w:szCs w:val="18"/>
                                        <w:lang w:eastAsia="zh-CN"/>
                                      </w:rPr>
                                    </w:pPr>
                                  </w:p>
                                </w:txbxContent>
                              </wps:txbx>
                              <wps:bodyPr upright="1"/>
                            </wps:wsp>
                            <wps:wsp>
                              <wps:cNvPr id="187" name="直接连接符 187"/>
                              <wps:cNvCnPr/>
                              <wps:spPr>
                                <a:xfrm>
                                  <a:off x="1798955" y="4075430"/>
                                  <a:ext cx="342900" cy="635"/>
                                </a:xfrm>
                                <a:prstGeom prst="line">
                                  <a:avLst/>
                                </a:prstGeom>
                                <a:ln w="9525" cap="flat" cmpd="sng">
                                  <a:solidFill>
                                    <a:srgbClr val="000000"/>
                                  </a:solidFill>
                                  <a:prstDash val="solid"/>
                                  <a:headEnd type="none" w="med" len="med"/>
                                  <a:tailEnd type="triangle" w="med" len="med"/>
                                </a:ln>
                                <a:effectLst/>
                              </wps:spPr>
                              <wps:bodyPr upright="1"/>
                            </wps:wsp>
                            <wps:wsp>
                              <wps:cNvPr id="188" name="矩形 188"/>
                              <wps:cNvSpPr/>
                              <wps:spPr>
                                <a:xfrm>
                                  <a:off x="894080" y="3942080"/>
                                  <a:ext cx="939800" cy="440055"/>
                                </a:xfrm>
                                <a:prstGeom prst="rect">
                                  <a:avLst/>
                                </a:prstGeom>
                                <a:noFill/>
                                <a:ln>
                                  <a:noFill/>
                                </a:ln>
                                <a:effectLst/>
                              </wps:spPr>
                              <wps:txbx>
                                <w:txbxContent>
                                  <w:p w14:paraId="4CF88A53">
                                    <w:pPr>
                                      <w:jc w:val="center"/>
                                      <w:rPr>
                                        <w:rFonts w:hint="default" w:eastAsia="宋体"/>
                                        <w:lang w:val="en-US" w:eastAsia="zh-CN"/>
                                      </w:rPr>
                                    </w:pPr>
                                    <w:r>
                                      <w:rPr>
                                        <w:rFonts w:hint="eastAsia" w:hAnsi="宋体"/>
                                        <w:lang w:val="en-US" w:eastAsia="zh-CN"/>
                                      </w:rPr>
                                      <w:t>冷却水</w:t>
                                    </w:r>
                                  </w:p>
                                </w:txbxContent>
                              </wps:txbx>
                              <wps:bodyPr upright="1"/>
                            </wps:wsp>
                            <wps:wsp>
                              <wps:cNvPr id="189" name="矩形 189"/>
                              <wps:cNvSpPr/>
                              <wps:spPr>
                                <a:xfrm>
                                  <a:off x="3342005" y="6007100"/>
                                  <a:ext cx="1082040" cy="292735"/>
                                </a:xfrm>
                                <a:prstGeom prst="rect">
                                  <a:avLst/>
                                </a:prstGeom>
                                <a:noFill/>
                                <a:ln>
                                  <a:noFill/>
                                </a:ln>
                                <a:effectLst/>
                              </wps:spPr>
                              <wps:txbx>
                                <w:txbxContent>
                                  <w:p w14:paraId="7161C0D7">
                                    <w:pPr>
                                      <w:rPr>
                                        <w:rFonts w:hint="default"/>
                                        <w:color w:val="000000"/>
                                        <w:sz w:val="18"/>
                                        <w:szCs w:val="18"/>
                                        <w:lang w:val="en-US" w:eastAsia="zh-CN"/>
                                      </w:rPr>
                                    </w:pPr>
                                    <w:r>
                                      <w:rPr>
                                        <w:rFonts w:hint="eastAsia"/>
                                        <w:color w:val="auto"/>
                                        <w:sz w:val="18"/>
                                        <w:szCs w:val="18"/>
                                      </w:rPr>
                                      <w:t>S</w:t>
                                    </w:r>
                                    <w:r>
                                      <w:rPr>
                                        <w:rFonts w:hint="eastAsia"/>
                                        <w:color w:val="auto"/>
                                        <w:sz w:val="18"/>
                                        <w:szCs w:val="18"/>
                                        <w:lang w:val="en-US" w:eastAsia="zh-CN"/>
                                      </w:rPr>
                                      <w:t>8废液</w:t>
                                    </w:r>
                                  </w:p>
                                  <w:p w14:paraId="0776B626">
                                    <w:pPr>
                                      <w:rPr>
                                        <w:rFonts w:hint="eastAsia" w:eastAsia="宋体"/>
                                        <w:color w:val="000000"/>
                                        <w:sz w:val="18"/>
                                        <w:szCs w:val="18"/>
                                        <w:lang w:eastAsia="zh-CN"/>
                                      </w:rPr>
                                    </w:pPr>
                                  </w:p>
                                </w:txbxContent>
                              </wps:txbx>
                              <wps:bodyPr upright="1"/>
                            </wps:wsp>
                            <wps:wsp>
                              <wps:cNvPr id="190" name="直接连接符 190"/>
                              <wps:cNvCnPr/>
                              <wps:spPr>
                                <a:xfrm>
                                  <a:off x="3008630" y="6142355"/>
                                  <a:ext cx="342900" cy="635"/>
                                </a:xfrm>
                                <a:prstGeom prst="line">
                                  <a:avLst/>
                                </a:prstGeom>
                                <a:ln w="9525" cap="flat" cmpd="sng">
                                  <a:solidFill>
                                    <a:srgbClr val="000000"/>
                                  </a:solidFill>
                                  <a:prstDash val="dash"/>
                                  <a:headEnd type="none" w="med" len="med"/>
                                  <a:tailEnd type="triangle" w="med" len="med"/>
                                </a:ln>
                                <a:effectLst/>
                              </wps:spPr>
                              <wps:bodyPr upright="1"/>
                            </wps:wsp>
                            <wps:wsp>
                              <wps:cNvPr id="191" name="矩形 191"/>
                              <wps:cNvSpPr/>
                              <wps:spPr>
                                <a:xfrm>
                                  <a:off x="4896485" y="2065655"/>
                                  <a:ext cx="252095" cy="1120140"/>
                                </a:xfrm>
                                <a:prstGeom prst="rect">
                                  <a:avLst/>
                                </a:prstGeom>
                                <a:noFill/>
                                <a:ln>
                                  <a:noFill/>
                                </a:ln>
                                <a:effectLst/>
                              </wps:spPr>
                              <wps:txbx>
                                <w:txbxContent>
                                  <w:p w14:paraId="7E37B972">
                                    <w:pPr>
                                      <w:rPr>
                                        <w:rFonts w:hint="eastAsia"/>
                                        <w:color w:val="auto"/>
                                        <w:sz w:val="18"/>
                                        <w:szCs w:val="18"/>
                                        <w:lang w:val="en-US" w:eastAsia="zh-CN"/>
                                      </w:rPr>
                                    </w:pPr>
                                    <w:r>
                                      <w:rPr>
                                        <w:rFonts w:hint="eastAsia"/>
                                        <w:color w:val="auto"/>
                                        <w:sz w:val="18"/>
                                        <w:szCs w:val="18"/>
                                        <w:lang w:val="en-US" w:eastAsia="zh-CN"/>
                                      </w:rPr>
                                      <w:t>浇</w:t>
                                    </w:r>
                                  </w:p>
                                  <w:p w14:paraId="0D25D43C">
                                    <w:pPr>
                                      <w:rPr>
                                        <w:rFonts w:hint="eastAsia"/>
                                        <w:color w:val="auto"/>
                                        <w:sz w:val="18"/>
                                        <w:szCs w:val="18"/>
                                        <w:lang w:val="en-US" w:eastAsia="zh-CN"/>
                                      </w:rPr>
                                    </w:pPr>
                                    <w:r>
                                      <w:rPr>
                                        <w:rFonts w:hint="eastAsia"/>
                                        <w:color w:val="auto"/>
                                        <w:sz w:val="18"/>
                                        <w:szCs w:val="18"/>
                                        <w:lang w:val="en-US" w:eastAsia="zh-CN"/>
                                      </w:rPr>
                                      <w:t>冒</w:t>
                                    </w:r>
                                  </w:p>
                                  <w:p w14:paraId="6C9BF55E">
                                    <w:pPr>
                                      <w:rPr>
                                        <w:rFonts w:hint="eastAsia"/>
                                        <w:color w:val="auto"/>
                                        <w:sz w:val="18"/>
                                        <w:szCs w:val="18"/>
                                        <w:lang w:val="en-US" w:eastAsia="zh-CN"/>
                                      </w:rPr>
                                    </w:pPr>
                                    <w:r>
                                      <w:rPr>
                                        <w:rFonts w:hint="eastAsia"/>
                                        <w:color w:val="auto"/>
                                        <w:sz w:val="18"/>
                                        <w:szCs w:val="18"/>
                                        <w:lang w:val="en-US" w:eastAsia="zh-CN"/>
                                      </w:rPr>
                                      <w:t>口</w:t>
                                    </w:r>
                                  </w:p>
                                  <w:p w14:paraId="12D6A9AD">
                                    <w:pPr>
                                      <w:rPr>
                                        <w:rFonts w:hint="eastAsia"/>
                                        <w:color w:val="auto"/>
                                        <w:sz w:val="18"/>
                                        <w:szCs w:val="18"/>
                                        <w:lang w:val="en-US" w:eastAsia="zh-CN"/>
                                      </w:rPr>
                                    </w:pPr>
                                    <w:r>
                                      <w:rPr>
                                        <w:rFonts w:hint="eastAsia"/>
                                        <w:color w:val="auto"/>
                                        <w:sz w:val="18"/>
                                        <w:szCs w:val="18"/>
                                        <w:lang w:val="en-US" w:eastAsia="zh-CN"/>
                                      </w:rPr>
                                      <w:t>回</w:t>
                                    </w:r>
                                  </w:p>
                                  <w:p w14:paraId="164591B8">
                                    <w:pPr>
                                      <w:rPr>
                                        <w:rFonts w:hint="default"/>
                                        <w:color w:val="000000"/>
                                        <w:sz w:val="18"/>
                                        <w:szCs w:val="18"/>
                                        <w:lang w:val="en-US" w:eastAsia="zh-CN"/>
                                      </w:rPr>
                                    </w:pPr>
                                    <w:r>
                                      <w:rPr>
                                        <w:rFonts w:hint="eastAsia"/>
                                        <w:color w:val="auto"/>
                                        <w:sz w:val="18"/>
                                        <w:szCs w:val="18"/>
                                        <w:lang w:val="en-US" w:eastAsia="zh-CN"/>
                                      </w:rPr>
                                      <w:t>用</w:t>
                                    </w:r>
                                  </w:p>
                                  <w:p w14:paraId="73CF4C06">
                                    <w:pPr>
                                      <w:rPr>
                                        <w:rFonts w:hint="eastAsia" w:eastAsia="宋体"/>
                                        <w:color w:val="000000"/>
                                        <w:sz w:val="18"/>
                                        <w:szCs w:val="18"/>
                                        <w:lang w:eastAsia="zh-CN"/>
                                      </w:rPr>
                                    </w:pPr>
                                  </w:p>
                                </w:txbxContent>
                              </wps:txbx>
                              <wps:bodyPr upright="1"/>
                            </wps:wsp>
                            <wps:wsp>
                              <wps:cNvPr id="193" name="直接箭头连接符 193"/>
                              <wps:cNvCnPr/>
                              <wps:spPr>
                                <a:xfrm flipH="1">
                                  <a:off x="4048760" y="1132205"/>
                                  <a:ext cx="11049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 name="矩形 12"/>
                              <wps:cNvSpPr/>
                              <wps:spPr>
                                <a:xfrm>
                                  <a:off x="836930" y="5313680"/>
                                  <a:ext cx="939800" cy="440055"/>
                                </a:xfrm>
                                <a:prstGeom prst="rect">
                                  <a:avLst/>
                                </a:prstGeom>
                                <a:noFill/>
                                <a:ln>
                                  <a:noFill/>
                                </a:ln>
                                <a:effectLst/>
                              </wps:spPr>
                              <wps:txbx>
                                <w:txbxContent>
                                  <w:p w14:paraId="490F773D">
                                    <w:pPr>
                                      <w:jc w:val="center"/>
                                      <w:rPr>
                                        <w:rFonts w:hint="default" w:eastAsia="宋体"/>
                                        <w:color w:val="auto"/>
                                        <w:lang w:val="en-US" w:eastAsia="zh-CN"/>
                                      </w:rPr>
                                    </w:pPr>
                                    <w:r>
                                      <w:rPr>
                                        <w:rFonts w:hint="eastAsia" w:hAnsi="宋体"/>
                                        <w:color w:val="auto"/>
                                        <w:lang w:val="en-US" w:eastAsia="zh-CN"/>
                                      </w:rPr>
                                      <w:t>砂纸</w:t>
                                    </w:r>
                                  </w:p>
                                </w:txbxContent>
                              </wps:txbx>
                              <wps:bodyPr upright="1"/>
                            </wps:wsp>
                            <wps:wsp>
                              <wps:cNvPr id="13" name="直接连接符 13"/>
                              <wps:cNvCnPr/>
                              <wps:spPr>
                                <a:xfrm>
                                  <a:off x="1760855" y="5437505"/>
                                  <a:ext cx="393700" cy="0"/>
                                </a:xfrm>
                                <a:prstGeom prst="line">
                                  <a:avLst/>
                                </a:prstGeom>
                                <a:ln w="9525" cap="flat" cmpd="sng">
                                  <a:solidFill>
                                    <a:srgbClr val="000000"/>
                                  </a:solidFill>
                                  <a:prstDash val="solid"/>
                                  <a:headEnd type="none" w="med" len="med"/>
                                  <a:tailEnd type="triangle" w="med" len="med"/>
                                </a:ln>
                                <a:effectLst/>
                              </wps:spPr>
                              <wps:bodyPr upright="1"/>
                            </wps:wsp>
                            <wps:wsp>
                              <wps:cNvPr id="14" name="矩形 14"/>
                              <wps:cNvSpPr/>
                              <wps:spPr>
                                <a:xfrm>
                                  <a:off x="1160780" y="1960880"/>
                                  <a:ext cx="731520" cy="335915"/>
                                </a:xfrm>
                                <a:prstGeom prst="rect">
                                  <a:avLst/>
                                </a:prstGeom>
                                <a:noFill/>
                                <a:ln>
                                  <a:noFill/>
                                </a:ln>
                                <a:effectLst/>
                              </wps:spPr>
                              <wps:txbx>
                                <w:txbxContent>
                                  <w:p w14:paraId="133593B0">
                                    <w:pPr>
                                      <w:jc w:val="center"/>
                                      <w:rPr>
                                        <w:rFonts w:hint="default" w:eastAsia="宋体"/>
                                        <w:color w:val="auto"/>
                                        <w:lang w:val="en-US" w:eastAsia="zh-CN"/>
                                      </w:rPr>
                                    </w:pPr>
                                    <w:r>
                                      <w:rPr>
                                        <w:rFonts w:hint="eastAsia" w:hAnsi="宋体"/>
                                        <w:color w:val="auto"/>
                                        <w:lang w:val="en-US" w:eastAsia="zh-CN"/>
                                      </w:rPr>
                                      <w:t>脱模剂</w:t>
                                    </w:r>
                                  </w:p>
                                </w:txbxContent>
                              </wps:txbx>
                              <wps:bodyPr upright="1"/>
                            </wps:wsp>
                            <wps:wsp>
                              <wps:cNvPr id="15" name="直接连接符 15"/>
                              <wps:cNvCnPr/>
                              <wps:spPr>
                                <a:xfrm>
                                  <a:off x="1798955" y="2065655"/>
                                  <a:ext cx="393700" cy="0"/>
                                </a:xfrm>
                                <a:prstGeom prst="line">
                                  <a:avLst/>
                                </a:prstGeom>
                                <a:ln w="9525" cap="flat" cmpd="sng">
                                  <a:solidFill>
                                    <a:srgbClr val="000000"/>
                                  </a:solidFill>
                                  <a:prstDash val="solid"/>
                                  <a:headEnd type="none" w="med" len="med"/>
                                  <a:tailEnd type="triangle" w="med" len="med"/>
                                </a:ln>
                                <a:effectLst/>
                              </wps:spPr>
                              <wps:bodyPr upright="1"/>
                            </wps:wsp>
                          </wpc:wpc>
                        </a:graphicData>
                      </a:graphic>
                    </wp:inline>
                  </w:drawing>
                </mc:Choice>
                <mc:Fallback>
                  <w:pict>
                    <v:group id="_x0000_s1026" o:spid="_x0000_s1026" o:spt="203" style="height:523pt;width:424.15pt;" coordsize="5386705,6642100" editas="canvas"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">
                      <o:lock v:ext="edit" aspectratio="f"/>
                      <v:shape id="_x0000_s1026" o:spid="_x0000_s1026" style="position:absolute;left:0;top:0;height:6642100;width:538670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">
                        <v:fill on="f" focussize="0,0"/>
                        <v:stroke on="f"/>
                        <v:imagedata o:title=""/>
                        <o:lock v:ext="edit" aspectratio="t"/>
                      </v:shape>
                      <v:line id="_x0000_s1026" o:spid="_x0000_s1026" o:spt="20" style="position:absolute;left:1455420;top:1191260;height:380365;width:635;" filled="f" stroked="t" coordsize="21600,21600" o:gfxdata="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AvLVAAAABgEAAA8AAAAAAAAAAQAgAAAAIgAAAGRy&#10;cy9kb3ducmV2LnhtbFBLAQIUABQAAAAIAIdO4kD2FtUuCAIAAP8DAAAOAAAAAAAAAAEAIAAAACQB&#10;AABkcnMvZTJvRG9jLnhtbFBLBQYAAAAABgAGAFkBAACeBQAAAAA=&#10;">
                        <v:fill on="f" focussize="0,0"/>
                        <v:stroke color="#000000" joinstyle="round"/>
                        <v:imagedata o:title=""/>
                        <o:lock v:ext="edit" aspectratio="f"/>
                      </v:line>
                      <v:rect id="_x0000_s1026" o:spid="_x0000_s1026" o:spt="1" style="position:absolute;left:2181860;top:1955165;height:278130;width:819785;"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xNuJ9UAAAAGAQAADwAAAAAAAAABACAA&#10;AAAiAAAAZHJzL2Rvd25yZXYueG1sUEsBAhQAFAAAAAgAh07iQOK8EMYQAgAAHQQAAA4AAAAAAAAA&#10;AQAgAAAAJAEAAGRycy9lMm9Eb2MueG1sUEsFBgAAAAAGAAYAWQEAAKYFAAAAAA==&#10;">
                        <v:fill on="f" focussize="0,0"/>
                        <v:stroke color="#000000" joinstyle="miter"/>
                        <v:imagedata o:title=""/>
                        <o:lock v:ext="edit" aspectratio="f"/>
                        <v:textbox>
                          <w:txbxContent>
                            <w:p w14:paraId="400AD78B">
                              <w:pPr>
                                <w:jc w:val="center"/>
                                <w:rPr>
                                  <w:rFonts w:hint="eastAsia" w:eastAsia="宋体"/>
                                  <w:lang w:val="en-US" w:eastAsia="zh-CN"/>
                                </w:rPr>
                              </w:pPr>
                              <w:r>
                                <w:rPr>
                                  <w:rFonts w:hint="eastAsia"/>
                                  <w:lang w:val="en-US" w:eastAsia="zh-CN"/>
                                </w:rPr>
                                <w:t>浇注</w:t>
                              </w:r>
                            </w:p>
                          </w:txbxContent>
                        </v:textbox>
                      </v:rect>
                      <v:line id="_x0000_s1026" o:spid="_x0000_s1026" o:spt="20" style="position:absolute;left:2561590;top:2242820;height:377825;width:635;"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PbJN1wAAAAYBAAAPAAAAAAAAAAEA&#10;IAAAACIAAABkcnMvZG93bnJldi54bWxQSwECFAAUAAAACACHTuJAN08/rhACAAADBAAADgAAAAAA&#10;AAABACAAAAAmAQAAZHJzL2Uyb0RvYy54bWxQSwUGAAAAAAYABgBZAQAAqAUAAAAA&#10;">
                        <v:fill on="f" focussize="0,0"/>
                        <v:stroke color="#000000" joinstyle="round" endarrow="block"/>
                        <v:imagedata o:title=""/>
                        <o:lock v:ext="edit" aspectratio="f"/>
                      </v:line>
                      <v:rect id="_x0000_s1026" o:spid="_x0000_s1026" o:spt="1" style="position:absolute;left:2161540;top:3933825;height:278130;width:801370;"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TbifVAAAABgEAAA8AAAAAAAAAAQAg&#10;AAAAIgAAAGRycy9kb3ducmV2LnhtbFBLAQIUABQAAAAIAIdO4kDOqbHUEQIAAB0EAAAOAAAAAAAA&#10;AAEAIAAAACQBAABkcnMvZTJvRG9jLnhtbFBLBQYAAAAABgAGAFkBAACnBQAAAAA=&#10;">
                        <v:fill on="f" focussize="0,0"/>
                        <v:stroke color="#000000" joinstyle="miter"/>
                        <v:imagedata o:title=""/>
                        <o:lock v:ext="edit" aspectratio="f"/>
                        <v:textbox>
                          <w:txbxContent>
                            <w:p w14:paraId="3DB69003">
                              <w:pPr>
                                <w:jc w:val="center"/>
                                <w:rPr>
                                  <w:rFonts w:hint="default" w:eastAsia="宋体"/>
                                  <w:lang w:val="en-US" w:eastAsia="zh-CN"/>
                                </w:rPr>
                              </w:pPr>
                              <w:r>
                                <w:rPr>
                                  <w:rFonts w:hint="eastAsia"/>
                                  <w:lang w:val="en-US" w:eastAsia="zh-CN"/>
                                </w:rPr>
                                <w:t>热处理</w:t>
                              </w:r>
                            </w:p>
                          </w:txbxContent>
                        </v:textbox>
                      </v:rect>
                      <v:rect id="_x0000_s1026" o:spid="_x0000_s1026" o:spt="1" style="position:absolute;left:3312160;top:4467225;height:734060;width:187007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l+k3tcAAAAGAQAADwAAAAAAAAABACAAAAAiAAAAZHJzL2Rvd25yZXYueG1sUEsBAhQAFAAA&#10;AAgAh07iQC1yFBC3AQAAXwMAAA4AAAAAAAAAAQAgAAAAJgEAAGRycy9lMm9Eb2MueG1sUEsFBgAA&#10;AAAGAAYAWQEAAE8FAAAAAA==&#10;">
                        <v:fill on="f" focussize="0,0"/>
                        <v:stroke on="f"/>
                        <v:imagedata o:title=""/>
                        <o:lock v:ext="edit" aspectratio="f"/>
                        <v:textbox>
                          <w:txbxContent>
                            <w:p w14:paraId="0AAD7FCE">
                              <w:pPr>
                                <w:jc w:val="left"/>
                                <w:rPr>
                                  <w:rFonts w:hint="eastAsia"/>
                                  <w:sz w:val="18"/>
                                  <w:szCs w:val="18"/>
                                  <w:lang w:val="en-US" w:eastAsia="zh-CN"/>
                                </w:rPr>
                              </w:pPr>
                              <w:r>
                                <w:rPr>
                                  <w:rFonts w:hint="eastAsia"/>
                                  <w:sz w:val="18"/>
                                  <w:szCs w:val="18"/>
                                  <w:lang w:val="en-US" w:eastAsia="zh-CN"/>
                                </w:rPr>
                                <w:t>G5机加工废气</w:t>
                              </w:r>
                            </w:p>
                            <w:p w14:paraId="77F38254">
                              <w:pPr>
                                <w:jc w:val="left"/>
                                <w:rPr>
                                  <w:rFonts w:hint="eastAsia"/>
                                  <w:sz w:val="18"/>
                                  <w:szCs w:val="18"/>
                                  <w:lang w:val="en-US" w:eastAsia="zh-CN"/>
                                </w:rPr>
                              </w:pPr>
                              <w:r>
                                <w:rPr>
                                  <w:rFonts w:hint="eastAsia"/>
                                  <w:sz w:val="18"/>
                                  <w:szCs w:val="18"/>
                                  <w:lang w:val="en-US" w:eastAsia="zh-CN"/>
                                </w:rPr>
                                <w:t>S4废切削液</w:t>
                              </w:r>
                            </w:p>
                            <w:p w14:paraId="558CCBCD">
                              <w:pPr>
                                <w:jc w:val="left"/>
                                <w:rPr>
                                  <w:rFonts w:hint="eastAsia"/>
                                  <w:sz w:val="18"/>
                                  <w:szCs w:val="18"/>
                                  <w:lang w:val="en-US" w:eastAsia="zh-CN"/>
                                </w:rPr>
                              </w:pPr>
                              <w:r>
                                <w:rPr>
                                  <w:rFonts w:hint="eastAsia"/>
                                  <w:sz w:val="18"/>
                                  <w:szCs w:val="18"/>
                                </w:rPr>
                                <w:t>S</w:t>
                              </w:r>
                              <w:r>
                                <w:rPr>
                                  <w:rFonts w:hint="eastAsia"/>
                                  <w:sz w:val="18"/>
                                  <w:szCs w:val="18"/>
                                  <w:lang w:val="en-US" w:eastAsia="zh-CN"/>
                                </w:rPr>
                                <w:t>5含油铝屑</w:t>
                              </w:r>
                            </w:p>
                            <w:p w14:paraId="62973CB2">
                              <w:pPr>
                                <w:jc w:val="left"/>
                                <w:rPr>
                                  <w:rFonts w:hint="default" w:eastAsia="宋体"/>
                                  <w:sz w:val="18"/>
                                  <w:szCs w:val="18"/>
                                  <w:lang w:val="en-US" w:eastAsia="zh-CN"/>
                                </w:rPr>
                              </w:pPr>
                              <w:r>
                                <w:rPr>
                                  <w:rFonts w:hint="eastAsia"/>
                                  <w:sz w:val="18"/>
                                  <w:szCs w:val="18"/>
                                </w:rPr>
                                <w:t>S</w:t>
                              </w:r>
                              <w:r>
                                <w:rPr>
                                  <w:rFonts w:hint="eastAsia"/>
                                  <w:sz w:val="18"/>
                                  <w:szCs w:val="18"/>
                                  <w:lang w:val="en-US" w:eastAsia="zh-CN"/>
                                </w:rPr>
                                <w:t>6废包装桶</w:t>
                              </w:r>
                            </w:p>
                            <w:p w14:paraId="74E21206">
                              <w:pPr>
                                <w:jc w:val="left"/>
                                <w:rPr>
                                  <w:rFonts w:hint="default" w:eastAsia="宋体"/>
                                  <w:sz w:val="18"/>
                                  <w:szCs w:val="18"/>
                                  <w:lang w:val="en-US" w:eastAsia="zh-CN"/>
                                </w:rPr>
                              </w:pPr>
                            </w:p>
                          </w:txbxContent>
                        </v:textbox>
                      </v:rect>
                      <v:line id="_x0000_s1026" o:spid="_x0000_s1026" o:spt="20" style="position:absolute;left:2537460;top:3592830;flip:x;height:337820;width:1270;" filled="f" stroked="t" coordsize="21600,21600" o:gfxdata="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eJe2NcAAAAGAQAA&#10;DwAAAAAAAAABACAAAAAiAAAAZHJzL2Rvd25yZXYueG1sUEsBAhQAFAAAAAgAh07iQJ9mRpAaAgAA&#10;EgQAAA4AAAAAAAAAAQAgAAAAJgEAAGRycy9lMm9Eb2MueG1sUEsFBgAAAAAGAAYAWQEAALIFAAAA&#10;AA==&#10;">
                        <v:fill on="f" focussize="0,0"/>
                        <v:stroke color="#000000" joinstyle="round" endarrow="block"/>
                        <v:imagedata o:title=""/>
                        <o:lock v:ext="edit" aspectratio="f"/>
                      </v:line>
                      <v:rect id="_x0000_s1026" o:spid="_x0000_s1026" o:spt="1" style="position:absolute;left:2146935;top:4645025;height:268605;width:800735;"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E24n1QAAAAYBAAAPAAAAAAAAAAEAIAAA&#10;ACIAAABkcnMvZG93bnJldi54bWxQSwECFAAUAAAACACHTuJA9tuU7g8CAAAdBAAADgAAAAAAAAAB&#10;ACAAAAAkAQAAZHJzL2Uyb0RvYy54bWxQSwUGAAAAAAYABgBZAQAApQUAAAAA&#10;">
                        <v:fill on="f" focussize="0,0"/>
                        <v:stroke color="#000000" joinstyle="miter"/>
                        <v:imagedata o:title=""/>
                        <o:lock v:ext="edit" aspectratio="f"/>
                        <v:textbox>
                          <w:txbxContent>
                            <w:p w14:paraId="5277C3F9">
                              <w:pPr>
                                <w:jc w:val="center"/>
                                <w:rPr>
                                  <w:rFonts w:hint="eastAsia" w:eastAsia="宋体"/>
                                  <w:lang w:val="en-US" w:eastAsia="zh-CN"/>
                                </w:rPr>
                              </w:pPr>
                              <w:r>
                                <w:rPr>
                                  <w:rFonts w:hint="eastAsia"/>
                                  <w:lang w:val="en-US" w:eastAsia="zh-CN"/>
                                </w:rPr>
                                <w:t>精加工</w:t>
                              </w:r>
                            </w:p>
                          </w:txbxContent>
                        </v:textbox>
                      </v:rect>
                      <v:line id="_x0000_s1026" o:spid="_x0000_s1026" o:spt="20" style="position:absolute;left:2567305;top:4932045;flip:x;height:337820;width:635;" filled="f" stroked="t" coordsize="21600,21600" o:gfxdata="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4l7Y1wAAAAYB&#10;AAAPAAAAAAAAAAEAIAAAACIAAABkcnMvZG93bnJldi54bWxQSwECFAAUAAAACACHTuJAOgLxvBwC&#10;AAARBAAADgAAAAAAAAABACAAAAAmAQAAZHJzL2Uyb0RvYy54bWxQSwUGAAAAAAYABgBZAQAAtAUA&#10;AAAA&#10;">
                        <v:fill on="f" focussize="0,0"/>
                        <v:stroke color="#000000" joinstyle="round" endarrow="block"/>
                        <v:imagedata o:title=""/>
                        <o:lock v:ext="edit" aspectratio="f"/>
                      </v:line>
                      <v:rect id="_x0000_s1026" o:spid="_x0000_s1026" o:spt="1" style="position:absolute;left:2165985;top:5289550;height:278130;width:800735;"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E24n1QAAAAYBAAAPAAAAAAAAAAEAIAAA&#10;ACIAAABkcnMvZG93bnJldi54bWxQSwECFAAUAAAACACHTuJAWUSdrg8CAAAdBAAADgAAAAAAAAAB&#10;ACAAAAAkAQAAZHJzL2Uyb0RvYy54bWxQSwUGAAAAAAYABgBZAQAApQUAAAAA&#10;">
                        <v:fill on="f" focussize="0,0"/>
                        <v:stroke color="#000000" joinstyle="miter"/>
                        <v:imagedata o:title=""/>
                        <o:lock v:ext="edit" aspectratio="f"/>
                        <v:textbox>
                          <w:txbxContent>
                            <w:p w14:paraId="601D7993">
                              <w:pPr>
                                <w:jc w:val="center"/>
                                <w:rPr>
                                  <w:rFonts w:hint="default" w:eastAsia="宋体"/>
                                  <w:lang w:val="en-US" w:eastAsia="zh-CN"/>
                                </w:rPr>
                              </w:pPr>
                              <w:r>
                                <w:rPr>
                                  <w:rFonts w:hint="eastAsia" w:ascii="Times New Roman" w:hAnsi="Times New Roman" w:eastAsia="宋体" w:cs="Times New Roman"/>
                                  <w:shd w:val="clear" w:color="auto" w:fill="FFFFFF"/>
                                  <w:lang w:val="en-US" w:eastAsia="zh-CN"/>
                                </w:rPr>
                                <w:t>打磨</w:t>
                              </w:r>
                              <w:r>
                                <w:rPr>
                                  <w:rFonts w:hint="eastAsia"/>
                                  <w:lang w:val="en-US" w:eastAsia="zh-CN"/>
                                </w:rPr>
                                <w:t>抛光</w:t>
                              </w:r>
                            </w:p>
                          </w:txbxContent>
                        </v:textbox>
                      </v:rect>
                      <v:rect id="_x0000_s1026" o:spid="_x0000_s1026" o:spt="1" style="position:absolute;left:970915;top:889000;height:278130;width:810895;"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xNuJ9UAAAAGAQAADwAAAAAAAAABACAAAAAi&#10;AAAAZHJzL2Rvd25yZXYueG1sUEsBAhQAFAAAAAgAh07iQMRZ9SUNAgAAGwQAAA4AAAAAAAAAAQAg&#10;AAAAJAEAAGRycy9lMm9Eb2MueG1sUEsFBgAAAAAGAAYAWQEAAKMFAAAAAA==&#10;">
                        <v:fill on="f" focussize="0,0"/>
                        <v:stroke color="#000000" joinstyle="miter"/>
                        <v:imagedata o:title=""/>
                        <o:lock v:ext="edit" aspectratio="f"/>
                        <v:textbox>
                          <w:txbxContent>
                            <w:p w14:paraId="02644B65">
                              <w:pPr>
                                <w:jc w:val="center"/>
                                <w:rPr>
                                  <w:rFonts w:hint="default"/>
                                  <w:lang w:val="en-US"/>
                                </w:rPr>
                              </w:pPr>
                              <w:r>
                                <w:rPr>
                                  <w:rFonts w:hint="eastAsia"/>
                                  <w:lang w:val="en-US" w:eastAsia="zh-CN"/>
                                </w:rPr>
                                <w:t>制芯</w:t>
                              </w:r>
                            </w:p>
                          </w:txbxContent>
                        </v:textbox>
                      </v:rect>
                      <v:line id="_x0000_s1026" o:spid="_x0000_s1026" o:spt="20" style="position:absolute;left:2542540;top:4267200;flip:x;height:330835;width:0;" filled="f" stroked="t" coordsize="21600,21600" o:gfxdata="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HiXtjXAAAABgEAAA8AAAAA&#10;AAAAAQAgAAAAIgAAAGRycy9kb3ducmV2LnhtbFBLAQIUABQAAAAIAIdO4kCMLQm5FQIAAA8EAAAO&#10;AAAAAAAAAAEAIAAAACYBAABkcnMvZTJvRG9jLnhtbFBLBQYAAAAABgAGAFkBAACtBQAAAAA=&#10;">
                        <v:fill on="f" focussize="0,0"/>
                        <v:stroke color="#000000" joinstyle="round" endarrow="block"/>
                        <v:imagedata o:title=""/>
                        <o:lock v:ext="edit" aspectratio="f"/>
                      </v:line>
                      <v:line id="_x0000_s1026" o:spid="_x0000_s1026" o:spt="20" style="position:absolute;left:3028315;top:2761615;height:0;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LqXYAAAABgEAAA8AAAAAAAAA&#10;AQAgAAAAIgAAAGRycy9kb3ducmV2LnhtbFBLAQIUABQAAAAIAIdO4kD2HUW9EQIAAAQEAAAOAAAA&#10;AAAAAAEAIAAAACcBAABkcnMvZTJvRG9jLnhtbFBLBQYAAAAABgAGAFkBAACqBQAAAAA=&#10;">
                        <v:fill on="f" focussize="0,0"/>
                        <v:stroke color="#000000" joinstyle="round" dashstyle="dash" endarrow="block"/>
                        <v:imagedata o:title=""/>
                        <o:lock v:ext="edit" aspectratio="f"/>
                      </v:line>
                      <v:rect id="_x0000_s1026" o:spid="_x0000_s1026" o:spt="1" style="position:absolute;left:2170430;top:3256915;height:266700;width:800735;"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xNuJ9UAAAAGAQAADwAAAAAAAAABACAA&#10;AAAiAAAAZHJzL2Rvd25yZXYueG1sUEsBAhQAFAAAAAgAh07iQFt3LM0QAgAAHQQAAA4AAAAAAAAA&#10;AQAgAAAAJAEAAGRycy9lMm9Eb2MueG1sUEsFBgAAAAAGAAYAWQEAAKYFAAAAAA==&#10;">
                        <v:fill on="f" focussize="0,0"/>
                        <v:stroke color="#000000" joinstyle="miter"/>
                        <v:imagedata o:title=""/>
                        <o:lock v:ext="edit" aspectratio="f"/>
                        <v:textbox>
                          <w:txbxContent>
                            <w:p w14:paraId="109598E5">
                              <w:pPr>
                                <w:jc w:val="center"/>
                                <w:rPr>
                                  <w:rFonts w:hint="default" w:eastAsia="宋体"/>
                                  <w:lang w:val="en-US" w:eastAsia="zh-CN"/>
                                </w:rPr>
                              </w:pPr>
                              <w:r>
                                <w:rPr>
                                  <w:rFonts w:hint="eastAsia"/>
                                  <w:lang w:val="en-US" w:eastAsia="zh-CN"/>
                                </w:rPr>
                                <w:t>切割冒口</w:t>
                              </w:r>
                            </w:p>
                          </w:txbxContent>
                        </v:textbox>
                      </v:rect>
                      <v:rect id="_x0000_s1026" o:spid="_x0000_s1026" o:spt="1" style="position:absolute;left:2170430;top:2627630;height:266700;width:800100;"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xNuJ9UAAAAGAQAADwAAAAAAAAABACAAAAAiAAAAZHJz&#10;L2Rvd25yZXYueG1sUEsBAhQAFAAAAAgAh07iQHPJ6LMHAgAAHQQAAA4AAAAAAAAAAQAgAAAAJAEA&#10;AGRycy9lMm9Eb2MueG1sUEsFBgAAAAAGAAYAWQEAAJ0FAAAAAA==&#10;">
                        <v:fill on="f" focussize="0,0"/>
                        <v:stroke color="#000000" joinstyle="miter"/>
                        <v:imagedata o:title=""/>
                        <o:lock v:ext="edit" aspectratio="f"/>
                        <v:textbox>
                          <w:txbxContent>
                            <w:p w14:paraId="5D5D6968">
                              <w:pPr>
                                <w:jc w:val="center"/>
                                <w:rPr>
                                  <w:rFonts w:hint="default" w:eastAsia="宋体"/>
                                  <w:lang w:val="en-US" w:eastAsia="zh-CN"/>
                                </w:rPr>
                              </w:pPr>
                              <w:r>
                                <w:rPr>
                                  <w:rFonts w:hint="eastAsia"/>
                                  <w:lang w:val="en-US" w:eastAsia="zh-CN"/>
                                </w:rPr>
                                <w:t>落砂</w:t>
                              </w:r>
                            </w:p>
                          </w:txbxContent>
                        </v:textbox>
                      </v:rect>
                      <v:rect id="_x0000_s1026" o:spid="_x0000_s1026" o:spt="1" style="position:absolute;left:3342005;top:2523490;height:729615;width:118681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X6Te1wAAAAYBAAAPAAAAAAAAAAEAIAAAACIAAABkcnMvZG93bnJldi54bWxQSwECFAAUAAAA&#10;CACHTuJAByQiobYBAABfAwAADgAAAAAAAAABACAAAAAmAQAAZHJzL2Uyb0RvYy54bWxQSwUGAAAA&#10;AAYABgBZAQAATgUAAAAA&#10;">
                        <v:fill on="f" focussize="0,0"/>
                        <v:stroke on="f"/>
                        <v:imagedata o:title=""/>
                        <o:lock v:ext="edit" aspectratio="f"/>
                        <v:textbox>
                          <w:txbxContent>
                            <w:p w14:paraId="059B877C">
                              <w:pPr>
                                <w:rPr>
                                  <w:rFonts w:hint="eastAsia"/>
                                  <w:color w:val="000000"/>
                                  <w:sz w:val="18"/>
                                  <w:szCs w:val="18"/>
                                  <w:lang w:val="en-US" w:eastAsia="zh-CN"/>
                                </w:rPr>
                              </w:pPr>
                              <w:r>
                                <w:rPr>
                                  <w:rFonts w:hint="eastAsia"/>
                                  <w:color w:val="000000"/>
                                  <w:sz w:val="18"/>
                                  <w:szCs w:val="18"/>
                                </w:rPr>
                                <w:t>G</w:t>
                              </w:r>
                              <w:r>
                                <w:rPr>
                                  <w:rFonts w:hint="eastAsia"/>
                                  <w:color w:val="000000"/>
                                  <w:sz w:val="18"/>
                                  <w:szCs w:val="18"/>
                                  <w:lang w:val="en-US" w:eastAsia="zh-CN"/>
                                </w:rPr>
                                <w:t>4落砂废气</w:t>
                              </w:r>
                            </w:p>
                            <w:p w14:paraId="61948EF4">
                              <w:pPr>
                                <w:rPr>
                                  <w:rFonts w:hint="eastAsia"/>
                                  <w:color w:val="000000"/>
                                  <w:sz w:val="18"/>
                                  <w:szCs w:val="18"/>
                                  <w:lang w:val="en-US" w:eastAsia="zh-CN"/>
                                </w:rPr>
                              </w:pPr>
                              <w:r>
                                <w:rPr>
                                  <w:rFonts w:hint="eastAsia"/>
                                  <w:color w:val="000000"/>
                                  <w:sz w:val="18"/>
                                  <w:szCs w:val="18"/>
                                  <w:lang w:val="en-US" w:eastAsia="zh-CN"/>
                                </w:rPr>
                                <w:t>（</w:t>
                              </w:r>
                              <w:r>
                                <w:rPr>
                                  <w:rFonts w:hint="eastAsia"/>
                                  <w:color w:val="000000"/>
                                  <w:sz w:val="18"/>
                                  <w:szCs w:val="18"/>
                                </w:rPr>
                                <w:t>颗粒物</w:t>
                              </w:r>
                              <w:r>
                                <w:rPr>
                                  <w:rFonts w:hint="eastAsia"/>
                                  <w:color w:val="000000"/>
                                  <w:sz w:val="18"/>
                                  <w:szCs w:val="18"/>
                                  <w:lang w:val="en-US" w:eastAsia="zh-CN"/>
                                </w:rPr>
                                <w:t>）</w:t>
                              </w:r>
                            </w:p>
                            <w:p w14:paraId="1E526FB2">
                              <w:pPr>
                                <w:rPr>
                                  <w:rFonts w:hint="eastAsia"/>
                                  <w:color w:val="000000"/>
                                  <w:sz w:val="18"/>
                                  <w:szCs w:val="18"/>
                                  <w:lang w:val="en-US" w:eastAsia="zh-CN"/>
                                </w:rPr>
                              </w:pPr>
                              <w:r>
                                <w:rPr>
                                  <w:rFonts w:hint="eastAsia"/>
                                  <w:color w:val="000000"/>
                                  <w:sz w:val="18"/>
                                  <w:szCs w:val="18"/>
                                </w:rPr>
                                <w:t>S</w:t>
                              </w:r>
                              <w:r>
                                <w:rPr>
                                  <w:rFonts w:hint="eastAsia"/>
                                  <w:color w:val="000000"/>
                                  <w:sz w:val="18"/>
                                  <w:szCs w:val="18"/>
                                  <w:lang w:val="en-US" w:eastAsia="zh-CN"/>
                                </w:rPr>
                                <w:t>2废砂</w:t>
                              </w:r>
                            </w:p>
                            <w:p w14:paraId="55A0EB35">
                              <w:pPr>
                                <w:rPr>
                                  <w:rFonts w:hint="eastAsia" w:eastAsia="宋体"/>
                                  <w:color w:val="000000"/>
                                  <w:sz w:val="18"/>
                                  <w:szCs w:val="18"/>
                                  <w:lang w:val="en-US" w:eastAsia="zh-CN"/>
                                </w:rPr>
                              </w:pPr>
                            </w:p>
                          </w:txbxContent>
                        </v:textbox>
                      </v:rect>
                      <v:line id="_x0000_s1026" o:spid="_x0000_s1026" o:spt="20" style="position:absolute;left:2570480;top:2941955;height:292100;width: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9sk3XAAAABgEAAA8AAAAAAAAAAQAg&#10;AAAAIgAAAGRycy9kb3ducmV2LnhtbFBLAQIUABQAAAAIAIdO4kBrzBvdDwIAAAUEAAAOAAAAAAAA&#10;AAEAIAAAACYBAABkcnMvZTJvRG9jLnhtbFBLBQYAAAAABgAGAFkBAACnBQAAAAA=&#10;">
                        <v:fill on="f" focussize="0,0"/>
                        <v:stroke color="#000000" joinstyle="round" endarrow="block"/>
                        <v:imagedata o:title=""/>
                        <o:lock v:ext="edit" aspectratio="f"/>
                      </v:line>
                      <v:rect id="_x0000_s1026" o:spid="_x0000_s1026" o:spt="1" style="position:absolute;left:3255645;top:875030;height:285750;width:779145;" filled="f" stroked="t" coordsize="21600,21600" o:gfxdata="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egYL1gAAAAYBAAAPAAAA&#10;AAAAAAEAIAAAACIAAABkcnMvZG93bnJldi54bWxQSwECFAAUAAAACACHTuJA/ueo2d4BAAC0AwAA&#10;DgAAAAAAAAABACAAAAAlAQAAZHJzL2Uyb0RvYy54bWxQSwUGAAAAAAYABgBZAQAAdQUAAAAA&#10;">
                        <v:fill on="f" focussize="0,0"/>
                        <v:stroke weight="1pt" color="#000000" joinstyle="round"/>
                        <v:imagedata o:title=""/>
                        <o:lock v:ext="edit" aspectratio="f"/>
                        <v:textbox>
                          <w:txbxContent>
                            <w:p w14:paraId="0C21F945">
                              <w:pPr>
                                <w:jc w:val="center"/>
                                <w:rPr>
                                  <w:rFonts w:hint="default" w:eastAsia="宋体"/>
                                  <w:lang w:val="en-US" w:eastAsia="zh-CN"/>
                                </w:rPr>
                              </w:pPr>
                              <w:r>
                                <w:rPr>
                                  <w:rFonts w:hint="eastAsia"/>
                                  <w:lang w:val="en-US" w:eastAsia="zh-CN"/>
                                </w:rPr>
                                <w:t>熔融</w:t>
                              </w:r>
                            </w:p>
                          </w:txbxContent>
                        </v:textbox>
                      </v:rect>
                      <v:rect id="_x0000_s1026" o:spid="_x0000_s1026" o:spt="1" style="position:absolute;left:3094990;top:190500;height:443865;width:105854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fpN7XAAAABgEAAA8AAAAAAAAAAQAgAAAAIgAAAGRycy9kb3ducmV2LnhtbFBLAQIUABQAAAAI&#10;AIdO4kAeFUw+tQEAAF4DAAAOAAAAAAAAAAEAIAAAACYBAABkcnMvZTJvRG9jLnhtbFBLBQYAAAAA&#10;BgAGAFkBAABNBQAAAAA=&#10;">
                        <v:fill on="f" focussize="0,0"/>
                        <v:stroke on="f"/>
                        <v:imagedata o:title=""/>
                        <o:lock v:ext="edit" aspectratio="f"/>
                        <v:textbox>
                          <w:txbxContent>
                            <w:p w14:paraId="42EDF3DE">
                              <w:pPr>
                                <w:jc w:val="center"/>
                                <w:rPr>
                                  <w:rFonts w:hint="default" w:eastAsia="宋体"/>
                                  <w:lang w:val="en-US" w:eastAsia="zh-CN"/>
                                </w:rPr>
                              </w:pPr>
                              <w:r>
                                <w:rPr>
                                  <w:rFonts w:hint="eastAsia"/>
                                  <w:lang w:val="en-US" w:eastAsia="zh-CN"/>
                                </w:rPr>
                                <w:t>铝合金、</w:t>
                              </w:r>
                              <w:r>
                                <w:rPr>
                                  <w:rFonts w:hint="eastAsia"/>
                                  <w:color w:val="auto"/>
                                  <w:lang w:val="en-US" w:eastAsia="zh-CN"/>
                                </w:rPr>
                                <w:t>氮气、除渣剂</w:t>
                              </w:r>
                            </w:p>
                          </w:txbxContent>
                        </v:textbox>
                      </v:rect>
                      <v:rect id="_x0000_s1026" o:spid="_x0000_s1026" o:spt="1" style="position:absolute;left:798830;top:341630;height:321310;width:110680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l+k3tcAAAAGAQAADwAAAAAAAAABACAAAAAiAAAAZHJzL2Rvd25yZXYueG1sUEsBAhQAFAAAAAgA&#10;h07iQEciG760AQAAXQMAAA4AAAAAAAAAAQAgAAAAJgEAAGRycy9lMm9Eb2MueG1sUEsFBgAAAAAG&#10;AAYAWQEAAEwFAAAAAA==&#10;">
                        <v:fill on="f" focussize="0,0"/>
                        <v:stroke on="f"/>
                        <v:imagedata o:title=""/>
                        <o:lock v:ext="edit" aspectratio="f"/>
                        <v:textbox>
                          <w:txbxContent>
                            <w:p w14:paraId="7E82F77C">
                              <w:pPr>
                                <w:jc w:val="center"/>
                                <w:rPr>
                                  <w:rFonts w:hint="eastAsia" w:eastAsia="宋体"/>
                                  <w:lang w:val="en-US" w:eastAsia="zh-CN"/>
                                </w:rPr>
                              </w:pPr>
                              <w:r>
                                <w:rPr>
                                  <w:rFonts w:hint="eastAsia"/>
                                  <w:lang w:val="en-US" w:eastAsia="zh-CN"/>
                                </w:rPr>
                                <w:t>覆膜砂</w:t>
                              </w:r>
                            </w:p>
                          </w:txbxContent>
                        </v:textbox>
                      </v:rect>
                      <v:line id="_x0000_s1026" o:spid="_x0000_s1026" o:spt="20" style="position:absolute;left:3608705;top:580390;flip:x;height:312420;width:8890;" filled="f" stroked="t" coordsize="21600,21600" o:gfxdata="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eJe2NcAAAAGAQAA&#10;DwAAAAAAAAABACAAAAAiAAAAZHJzL2Rvd25yZXYueG1sUEsBAhQAFAAAAAgAh07iQHmKz0caAgAA&#10;EQQAAA4AAAAAAAAAAQAgAAAAJgEAAGRycy9lMm9Eb2MueG1sUEsFBgAAAAAGAAYAWQEAALIFAAAA&#10;AA==&#10;">
                        <v:fill on="f" focussize="0,0"/>
                        <v:stroke color="#000000" joinstyle="round" endarrow="block"/>
                        <v:imagedata o:title=""/>
                        <o:lock v:ext="edit" aspectratio="f"/>
                      </v:line>
                      <v:line id="_x0000_s1026" o:spid="_x0000_s1026" o:spt="20" style="position:absolute;left:3605530;top:1174115;flip:x;height:391160;width:635;" filled="f" stroked="t" coordsize="21600,21600" o:gfxdata="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Lwa+9UAAAAGAQAADwAAAAAAAAAB&#10;ACAAAAAiAAAAZHJzL2Rvd25yZXYueG1sUEsBAhQAFAAAAAgAh07iQNgYXAwTAgAACQQAAA4AAAAA&#10;AAAAAQAgAAAAJAEAAGRycy9lMm9Eb2MueG1sUEsFBgAAAAAGAAYAWQEAAKkFAAAAAA==&#10;">
                        <v:fill on="f" focussize="0,0"/>
                        <v:stroke color="#000000" joinstyle="round"/>
                        <v:imagedata o:title=""/>
                        <o:lock v:ext="edit" aspectratio="f"/>
                      </v:line>
                      <v:rect id="_x0000_s1026" o:spid="_x0000_s1026" o:spt="1" style="position:absolute;left:2130425;top:703580;height:749300;width:102108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l+k3tcAAAAGAQAADwAAAAAAAAABACAAAAAiAAAAZHJzL2Rvd25yZXYueG1sUEsBAhQAFAAAAAgA&#10;h07iQJK8E/60AQAAXgMAAA4AAAAAAAAAAQAgAAAAJgEAAGRycy9lMm9Eb2MueG1sUEsFBgAAAAAG&#10;AAYAWQEAAEwFAAAAAA==&#10;">
                        <v:fill on="f" focussize="0,0"/>
                        <v:stroke on="f"/>
                        <v:imagedata o:title=""/>
                        <o:lock v:ext="edit" aspectratio="f"/>
                        <v:textbox>
                          <w:txbxContent>
                            <w:p w14:paraId="17BBEB53">
                              <w:pPr>
                                <w:rPr>
                                  <w:rFonts w:hint="eastAsia"/>
                                  <w:sz w:val="18"/>
                                  <w:szCs w:val="18"/>
                                  <w:lang w:val="en-US" w:eastAsia="zh-CN"/>
                                </w:rPr>
                              </w:pPr>
                              <w:r>
                                <w:rPr>
                                  <w:rFonts w:hint="eastAsia"/>
                                  <w:sz w:val="18"/>
                                  <w:szCs w:val="18"/>
                                </w:rPr>
                                <w:t>G</w:t>
                              </w:r>
                              <w:r>
                                <w:rPr>
                                  <w:rFonts w:hint="eastAsia"/>
                                  <w:sz w:val="18"/>
                                  <w:szCs w:val="18"/>
                                  <w:lang w:val="en-US" w:eastAsia="zh-CN"/>
                                </w:rPr>
                                <w:t>1制芯废气</w:t>
                              </w:r>
                            </w:p>
                            <w:p w14:paraId="5965EC47">
                              <w:pPr>
                                <w:rPr>
                                  <w:sz w:val="18"/>
                                  <w:szCs w:val="18"/>
                                </w:rPr>
                              </w:pPr>
                              <w:r>
                                <w:rPr>
                                  <w:rFonts w:hint="eastAsia"/>
                                  <w:sz w:val="18"/>
                                  <w:szCs w:val="18"/>
                                  <w:lang w:val="en-US" w:eastAsia="zh-CN"/>
                                </w:rPr>
                                <w:t>（</w:t>
                              </w:r>
                              <w:r>
                                <w:rPr>
                                  <w:rFonts w:hint="eastAsia"/>
                                  <w:sz w:val="18"/>
                                  <w:szCs w:val="18"/>
                                </w:rPr>
                                <w:t>颗粒物</w:t>
                              </w:r>
                              <w:r>
                                <w:rPr>
                                  <w:rFonts w:hint="eastAsia"/>
                                  <w:sz w:val="18"/>
                                  <w:szCs w:val="18"/>
                                  <w:lang w:eastAsia="zh-CN"/>
                                </w:rPr>
                                <w:t>、</w:t>
                              </w:r>
                              <w:r>
                                <w:rPr>
                                  <w:rFonts w:hint="eastAsia"/>
                                  <w:sz w:val="18"/>
                                  <w:szCs w:val="18"/>
                                  <w:lang w:val="en-US" w:eastAsia="zh-CN"/>
                                </w:rPr>
                                <w:t>非甲烷总烃、</w:t>
                              </w:r>
                              <w:r>
                                <w:rPr>
                                  <w:rFonts w:hint="eastAsia"/>
                                  <w:color w:val="auto"/>
                                  <w:sz w:val="18"/>
                                  <w:szCs w:val="18"/>
                                  <w:lang w:val="en-US" w:eastAsia="zh-CN"/>
                                </w:rPr>
                                <w:t>甲醛</w:t>
                              </w:r>
                              <w:r>
                                <w:rPr>
                                  <w:rFonts w:hint="eastAsia"/>
                                  <w:sz w:val="18"/>
                                  <w:szCs w:val="18"/>
                                  <w:lang w:val="en-US" w:eastAsia="zh-CN"/>
                                </w:rPr>
                                <w:t>、苯酚）</w:t>
                              </w:r>
                            </w:p>
                            <w:p w14:paraId="04932DDE"/>
                          </w:txbxContent>
                        </v:textbox>
                      </v:rect>
                      <v:line id="_x0000_s1026" o:spid="_x0000_s1026" o:spt="20" style="position:absolute;left:4057015;top:923290;height:8890;width:313055;"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9supdgAAAAGAQAADwAAAAAAAAAB&#10;ACAAAAAiAAAAZHJzL2Rvd25yZXYueG1sUEsBAhQAFAAAAAgAh07iQPtxN2EQAgAAAgQAAA4AAAAA&#10;AAAAAQAgAAAAJwEAAGRycy9lMm9Eb2MueG1sUEsFBgAAAAAGAAYAWQEAAKkFAAAAAA==&#10;">
                        <v:fill on="f" focussize="0,0"/>
                        <v:stroke color="#000000" joinstyle="round" dashstyle="dash" endarrow="block"/>
                        <v:imagedata o:title=""/>
                        <o:lock v:ext="edit" aspectratio="f"/>
                      </v:line>
                      <v:line id="_x0000_s1026" o:spid="_x0000_s1026" o:spt="20" style="position:absolute;left:1808480;top:1036955;height:0;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9supdgAAAAGAQAADwAAAAAAAAAB&#10;ACAAAAAiAAAAZHJzL2Rvd25yZXYueG1sUEsBAhQAFAAAAAgAh07iQJSPiOEQAgAABAQAAA4AAAAA&#10;AAAAAQAgAAAAJwEAAGRycy9lMm9Eb2MueG1sUEsFBgAAAAAGAAYAWQEAAKkFAAAAAA==&#10;">
                        <v:fill on="f" focussize="0,0"/>
                        <v:stroke color="#000000" joinstyle="round" dashstyle="dash" endarrow="block"/>
                        <v:imagedata o:title=""/>
                        <o:lock v:ext="edit" aspectratio="f"/>
                      </v:line>
                      <v:rect id="_x0000_s1026" o:spid="_x0000_s1026" o:spt="1" style="position:absolute;left:4256405;top:560705;height:664210;width:105727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fpN7XAAAABgEAAA8AAAAAAAAAAQAgAAAAIgAAAGRycy9kb3ducmV2LnhtbFBLAQIUABQAAAAI&#10;AIdO4kDdq1iKtQEAAF4DAAAOAAAAAAAAAAEAIAAAACYBAABkcnMvZTJvRG9jLnhtbFBLBQYAAAAA&#10;BgAGAFkBAABNBQAAAAA=&#10;">
                        <v:fill on="f" focussize="0,0"/>
                        <v:stroke on="f"/>
                        <v:imagedata o:title=""/>
                        <o:lock v:ext="edit" aspectratio="f"/>
                        <v:textbox>
                          <w:txbxContent>
                            <w:p w14:paraId="1900E447">
                              <w:pPr>
                                <w:rPr>
                                  <w:rFonts w:hint="eastAsia"/>
                                  <w:color w:val="000000"/>
                                  <w:sz w:val="18"/>
                                  <w:szCs w:val="18"/>
                                  <w:lang w:val="en-US" w:eastAsia="zh-CN"/>
                                </w:rPr>
                              </w:pPr>
                              <w:r>
                                <w:rPr>
                                  <w:rFonts w:hint="eastAsia"/>
                                  <w:color w:val="000000"/>
                                  <w:sz w:val="18"/>
                                  <w:szCs w:val="18"/>
                                </w:rPr>
                                <w:t>G</w:t>
                              </w:r>
                              <w:r>
                                <w:rPr>
                                  <w:rFonts w:hint="eastAsia"/>
                                  <w:color w:val="000000"/>
                                  <w:sz w:val="18"/>
                                  <w:szCs w:val="18"/>
                                  <w:lang w:val="en-US" w:eastAsia="zh-CN"/>
                                </w:rPr>
                                <w:t>2熔融烟尘</w:t>
                              </w:r>
                            </w:p>
                            <w:p w14:paraId="7AD5091F">
                              <w:pPr>
                                <w:rPr>
                                  <w:rFonts w:hint="default" w:eastAsia="宋体"/>
                                  <w:color w:val="000000"/>
                                  <w:sz w:val="18"/>
                                  <w:szCs w:val="18"/>
                                  <w:lang w:val="en-US" w:eastAsia="zh-CN"/>
                                </w:rPr>
                              </w:pPr>
                              <w:r>
                                <w:rPr>
                                  <w:rFonts w:hint="eastAsia"/>
                                  <w:color w:val="000000"/>
                                  <w:sz w:val="18"/>
                                  <w:szCs w:val="18"/>
                                  <w:lang w:val="en-US" w:eastAsia="zh-CN"/>
                                </w:rPr>
                                <w:t>（颗粒物）</w:t>
                              </w:r>
                            </w:p>
                            <w:p w14:paraId="7544B692">
                              <w:pPr>
                                <w:rPr>
                                  <w:rFonts w:hint="default" w:eastAsia="宋体"/>
                                  <w:color w:val="000000"/>
                                  <w:sz w:val="18"/>
                                  <w:szCs w:val="18"/>
                                  <w:lang w:val="en-US" w:eastAsia="zh-CN"/>
                                </w:rPr>
                              </w:pPr>
                              <w:r>
                                <w:rPr>
                                  <w:rFonts w:hint="eastAsia"/>
                                  <w:color w:val="000000"/>
                                  <w:sz w:val="18"/>
                                  <w:szCs w:val="18"/>
                                  <w:lang w:val="en-US" w:eastAsia="zh-CN"/>
                                </w:rPr>
                                <w:t>S1炉渣</w:t>
                              </w:r>
                            </w:p>
                          </w:txbxContent>
                        </v:textbox>
                      </v:rect>
                      <v:rect id="_x0000_s1026" o:spid="_x0000_s1026" o:spt="1" style="position:absolute;left:3332480;top:1884680;height:730250;width:110617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fpN7XAAAABgEAAA8AAAAAAAAAAQAgAAAAIgAAAGRycy9kb3ducmV2LnhtbFBLAQIUABQAAAAI&#10;AIdO4kDDTq/ItQEAAF8DAAAOAAAAAAAAAAEAIAAAACYBAABkcnMvZTJvRG9jLnhtbFBLBQYAAAAA&#10;BgAGAFkBAABNBQAAAAA=&#10;">
                        <v:fill on="f" focussize="0,0"/>
                        <v:stroke on="f"/>
                        <v:imagedata o:title=""/>
                        <o:lock v:ext="edit" aspectratio="f"/>
                        <v:textbox>
                          <w:txbxContent>
                            <w:p w14:paraId="145BB1BF">
                              <w:pPr>
                                <w:rPr>
                                  <w:rFonts w:hint="eastAsia"/>
                                  <w:sz w:val="18"/>
                                  <w:szCs w:val="18"/>
                                  <w:lang w:val="en-US" w:eastAsia="zh-CN"/>
                                </w:rPr>
                              </w:pPr>
                              <w:r>
                                <w:rPr>
                                  <w:rFonts w:hint="eastAsia"/>
                                  <w:sz w:val="18"/>
                                  <w:szCs w:val="18"/>
                                </w:rPr>
                                <w:t>G</w:t>
                              </w:r>
                              <w:r>
                                <w:rPr>
                                  <w:rFonts w:hint="eastAsia"/>
                                  <w:sz w:val="18"/>
                                  <w:szCs w:val="18"/>
                                  <w:lang w:val="en-US" w:eastAsia="zh-CN"/>
                                </w:rPr>
                                <w:t>3浇注废气</w:t>
                              </w:r>
                            </w:p>
                            <w:p w14:paraId="427B375B">
                              <w:pPr>
                                <w:rPr>
                                  <w:sz w:val="18"/>
                                  <w:szCs w:val="18"/>
                                </w:rPr>
                              </w:pPr>
                              <w:r>
                                <w:rPr>
                                  <w:rFonts w:hint="eastAsia"/>
                                  <w:sz w:val="18"/>
                                  <w:szCs w:val="18"/>
                                  <w:lang w:val="en-US" w:eastAsia="zh-CN"/>
                                </w:rPr>
                                <w:t>（</w:t>
                              </w:r>
                              <w:r>
                                <w:rPr>
                                  <w:rFonts w:hint="eastAsia"/>
                                  <w:sz w:val="18"/>
                                  <w:szCs w:val="18"/>
                                </w:rPr>
                                <w:t>颗粒物</w:t>
                              </w:r>
                              <w:r>
                                <w:rPr>
                                  <w:rFonts w:hint="eastAsia"/>
                                  <w:sz w:val="18"/>
                                  <w:szCs w:val="18"/>
                                  <w:lang w:eastAsia="zh-CN"/>
                                </w:rPr>
                                <w:t>、</w:t>
                              </w:r>
                              <w:r>
                                <w:rPr>
                                  <w:rFonts w:hint="eastAsia"/>
                                  <w:sz w:val="18"/>
                                  <w:szCs w:val="18"/>
                                  <w:lang w:val="en-US" w:eastAsia="zh-CN"/>
                                </w:rPr>
                                <w:t>非甲烷总烃、</w:t>
                              </w:r>
                              <w:r>
                                <w:rPr>
                                  <w:rFonts w:hint="eastAsia"/>
                                  <w:color w:val="auto"/>
                                  <w:sz w:val="18"/>
                                  <w:szCs w:val="18"/>
                                  <w:lang w:val="en-US" w:eastAsia="zh-CN"/>
                                </w:rPr>
                                <w:t>甲醛</w:t>
                              </w:r>
                              <w:r>
                                <w:rPr>
                                  <w:rFonts w:hint="eastAsia"/>
                                  <w:sz w:val="18"/>
                                  <w:szCs w:val="18"/>
                                  <w:lang w:val="en-US" w:eastAsia="zh-CN"/>
                                </w:rPr>
                                <w:t>、苯酚）</w:t>
                              </w:r>
                            </w:p>
                            <w:p w14:paraId="2EAEA2E5"/>
                          </w:txbxContent>
                        </v:textbox>
                      </v:rect>
                      <v:line id="_x0000_s1026" o:spid="_x0000_s1026" o:spt="20" style="position:absolute;left:3027680;top:2103755;height:0;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LqXYAAAABgEAAA8AAAAAAAAA&#10;AQAgAAAAIgAAAGRycy9kb3ducmV2LnhtbFBLAQIUABQAAAAIAIdO4kAhf2icEQIAAAQEAAAOAAAA&#10;AAAAAAEAIAAAACcBAABkcnMvZTJvRG9jLnhtbFBLBQYAAAAABgAGAFkBAACqBQAAAAA=&#10;">
                        <v:fill on="f" focussize="0,0"/>
                        <v:stroke color="#000000" joinstyle="round" dashstyle="dash" endarrow="block"/>
                        <v:imagedata o:title=""/>
                        <o:lock v:ext="edit" aspectratio="f"/>
                      </v:line>
                      <v:rect id="_x0000_s1026" o:spid="_x0000_s1026" o:spt="1" style="position:absolute;left:3303905;top:5266055;height:852170;width:118681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l+k3tcAAAAGAQAADwAAAAAAAAABACAAAAAiAAAAZHJzL2Rvd25yZXYueG1sUEsBAhQAFAAA&#10;AAgAh07iQJbdoAq3AQAAXwMAAA4AAAAAAAAAAQAgAAAAJgEAAGRycy9lMm9Eb2MueG1sUEsFBgAA&#10;AAAGAAYAWQEAAE8FAAAAAA==&#10;">
                        <v:fill on="f" focussize="0,0"/>
                        <v:stroke on="f"/>
                        <v:imagedata o:title=""/>
                        <o:lock v:ext="edit" aspectratio="f"/>
                        <v:textbox>
                          <w:txbxContent>
                            <w:p w14:paraId="678B3FD2">
                              <w:pPr>
                                <w:rPr>
                                  <w:rFonts w:hint="eastAsia"/>
                                  <w:color w:val="000000"/>
                                  <w:sz w:val="18"/>
                                  <w:szCs w:val="18"/>
                                  <w:lang w:val="en-US" w:eastAsia="zh-CN"/>
                                </w:rPr>
                              </w:pPr>
                              <w:r>
                                <w:rPr>
                                  <w:rFonts w:hint="eastAsia"/>
                                  <w:color w:val="000000"/>
                                  <w:sz w:val="18"/>
                                  <w:szCs w:val="18"/>
                                </w:rPr>
                                <w:t>G</w:t>
                              </w:r>
                              <w:r>
                                <w:rPr>
                                  <w:rFonts w:hint="eastAsia"/>
                                  <w:color w:val="000000"/>
                                  <w:sz w:val="18"/>
                                  <w:szCs w:val="18"/>
                                  <w:lang w:val="en-US" w:eastAsia="zh-CN"/>
                                </w:rPr>
                                <w:t>6打磨抛光废气</w:t>
                              </w:r>
                            </w:p>
                            <w:p w14:paraId="3CDEAFB2">
                              <w:pPr>
                                <w:rPr>
                                  <w:rFonts w:hint="eastAsia"/>
                                  <w:color w:val="000000"/>
                                  <w:sz w:val="18"/>
                                  <w:szCs w:val="18"/>
                                  <w:lang w:val="en-US" w:eastAsia="zh-CN"/>
                                </w:rPr>
                              </w:pPr>
                              <w:r>
                                <w:rPr>
                                  <w:rFonts w:hint="eastAsia"/>
                                  <w:color w:val="000000"/>
                                  <w:sz w:val="18"/>
                                  <w:szCs w:val="18"/>
                                  <w:lang w:val="en-US" w:eastAsia="zh-CN"/>
                                </w:rPr>
                                <w:t>（</w:t>
                              </w:r>
                              <w:r>
                                <w:rPr>
                                  <w:rFonts w:hint="eastAsia"/>
                                  <w:color w:val="000000"/>
                                  <w:sz w:val="18"/>
                                  <w:szCs w:val="18"/>
                                </w:rPr>
                                <w:t>颗粒物</w:t>
                              </w:r>
                              <w:r>
                                <w:rPr>
                                  <w:rFonts w:hint="eastAsia"/>
                                  <w:color w:val="000000"/>
                                  <w:sz w:val="18"/>
                                  <w:szCs w:val="18"/>
                                  <w:lang w:val="en-US" w:eastAsia="zh-CN"/>
                                </w:rPr>
                                <w:t>）</w:t>
                              </w:r>
                            </w:p>
                            <w:p w14:paraId="4F350FCA">
                              <w:pPr>
                                <w:rPr>
                                  <w:rFonts w:hint="eastAsia" w:eastAsia="宋体"/>
                                  <w:color w:val="000000"/>
                                  <w:sz w:val="18"/>
                                  <w:szCs w:val="18"/>
                                  <w:lang w:eastAsia="zh-CN"/>
                                </w:rPr>
                              </w:pPr>
                              <w:r>
                                <w:rPr>
                                  <w:rFonts w:hint="eastAsia"/>
                                  <w:sz w:val="18"/>
                                  <w:szCs w:val="18"/>
                                  <w:lang w:bidi="bo-CN"/>
                                </w:rPr>
                                <w:t>S</w:t>
                              </w:r>
                              <w:r>
                                <w:rPr>
                                  <w:rFonts w:hint="eastAsia"/>
                                  <w:sz w:val="18"/>
                                  <w:szCs w:val="18"/>
                                  <w:lang w:val="en-US" w:eastAsia="zh-CN" w:bidi="bo-CN"/>
                                </w:rPr>
                                <w:t>7</w:t>
                              </w:r>
                              <w:r>
                                <w:rPr>
                                  <w:rFonts w:hint="eastAsia"/>
                                  <w:color w:val="000000"/>
                                  <w:sz w:val="18"/>
                                  <w:szCs w:val="18"/>
                                </w:rPr>
                                <w:t>废砂</w:t>
                              </w:r>
                              <w:r>
                                <w:rPr>
                                  <w:rFonts w:hint="eastAsia"/>
                                  <w:color w:val="000000"/>
                                  <w:sz w:val="18"/>
                                  <w:szCs w:val="18"/>
                                  <w:lang w:val="en-US" w:eastAsia="zh-CN"/>
                                </w:rPr>
                                <w:t>纸</w:t>
                              </w:r>
                            </w:p>
                          </w:txbxContent>
                        </v:textbox>
                      </v:rect>
                      <v:line id="_x0000_s1026" o:spid="_x0000_s1026" o:spt="20" style="position:absolute;left:2989580;top:5456555;height:0;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LqXYAAAABgEAAA8AAAAAAAAA&#10;AQAgAAAAIgAAAGRycy9kb3ducmV2LnhtbFBLAQIUABQAAAAIAIdO4kBXU7UCEQIAAAQEAAAOAAAA&#10;AAAAAAEAIAAAACcBAABkcnMvZTJvRG9jLnhtbFBLBQYAAAAABgAGAFkBAACqBQAAAAA=&#10;">
                        <v:fill on="f" focussize="0,0"/>
                        <v:stroke color="#000000" joinstyle="round" dashstyle="dash" endarrow="block"/>
                        <v:imagedata o:title=""/>
                        <o:lock v:ext="edit" aspectratio="f"/>
                      </v:line>
                      <v:rect id="_x0000_s1026" o:spid="_x0000_s1026" o:spt="1" style="position:absolute;left:742950;top:4665980;height:440055;width:93980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Zf&#10;pN7XAAAABgEAAA8AAAAAAAAAAQAgAAAAIgAAAGRycy9kb3ducmV2LnhtbFBLAQIUABQAAAAIAIdO&#10;4kC4cPEgsgEAAF0DAAAOAAAAAAAAAAEAIAAAACYBAABkcnMvZTJvRG9jLnhtbFBLBQYAAAAABgAG&#10;AFkBAABKBQAAAAA=&#10;">
                        <v:fill on="f" focussize="0,0"/>
                        <v:stroke on="f"/>
                        <v:imagedata o:title=""/>
                        <o:lock v:ext="edit" aspectratio="f"/>
                        <v:textbox>
                          <w:txbxContent>
                            <w:p w14:paraId="6C856581">
                              <w:pPr>
                                <w:jc w:val="center"/>
                                <w:rPr>
                                  <w:rFonts w:hint="default" w:eastAsia="宋体"/>
                                  <w:lang w:val="en-US" w:eastAsia="zh-CN"/>
                                </w:rPr>
                              </w:pPr>
                              <w:r>
                                <w:rPr>
                                  <w:rFonts w:hint="eastAsia" w:hAnsi="宋体"/>
                                  <w:lang w:val="en-US" w:eastAsia="zh-CN"/>
                                </w:rPr>
                                <w:t>切削液</w:t>
                              </w:r>
                            </w:p>
                          </w:txbxContent>
                        </v:textbox>
                      </v:rect>
                      <v:line id="_x0000_s1026" o:spid="_x0000_s1026" o:spt="20" style="position:absolute;left:579755;top:1046480;height:0;width:39370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PbJN1wAAAAYBAAAPAAAAAAAAAAEA&#10;IAAAACIAAABkcnMvZG93bnJldi54bWxQSwECFAAUAAAACACHTuJA9nc/kRACAAAEBAAADgAAAAAA&#10;AAABACAAAAAmAQAAZHJzL2Uyb0RvYy54bWxQSwUGAAAAAAYABgBZAQAAqAUAAAAA&#10;">
                        <v:fill on="f" focussize="0,0"/>
                        <v:stroke color="#000000" joinstyle="round" endarrow="block"/>
                        <v:imagedata o:title=""/>
                        <o:lock v:ext="edit" aspectratio="f"/>
                      </v:line>
                      <v:line id="_x0000_s1026" o:spid="_x0000_s1026" o:spt="20" style="position:absolute;left:2570480;top:1579880;height:368300;width: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9sk3XAAAABgEAAA8AAAAAAAAAAQAg&#10;AAAAIgAAAGRycy9kb3ducmV2LnhtbFBLAQIUABQAAAAIAIdO4kA7IPCYDwIAAAEEAAAOAAAAAAAA&#10;AAEAIAAAACYBAABkcnMvZTJvRG9jLnhtbFBLBQYAAAAABgAGAFkBAACnBQAAAAA=&#10;">
                        <v:fill on="f" focussize="0,0"/>
                        <v:stroke color="#000000" joinstyle="round" endarrow="block"/>
                        <v:imagedata o:title=""/>
                        <o:lock v:ext="edit" aspectratio="f"/>
                      </v:line>
                      <v:line id="_x0000_s1026" o:spid="_x0000_s1026" o:spt="20" style="position:absolute;left:1452880;top:1569085;height:635;width:2152650;" filled="f" stroked="t" coordsize="21600,21600" o:gfxdata="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n/AvLVAAAABgEAAA8AAAAAAAAAAQAgAAAAIgAAAGRycy9k&#10;b3ducmV2LnhtbFBLAQIUABQAAAAIAIdO4kCvDC6HBQIAAPYDAAAOAAAAAAAAAAEAIAAAACQBAABk&#10;cnMvZTJvRG9jLnhtbFBLBQYAAAAABgAGAFkBAACbBQAAAAA=&#10;">
                        <v:fill on="f" focussize="0,0"/>
                        <v:stroke color="#000000" joinstyle="round"/>
                        <v:imagedata o:title=""/>
                        <o:lock v:ext="edit" aspectratio="f"/>
                      </v:line>
                      <v:line id="_x0000_s1026" o:spid="_x0000_s1026" o:spt="20" style="position:absolute;left:2952750;top:4817110;height:635;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9supdgAAAAGAQAADwAAAAAAAAAB&#10;ACAAAAAiAAAAZHJzL2Rvd25yZXYueG1sUEsBAhQAFAAAAAgAh07iQGuJ4cEQAgAABgQAAA4AAAAA&#10;AAAAAQAgAAAAJwEAAGRycy9lMm9Eb2MueG1sUEsFBgAAAAAGAAYAWQEAAKkFAAAAAA==&#10;">
                        <v:fill on="f" focussize="0,0"/>
                        <v:stroke color="#000000" joinstyle="round" dashstyle="dash" endarrow="block"/>
                        <v:imagedata o:title=""/>
                        <o:lock v:ext="edit" aspectratio="f"/>
                      </v:line>
                      <v:rect id="_x0000_s1026" o:spid="_x0000_s1026" o:spt="1" style="position:absolute;left:28575;top:941705;height:335915;width:73152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l+k3tcAAAAGAQAADwAAAAAAAAABACAAAAAiAAAAZHJzL2Rvd25yZXYueG1sUEsBAhQAFAAAAAgA&#10;h07iQHDq3lW0AQAAWwMAAA4AAAAAAAAAAQAgAAAAJgEAAGRycy9lMm9Eb2MueG1sUEsFBgAAAAAG&#10;AAYAWQEAAEwFAAAAAA==&#10;">
                        <v:fill on="f" focussize="0,0"/>
                        <v:stroke on="f"/>
                        <v:imagedata o:title=""/>
                        <o:lock v:ext="edit" aspectratio="f"/>
                        <v:textbox>
                          <w:txbxContent>
                            <w:p w14:paraId="0A4FCDF0">
                              <w:pPr>
                                <w:jc w:val="center"/>
                                <w:rPr>
                                  <w:rFonts w:hint="default" w:eastAsia="宋体"/>
                                  <w:color w:val="auto"/>
                                  <w:lang w:val="en-US" w:eastAsia="zh-CN"/>
                                </w:rPr>
                              </w:pPr>
                              <w:r>
                                <w:rPr>
                                  <w:rFonts w:hint="eastAsia" w:hAnsi="宋体"/>
                                  <w:color w:val="auto"/>
                                  <w:lang w:val="en-US" w:eastAsia="zh-CN"/>
                                </w:rPr>
                                <w:t>脱模剂</w:t>
                              </w:r>
                            </w:p>
                          </w:txbxContent>
                        </v:textbox>
                      </v:rect>
                      <v:line id="_x0000_s1026" o:spid="_x0000_s1026" o:spt="20" style="position:absolute;left:1322705;top:618490;flip:x;height:281940;width:8890;" filled="f" stroked="t" coordsize="21600,21600" o:gfxdata="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eJe2NcAAAAGAQAA&#10;DwAAAAAAAAABACAAAAAiAAAAZHJzL2Rvd25yZXYueG1sUEsBAhQAFAAAAAgAh07iQASIwOAaAgAA&#10;DQQAAA4AAAAAAAAAAQAgAAAAJgEAAGRycy9lMm9Eb2MueG1sUEsFBgAAAAAGAAYAWQEAALIFAAAA&#10;AA==&#10;">
                        <v:fill on="f" focussize="0,0"/>
                        <v:stroke color="#000000" joinstyle="round" endarrow="block"/>
                        <v:imagedata o:title=""/>
                        <o:lock v:ext="edit" aspectratio="f"/>
                      </v:line>
                      <v:rect id="_x0000_s1026" o:spid="_x0000_s1026" o:spt="1" style="position:absolute;left:2199005;top:5993130;height:278130;width:800735;" filled="f" stroked="t" coordsize="21600,21600" o:gfxdata="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xNuJ9UAAAAGAQAADwAAAAAAAAABACAAAAAi&#10;AAAAZHJzL2Rvd25yZXYueG1sUEsBAhQAFAAAAAgAh07iQEqD2BkNAgAAHQQAAA4AAAAAAAAAAQAg&#10;AAAAJAEAAGRycy9lMm9Eb2MueG1sUEsFBgAAAAAGAAYAWQEAAKMFAAAAAA==&#10;">
                        <v:fill on="f" focussize="0,0"/>
                        <v:stroke color="#000000" joinstyle="miter"/>
                        <v:imagedata o:title=""/>
                        <o:lock v:ext="edit" aspectratio="f"/>
                        <v:textbox>
                          <w:txbxContent>
                            <w:p w14:paraId="3E10D54B">
                              <w:pPr>
                                <w:jc w:val="center"/>
                                <w:rPr>
                                  <w:rFonts w:hint="default" w:eastAsia="宋体"/>
                                  <w:lang w:val="en-US" w:eastAsia="zh-CN"/>
                                </w:rPr>
                              </w:pPr>
                              <w:r>
                                <w:rPr>
                                  <w:rFonts w:hint="eastAsia"/>
                                  <w:lang w:val="en-US" w:eastAsia="zh-CN"/>
                                </w:rPr>
                                <w:t>清洗包装</w:t>
                              </w:r>
                            </w:p>
                          </w:txbxContent>
                        </v:textbox>
                      </v:rect>
                      <v:line id="_x0000_s1026" o:spid="_x0000_s1026" o:spt="20" style="position:absolute;left:2580640;top:5589905;height:409575;width:127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z2yTdcAAAAGAQAADwAAAAAA&#10;AAABACAAAAAiAAAAZHJzL2Rvd25yZXYueG1sUEsBAhQAFAAAAAgAh07iQKxRwAIUAgAACAQAAA4A&#10;AAAAAAAAAQAgAAAAJgEAAGRycy9lMm9Eb2MueG1sUEsFBgAAAAAGAAYAWQEAAKwFAAAAAA==&#10;">
                        <v:fill on="f" focussize="0,0"/>
                        <v:stroke color="#000000" joinstyle="round" endarrow="block"/>
                        <v:imagedata o:title=""/>
                        <o:lock v:ext="edit" aspectratio="f"/>
                      </v:line>
                      <v:line id="_x0000_s1026" o:spid="_x0000_s1026" o:spt="20" style="position:absolute;left:1713230;top:4799330;height:0;width:39370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z2yTdcAAAAGAQAADwAAAAAAAAABACAA&#10;AAAiAAAAZHJzL2Rvd25yZXYueG1sUEsBAhQAFAAAAAgAh07iQJiWFGcOAgAABQQAAA4AAAAAAAAA&#10;AQAgAAAAJgEAAGRycy9lMm9Eb2MueG1sUEsFBgAAAAAGAAYAWQEAAKYFAAAAAA==&#10;">
                        <v:fill on="f" focussize="0,0"/>
                        <v:stroke color="#000000" joinstyle="round" endarrow="block"/>
                        <v:imagedata o:title=""/>
                        <o:lock v:ext="edit" aspectratio="f"/>
                      </v:line>
                      <v:line id="_x0000_s1026" o:spid="_x0000_s1026" o:spt="20" style="position:absolute;left:2999105;top:4094480;height:635;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LqXYAAAABgEAAA8AAAAAAAAA&#10;AQAgAAAAIgAAAGRycy9kb3ducmV2LnhtbFBLAQIUABQAAAAIAIdO4kCMK0J/EQIAAAYEAAAOAAAA&#10;AAAAAAEAIAAAACcBAABkcnMvZTJvRG9jLnhtbFBLBQYAAAAABgAGAFkBAACqBQAAAAA=&#10;">
                        <v:fill on="f" focussize="0,0"/>
                        <v:stroke color="#000000" joinstyle="round" dashstyle="dash" endarrow="block"/>
                        <v:imagedata o:title=""/>
                        <o:lock v:ext="edit" aspectratio="f"/>
                      </v:line>
                      <v:rect id="_x0000_s1026" o:spid="_x0000_s1026" o:spt="1" style="position:absolute;left:3380105;top:3970655;height:368935;width:108204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l+k3tcAAAAGAQAADwAAAAAAAAABACAAAAAiAAAAZHJzL2Rvd25yZXYueG1sUEsBAhQAFAAAAAgA&#10;h07iQHFNRrq0AQAAXwMAAA4AAAAAAAAAAQAgAAAAJgEAAGRycy9lMm9Eb2MueG1sUEsFBgAAAAAG&#10;AAYAWQEAAEwFAAAAAA==&#10;">
                        <v:fill on="f" focussize="0,0"/>
                        <v:stroke on="f"/>
                        <v:imagedata o:title=""/>
                        <o:lock v:ext="edit" aspectratio="f"/>
                        <v:textbox>
                          <w:txbxContent>
                            <w:p w14:paraId="6ADAEF34">
                              <w:pPr>
                                <w:rPr>
                                  <w:rFonts w:hint="default"/>
                                  <w:color w:val="000000"/>
                                  <w:sz w:val="18"/>
                                  <w:szCs w:val="18"/>
                                  <w:lang w:val="en-US" w:eastAsia="zh-CN"/>
                                </w:rPr>
                              </w:pPr>
                              <w:r>
                                <w:rPr>
                                  <w:rFonts w:hint="eastAsia"/>
                                  <w:color w:val="auto"/>
                                  <w:sz w:val="18"/>
                                  <w:szCs w:val="18"/>
                                </w:rPr>
                                <w:t>S</w:t>
                              </w:r>
                              <w:r>
                                <w:rPr>
                                  <w:rFonts w:hint="eastAsia"/>
                                  <w:color w:val="auto"/>
                                  <w:sz w:val="18"/>
                                  <w:szCs w:val="18"/>
                                  <w:lang w:val="en-US" w:eastAsia="zh-CN"/>
                                </w:rPr>
                                <w:t>3废液</w:t>
                              </w:r>
                            </w:p>
                            <w:p w14:paraId="50AB3B8C">
                              <w:pPr>
                                <w:rPr>
                                  <w:rFonts w:hint="eastAsia" w:eastAsia="宋体"/>
                                  <w:color w:val="000000"/>
                                  <w:sz w:val="18"/>
                                  <w:szCs w:val="18"/>
                                  <w:lang w:eastAsia="zh-CN"/>
                                </w:rPr>
                              </w:pPr>
                            </w:p>
                          </w:txbxContent>
                        </v:textbox>
                      </v:rect>
                      <v:line id="_x0000_s1026" o:spid="_x0000_s1026" o:spt="20" style="position:absolute;left:1798955;top:4075430;height:635;width:34290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2yTdcAAAAGAQAADwAAAAAAAAAB&#10;ACAAAAAiAAAAZHJzL2Rvd25yZXYueG1sUEsBAhQAFAAAAAgAh07iQAmaotARAgAABwQAAA4AAAAA&#10;AAAAAQAgAAAAJgEAAGRycy9lMm9Eb2MueG1sUEsFBgAAAAAGAAYAWQEAAKkFAAAAAA==&#10;">
                        <v:fill on="f" focussize="0,0"/>
                        <v:stroke color="#000000" joinstyle="round" endarrow="block"/>
                        <v:imagedata o:title=""/>
                        <o:lock v:ext="edit" aspectratio="f"/>
                      </v:line>
                      <v:rect id="_x0000_s1026" o:spid="_x0000_s1026" o:spt="1" style="position:absolute;left:894080;top:3942080;height:440055;width:93980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Zf&#10;pN7XAAAABgEAAA8AAAAAAAAAAQAgAAAAIgAAAGRycy9kb3ducmV2LnhtbFBLAQIUABQAAAAIAIdO&#10;4kDCoSqDsgEAAF0DAAAOAAAAAAAAAAEAIAAAACYBAABkcnMvZTJvRG9jLnhtbFBLBQYAAAAABgAG&#10;AFkBAABKBQAAAAA=&#10;">
                        <v:fill on="f" focussize="0,0"/>
                        <v:stroke on="f"/>
                        <v:imagedata o:title=""/>
                        <o:lock v:ext="edit" aspectratio="f"/>
                        <v:textbox>
                          <w:txbxContent>
                            <w:p w14:paraId="4CF88A53">
                              <w:pPr>
                                <w:jc w:val="center"/>
                                <w:rPr>
                                  <w:rFonts w:hint="default" w:eastAsia="宋体"/>
                                  <w:lang w:val="en-US" w:eastAsia="zh-CN"/>
                                </w:rPr>
                              </w:pPr>
                              <w:r>
                                <w:rPr>
                                  <w:rFonts w:hint="eastAsia" w:hAnsi="宋体"/>
                                  <w:lang w:val="en-US" w:eastAsia="zh-CN"/>
                                </w:rPr>
                                <w:t>冷却水</w:t>
                              </w:r>
                            </w:p>
                          </w:txbxContent>
                        </v:textbox>
                      </v:rect>
                      <v:rect id="_x0000_s1026" o:spid="_x0000_s1026" o:spt="1" style="position:absolute;left:3342005;top:6007100;height:292735;width:108204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X6Te1wAAAAYBAAAPAAAAAAAAAAEAIAAAACIAAABkcnMvZG93bnJldi54bWxQSwECFAAUAAAA&#10;CACHTuJAsUF8mrYBAABfAwAADgAAAAAAAAABACAAAAAmAQAAZHJzL2Uyb0RvYy54bWxQSwUGAAAA&#10;AAYABgBZAQAATgUAAAAA&#10;">
                        <v:fill on="f" focussize="0,0"/>
                        <v:stroke on="f"/>
                        <v:imagedata o:title=""/>
                        <o:lock v:ext="edit" aspectratio="f"/>
                        <v:textbox>
                          <w:txbxContent>
                            <w:p w14:paraId="7161C0D7">
                              <w:pPr>
                                <w:rPr>
                                  <w:rFonts w:hint="default"/>
                                  <w:color w:val="000000"/>
                                  <w:sz w:val="18"/>
                                  <w:szCs w:val="18"/>
                                  <w:lang w:val="en-US" w:eastAsia="zh-CN"/>
                                </w:rPr>
                              </w:pPr>
                              <w:r>
                                <w:rPr>
                                  <w:rFonts w:hint="eastAsia"/>
                                  <w:color w:val="auto"/>
                                  <w:sz w:val="18"/>
                                  <w:szCs w:val="18"/>
                                </w:rPr>
                                <w:t>S</w:t>
                              </w:r>
                              <w:r>
                                <w:rPr>
                                  <w:rFonts w:hint="eastAsia"/>
                                  <w:color w:val="auto"/>
                                  <w:sz w:val="18"/>
                                  <w:szCs w:val="18"/>
                                  <w:lang w:val="en-US" w:eastAsia="zh-CN"/>
                                </w:rPr>
                                <w:t>8废液</w:t>
                              </w:r>
                            </w:p>
                            <w:p w14:paraId="0776B626">
                              <w:pPr>
                                <w:rPr>
                                  <w:rFonts w:hint="eastAsia" w:eastAsia="宋体"/>
                                  <w:color w:val="000000"/>
                                  <w:sz w:val="18"/>
                                  <w:szCs w:val="18"/>
                                  <w:lang w:eastAsia="zh-CN"/>
                                </w:rPr>
                              </w:pPr>
                            </w:p>
                          </w:txbxContent>
                        </v:textbox>
                      </v:rect>
                      <v:line id="_x0000_s1026" o:spid="_x0000_s1026" o:spt="20" style="position:absolute;left:3008630;top:6142355;height:635;width:342900;" filled="f" stroked="t" coordsize="21600,21600" o:gfxdata="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LqXYAAAABgEAAA8AAAAAAAAA&#10;AQAgAAAAIgAAAGRycy9kb3ducmV2LnhtbFBLAQIUABQAAAAIAIdO4kCzjhw7EQIAAAYEAAAOAAAA&#10;AAAAAAEAIAAAACcBAABkcnMvZTJvRG9jLnhtbFBLBQYAAAAABgAGAFkBAACqBQAAAAA=&#10;">
                        <v:fill on="f" focussize="0,0"/>
                        <v:stroke color="#000000" joinstyle="round" dashstyle="dash" endarrow="block"/>
                        <v:imagedata o:title=""/>
                        <o:lock v:ext="edit" aspectratio="f"/>
                      </v:line>
                      <v:rect id="_x0000_s1026" o:spid="_x0000_s1026" o:spt="1" style="position:absolute;left:4896485;top:2065655;height:1120140;width:252095;"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X6Te1wAAAAYBAAAPAAAAAAAAAAEAIAAAACIAAABkcnMvZG93bnJldi54bWxQSwECFAAUAAAA&#10;CACHTuJAuX60LrYBAABfAwAADgAAAAAAAAABACAAAAAmAQAAZHJzL2Uyb0RvYy54bWxQSwUGAAAA&#10;AAYABgBZAQAATgUAAAAA&#10;">
                        <v:fill on="f" focussize="0,0"/>
                        <v:stroke on="f"/>
                        <v:imagedata o:title=""/>
                        <o:lock v:ext="edit" aspectratio="f"/>
                        <v:textbox>
                          <w:txbxContent>
                            <w:p w14:paraId="7E37B972">
                              <w:pPr>
                                <w:rPr>
                                  <w:rFonts w:hint="eastAsia"/>
                                  <w:color w:val="auto"/>
                                  <w:sz w:val="18"/>
                                  <w:szCs w:val="18"/>
                                  <w:lang w:val="en-US" w:eastAsia="zh-CN"/>
                                </w:rPr>
                              </w:pPr>
                              <w:r>
                                <w:rPr>
                                  <w:rFonts w:hint="eastAsia"/>
                                  <w:color w:val="auto"/>
                                  <w:sz w:val="18"/>
                                  <w:szCs w:val="18"/>
                                  <w:lang w:val="en-US" w:eastAsia="zh-CN"/>
                                </w:rPr>
                                <w:t>浇</w:t>
                              </w:r>
                            </w:p>
                            <w:p w14:paraId="0D25D43C">
                              <w:pPr>
                                <w:rPr>
                                  <w:rFonts w:hint="eastAsia"/>
                                  <w:color w:val="auto"/>
                                  <w:sz w:val="18"/>
                                  <w:szCs w:val="18"/>
                                  <w:lang w:val="en-US" w:eastAsia="zh-CN"/>
                                </w:rPr>
                              </w:pPr>
                              <w:r>
                                <w:rPr>
                                  <w:rFonts w:hint="eastAsia"/>
                                  <w:color w:val="auto"/>
                                  <w:sz w:val="18"/>
                                  <w:szCs w:val="18"/>
                                  <w:lang w:val="en-US" w:eastAsia="zh-CN"/>
                                </w:rPr>
                                <w:t>冒</w:t>
                              </w:r>
                            </w:p>
                            <w:p w14:paraId="6C9BF55E">
                              <w:pPr>
                                <w:rPr>
                                  <w:rFonts w:hint="eastAsia"/>
                                  <w:color w:val="auto"/>
                                  <w:sz w:val="18"/>
                                  <w:szCs w:val="18"/>
                                  <w:lang w:val="en-US" w:eastAsia="zh-CN"/>
                                </w:rPr>
                              </w:pPr>
                              <w:r>
                                <w:rPr>
                                  <w:rFonts w:hint="eastAsia"/>
                                  <w:color w:val="auto"/>
                                  <w:sz w:val="18"/>
                                  <w:szCs w:val="18"/>
                                  <w:lang w:val="en-US" w:eastAsia="zh-CN"/>
                                </w:rPr>
                                <w:t>口</w:t>
                              </w:r>
                            </w:p>
                            <w:p w14:paraId="12D6A9AD">
                              <w:pPr>
                                <w:rPr>
                                  <w:rFonts w:hint="eastAsia"/>
                                  <w:color w:val="auto"/>
                                  <w:sz w:val="18"/>
                                  <w:szCs w:val="18"/>
                                  <w:lang w:val="en-US" w:eastAsia="zh-CN"/>
                                </w:rPr>
                              </w:pPr>
                              <w:r>
                                <w:rPr>
                                  <w:rFonts w:hint="eastAsia"/>
                                  <w:color w:val="auto"/>
                                  <w:sz w:val="18"/>
                                  <w:szCs w:val="18"/>
                                  <w:lang w:val="en-US" w:eastAsia="zh-CN"/>
                                </w:rPr>
                                <w:t>回</w:t>
                              </w:r>
                            </w:p>
                            <w:p w14:paraId="164591B8">
                              <w:pPr>
                                <w:rPr>
                                  <w:rFonts w:hint="default"/>
                                  <w:color w:val="000000"/>
                                  <w:sz w:val="18"/>
                                  <w:szCs w:val="18"/>
                                  <w:lang w:val="en-US" w:eastAsia="zh-CN"/>
                                </w:rPr>
                              </w:pPr>
                              <w:r>
                                <w:rPr>
                                  <w:rFonts w:hint="eastAsia"/>
                                  <w:color w:val="auto"/>
                                  <w:sz w:val="18"/>
                                  <w:szCs w:val="18"/>
                                  <w:lang w:val="en-US" w:eastAsia="zh-CN"/>
                                </w:rPr>
                                <w:t>用</w:t>
                              </w:r>
                            </w:p>
                            <w:p w14:paraId="73CF4C06">
                              <w:pPr>
                                <w:rPr>
                                  <w:rFonts w:hint="eastAsia" w:eastAsia="宋体"/>
                                  <w:color w:val="000000"/>
                                  <w:sz w:val="18"/>
                                  <w:szCs w:val="18"/>
                                  <w:lang w:eastAsia="zh-CN"/>
                                </w:rPr>
                              </w:pPr>
                            </w:p>
                          </w:txbxContent>
                        </v:textbox>
                      </v:rect>
                      <v:shape id="_x0000_s1026" o:spid="_x0000_s1026" o:spt="32" type="#_x0000_t32" style="position:absolute;left:4048760;top:1132205;flip:x;height:0;width:1104900;" filled="f" stroked="t" coordsize="21600,21600" o:gfxdata="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xMzk9QAAAAGAQAA&#10;DwAAAAAAAAABACAAAAAiAAAAZHJzL2Rvd25yZXYueG1sUEsBAhQAFAAAAAgAh07iQBYutLIdAgAA&#10;+wMAAA4AAAAAAAAAAQAgAAAAIwEAAGRycy9lMm9Eb2MueG1sUEsFBgAAAAAGAAYAWQEAALIFAAAA&#10;AA==&#10;">
                        <v:fill on="f" focussize="0,0"/>
                        <v:stroke color="#000000 [3213]" miterlimit="8" joinstyle="miter" endarrow="block"/>
                        <v:imagedata o:title=""/>
                        <o:lock v:ext="edit" aspectratio="f"/>
                      </v:shape>
                      <v:rect id="_x0000_s1026" o:spid="_x0000_s1026" o:spt="1" style="position:absolute;left:836930;top:5313680;height:440055;width:93980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Zf&#10;pN7XAAAABgEAAA8AAAAAAAAAAQAgAAAAIgAAAGRycy9kb3ducmV2LnhtbFBLAQIUABQAAAAIAIdO&#10;4kBJmai8sgEAAFsDAAAOAAAAAAAAAAEAIAAAACYBAABkcnMvZTJvRG9jLnhtbFBLBQYAAAAABgAG&#10;AFkBAABKBQAAAAA=&#10;">
                        <v:fill on="f" focussize="0,0"/>
                        <v:stroke on="f"/>
                        <v:imagedata o:title=""/>
                        <o:lock v:ext="edit" aspectratio="f"/>
                        <v:textbox>
                          <w:txbxContent>
                            <w:p w14:paraId="490F773D">
                              <w:pPr>
                                <w:jc w:val="center"/>
                                <w:rPr>
                                  <w:rFonts w:hint="default" w:eastAsia="宋体"/>
                                  <w:color w:val="auto"/>
                                  <w:lang w:val="en-US" w:eastAsia="zh-CN"/>
                                </w:rPr>
                              </w:pPr>
                              <w:r>
                                <w:rPr>
                                  <w:rFonts w:hint="eastAsia" w:hAnsi="宋体"/>
                                  <w:color w:val="auto"/>
                                  <w:lang w:val="en-US" w:eastAsia="zh-CN"/>
                                </w:rPr>
                                <w:t>砂纸</w:t>
                              </w:r>
                            </w:p>
                          </w:txbxContent>
                        </v:textbox>
                      </v:rect>
                      <v:line id="_x0000_s1026" o:spid="_x0000_s1026" o:spt="20" style="position:absolute;left:1760855;top:5437505;height:0;width:39370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2yTdcAAAAGAQAADwAAAAAAAAAB&#10;ACAAAAAiAAAAZHJzL2Rvd25yZXYueG1sUEsBAhQAFAAAAAgAh07iQGflgtARAgAAAwQAAA4AAAAA&#10;AAAAAQAgAAAAJgEAAGRycy9lMm9Eb2MueG1sUEsFBgAAAAAGAAYAWQEAAKkFAAAAAA==&#10;">
                        <v:fill on="f" focussize="0,0"/>
                        <v:stroke color="#000000" joinstyle="round" endarrow="block"/>
                        <v:imagedata o:title=""/>
                        <o:lock v:ext="edit" aspectratio="f"/>
                      </v:line>
                      <v:rect id="_x0000_s1026" o:spid="_x0000_s1026" o:spt="1" style="position:absolute;left:1160780;top:1960880;height:335915;width:731520;" filled="f" stroked="f" coordsize="21600,21600" o:gfxdata="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X6Te1wAAAAYBAAAPAAAAAAAAAAEAIAAAACIAAABkcnMvZG93bnJldi54bWxQSwECFAAUAAAACACH&#10;TuJAcMSnabMBAABcAwAADgAAAAAAAAABACAAAAAmAQAAZHJzL2Uyb0RvYy54bWxQSwUGAAAAAAYA&#10;BgBZAQAASwUAAAAA&#10;">
                        <v:fill on="f" focussize="0,0"/>
                        <v:stroke on="f"/>
                        <v:imagedata o:title=""/>
                        <o:lock v:ext="edit" aspectratio="f"/>
                        <v:textbox>
                          <w:txbxContent>
                            <w:p w14:paraId="133593B0">
                              <w:pPr>
                                <w:jc w:val="center"/>
                                <w:rPr>
                                  <w:rFonts w:hint="default" w:eastAsia="宋体"/>
                                  <w:color w:val="auto"/>
                                  <w:lang w:val="en-US" w:eastAsia="zh-CN"/>
                                </w:rPr>
                              </w:pPr>
                              <w:r>
                                <w:rPr>
                                  <w:rFonts w:hint="eastAsia" w:hAnsi="宋体"/>
                                  <w:color w:val="auto"/>
                                  <w:lang w:val="en-US" w:eastAsia="zh-CN"/>
                                </w:rPr>
                                <w:t>脱模剂</w:t>
                              </w:r>
                            </w:p>
                          </w:txbxContent>
                        </v:textbox>
                      </v:rect>
                      <v:line id="_x0000_s1026" o:spid="_x0000_s1026" o:spt="20" style="position:absolute;left:1798955;top:2065655;height:0;width:393700;" filled="f" stroked="t" coordsize="21600,21600" o:gfxdata="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9sk3XAAAABgEAAA8AAAAAAAAAAQAg&#10;AAAAIgAAAGRycy9kb3ducmV2LnhtbFBLAQIUABQAAAAIAIdO4kDe1dLrDwIAAAMEAAAOAAAAAAAA&#10;AAEAIAAAACYBAABkcnMvZTJvRG9jLnhtbFBLBQYAAAAABgAGAFkBAACnBQAAAAA=&#10;">
                        <v:fill on="f" focussize="0,0"/>
                        <v:stroke color="#000000" joinstyle="round" endarrow="block"/>
                        <v:imagedata o:title=""/>
                        <o:lock v:ext="edit" aspectratio="f"/>
                      </v:line>
                      <w10:wrap type="none"/>
                      <w10:anchorlock/>
                    </v:group>
                  </w:pict>
                </mc:Fallback>
              </mc:AlternateContent>
            </w:r>
          </w:p>
          <w:p w14:paraId="62EBC67E">
            <w:pPr>
              <w:spacing w:line="360" w:lineRule="auto"/>
              <w:ind w:firstLine="422" w:firstLineChars="200"/>
              <w:jc w:val="center"/>
              <w:rPr>
                <w:rFonts w:ascii="Times New Roman" w:hAnsi="Times New Roman"/>
                <w:b/>
                <w:color w:val="auto"/>
                <w:szCs w:val="21"/>
              </w:rPr>
            </w:pPr>
            <w:r>
              <w:rPr>
                <w:rFonts w:ascii="Times New Roman" w:hAnsi="Times New Roman"/>
                <w:b/>
                <w:color w:val="auto"/>
                <w:szCs w:val="21"/>
              </w:rPr>
              <w:t>图2-</w:t>
            </w:r>
            <w:r>
              <w:rPr>
                <w:rFonts w:hint="eastAsia"/>
                <w:b/>
                <w:color w:val="auto"/>
                <w:szCs w:val="21"/>
                <w:lang w:val="en-US" w:eastAsia="zh-CN"/>
              </w:rPr>
              <w:t>3</w:t>
            </w:r>
            <w:r>
              <w:rPr>
                <w:rFonts w:ascii="Times New Roman" w:hAnsi="Times New Roman"/>
                <w:b/>
                <w:color w:val="auto"/>
                <w:szCs w:val="21"/>
              </w:rPr>
              <w:t xml:space="preserve"> </w:t>
            </w:r>
            <w:r>
              <w:rPr>
                <w:rFonts w:hint="eastAsia" w:ascii="Times New Roman" w:hAnsi="Times New Roman" w:eastAsia="宋体" w:cs="Times New Roman"/>
                <w:b/>
                <w:color w:val="auto"/>
                <w:szCs w:val="21"/>
              </w:rPr>
              <w:t>铸造</w:t>
            </w:r>
            <w:r>
              <w:rPr>
                <w:rFonts w:hint="eastAsia" w:cs="Times New Roman"/>
                <w:b/>
                <w:color w:val="auto"/>
                <w:szCs w:val="21"/>
                <w:lang w:val="en-US" w:eastAsia="zh-CN"/>
              </w:rPr>
              <w:t>线</w:t>
            </w:r>
            <w:r>
              <w:rPr>
                <w:rFonts w:hint="eastAsia" w:ascii="Times New Roman" w:hAnsi="Times New Roman" w:eastAsia="宋体" w:cs="Times New Roman"/>
                <w:b/>
                <w:color w:val="auto"/>
                <w:szCs w:val="21"/>
              </w:rPr>
              <w:t>工艺</w:t>
            </w:r>
            <w:r>
              <w:rPr>
                <w:rFonts w:ascii="Times New Roman" w:hAnsi="Times New Roman"/>
                <w:b/>
                <w:color w:val="auto"/>
                <w:szCs w:val="21"/>
              </w:rPr>
              <w:t>流程及产污节点图</w:t>
            </w:r>
          </w:p>
          <w:p w14:paraId="31D0977C">
            <w:pPr>
              <w:spacing w:line="360" w:lineRule="auto"/>
              <w:ind w:firstLine="422" w:firstLineChars="200"/>
              <w:rPr>
                <w:b/>
                <w:bCs/>
                <w:color w:val="auto"/>
                <w:szCs w:val="21"/>
              </w:rPr>
            </w:pPr>
            <w:r>
              <w:rPr>
                <w:b/>
                <w:bCs/>
                <w:color w:val="auto"/>
              </w:rPr>
              <w:t>生产工艺流程说明：</w:t>
            </w:r>
          </w:p>
          <w:p w14:paraId="56B9B52B">
            <w:pPr>
              <w:spacing w:line="360" w:lineRule="auto"/>
              <w:ind w:firstLine="420" w:firstLineChars="200"/>
              <w:rPr>
                <w:color w:val="auto"/>
              </w:rPr>
            </w:pPr>
            <w:r>
              <w:rPr>
                <w:rFonts w:hint="eastAsia"/>
                <w:color w:val="auto"/>
              </w:rPr>
              <w:t>（1）制芯：</w:t>
            </w:r>
            <w:r>
              <w:rPr>
                <w:rFonts w:hint="eastAsia"/>
                <w:color w:val="auto"/>
                <w:lang w:val="en-US" w:eastAsia="zh-CN"/>
              </w:rPr>
              <w:t>利用气力管道将覆膜砂密闭输送至制芯</w:t>
            </w:r>
            <w:r>
              <w:rPr>
                <w:rFonts w:hint="eastAsia"/>
                <w:color w:val="auto"/>
              </w:rPr>
              <w:t>机顶端的砂仓中，</w:t>
            </w:r>
            <w:r>
              <w:rPr>
                <w:rFonts w:hint="eastAsia"/>
                <w:color w:val="auto"/>
                <w:lang w:val="en-US" w:eastAsia="zh-CN"/>
              </w:rPr>
              <w:t>制芯</w:t>
            </w:r>
            <w:r>
              <w:rPr>
                <w:rFonts w:hint="eastAsia"/>
                <w:color w:val="auto"/>
              </w:rPr>
              <w:t>机芯盒温度控制在200-230℃</w:t>
            </w:r>
            <w:r>
              <w:rPr>
                <w:rFonts w:hint="eastAsia"/>
                <w:color w:val="auto"/>
                <w:lang w:eastAsia="zh-CN"/>
              </w:rPr>
              <w:t>（</w:t>
            </w:r>
            <w:r>
              <w:rPr>
                <w:rFonts w:hint="eastAsia"/>
                <w:color w:val="auto"/>
              </w:rPr>
              <w:t>电加热</w:t>
            </w:r>
            <w:r>
              <w:rPr>
                <w:rFonts w:hint="eastAsia"/>
                <w:color w:val="auto"/>
                <w:lang w:eastAsia="zh-CN"/>
              </w:rPr>
              <w:t>），</w:t>
            </w:r>
            <w:r>
              <w:rPr>
                <w:rFonts w:hint="eastAsia"/>
                <w:color w:val="auto"/>
              </w:rPr>
              <w:t>利用压缩空气将覆膜砂射入芯盒内</w:t>
            </w:r>
            <w:r>
              <w:rPr>
                <w:rFonts w:hint="eastAsia"/>
                <w:color w:val="auto"/>
                <w:lang w:val="en-US" w:eastAsia="zh-CN"/>
              </w:rPr>
              <w:t>制芯</w:t>
            </w:r>
            <w:r>
              <w:rPr>
                <w:rFonts w:hint="eastAsia"/>
                <w:color w:val="auto"/>
                <w:lang w:eastAsia="zh-CN"/>
              </w:rPr>
              <w:t>（</w:t>
            </w:r>
            <w:r>
              <w:rPr>
                <w:rFonts w:hint="eastAsia"/>
                <w:color w:val="auto"/>
                <w:lang w:val="en-US" w:eastAsia="zh-CN"/>
              </w:rPr>
              <w:t>芯盒内装有芯模模具，为了防止粘模，在制芯前高压喷洒少量脱模剂</w:t>
            </w:r>
            <w:r>
              <w:rPr>
                <w:rFonts w:hint="eastAsia"/>
                <w:color w:val="auto"/>
                <w:lang w:eastAsia="zh-CN"/>
              </w:rPr>
              <w:t>）</w:t>
            </w:r>
            <w:r>
              <w:rPr>
                <w:rFonts w:hint="eastAsia"/>
                <w:color w:val="auto"/>
              </w:rPr>
              <w:t>，覆膜砂在芯盒内被加热并很快硬化，形成表面光滑、尺寸精确的砂芯</w:t>
            </w:r>
            <w:r>
              <w:rPr>
                <w:rFonts w:hint="eastAsia"/>
                <w:color w:val="auto"/>
                <w:lang w:eastAsia="zh-CN"/>
              </w:rPr>
              <w:t>。</w:t>
            </w:r>
            <w:r>
              <w:rPr>
                <w:rFonts w:hint="eastAsia"/>
                <w:color w:val="auto"/>
              </w:rPr>
              <w:t>此过程</w:t>
            </w:r>
            <w:r>
              <w:rPr>
                <w:rFonts w:hint="eastAsia"/>
                <w:color w:val="auto"/>
                <w:lang w:eastAsia="zh-CN"/>
              </w:rPr>
              <w:t>会产生</w:t>
            </w:r>
            <w:r>
              <w:rPr>
                <w:rFonts w:hint="eastAsia"/>
                <w:color w:val="auto"/>
              </w:rPr>
              <w:t>制芯废气G</w:t>
            </w:r>
            <w:r>
              <w:rPr>
                <w:rFonts w:hint="eastAsia"/>
                <w:color w:val="auto"/>
                <w:lang w:val="en-US" w:eastAsia="zh-CN"/>
              </w:rPr>
              <w:t>1</w:t>
            </w:r>
            <w:r>
              <w:rPr>
                <w:rFonts w:hint="eastAsia"/>
                <w:color w:val="auto"/>
              </w:rPr>
              <w:t>（颗粒物、非甲烷总烃</w:t>
            </w:r>
            <w:r>
              <w:rPr>
                <w:rFonts w:hint="eastAsia"/>
                <w:color w:val="auto"/>
                <w:lang w:eastAsia="zh-CN"/>
              </w:rPr>
              <w:t>、</w:t>
            </w:r>
            <w:r>
              <w:rPr>
                <w:rFonts w:hint="eastAsia"/>
                <w:color w:val="auto"/>
                <w:lang w:val="en-US" w:eastAsia="zh-CN"/>
              </w:rPr>
              <w:t>甲醛、苯酚</w:t>
            </w:r>
            <w:r>
              <w:rPr>
                <w:rFonts w:hint="eastAsia"/>
                <w:color w:val="auto"/>
              </w:rPr>
              <w:t>）。</w:t>
            </w:r>
          </w:p>
          <w:p w14:paraId="0BC0AA84">
            <w:pPr>
              <w:spacing w:line="360" w:lineRule="auto"/>
              <w:ind w:firstLine="420" w:firstLineChars="200"/>
              <w:rPr>
                <w:color w:val="auto"/>
              </w:rPr>
            </w:pPr>
            <w:r>
              <w:rPr>
                <w:rFonts w:hint="eastAsia"/>
                <w:color w:val="auto"/>
              </w:rPr>
              <w:t>（</w:t>
            </w:r>
            <w:r>
              <w:rPr>
                <w:rFonts w:hint="eastAsia"/>
                <w:color w:val="auto"/>
                <w:lang w:val="en-US" w:eastAsia="zh-CN"/>
              </w:rPr>
              <w:t>2</w:t>
            </w:r>
            <w:r>
              <w:rPr>
                <w:rFonts w:hint="eastAsia"/>
                <w:color w:val="auto"/>
              </w:rPr>
              <w:t>）熔融：将外购的铝锭加入电炉熔化成铝液，熔化过程电加热，</w:t>
            </w:r>
            <w:r>
              <w:rPr>
                <w:rFonts w:hint="eastAsia"/>
                <w:color w:val="auto"/>
                <w:lang w:val="en-US" w:eastAsia="zh-CN"/>
              </w:rPr>
              <w:t>将氮气和除渣剂</w:t>
            </w:r>
            <w:r>
              <w:rPr>
                <w:rFonts w:hint="eastAsia"/>
                <w:color w:val="auto"/>
              </w:rPr>
              <w:t>用旋转除气机通入铝液中对铝液进行精炼</w:t>
            </w:r>
            <w:r>
              <w:rPr>
                <w:rFonts w:hint="eastAsia"/>
                <w:color w:val="auto"/>
                <w:lang w:val="en-US" w:eastAsia="zh-CN"/>
              </w:rPr>
              <w:t>，</w:t>
            </w:r>
            <w:r>
              <w:rPr>
                <w:rFonts w:hint="eastAsia"/>
                <w:color w:val="auto"/>
              </w:rPr>
              <w:t>熔化时间控制在2~2.5h（熔化时间约0.45-1.0h，其余为保温时间），熔化温度控制在</w:t>
            </w:r>
            <w:r>
              <w:rPr>
                <w:rFonts w:hint="eastAsia"/>
                <w:color w:val="auto"/>
                <w:lang w:val="en-US" w:eastAsia="zh-CN"/>
              </w:rPr>
              <w:t>730</w:t>
            </w:r>
            <w:r>
              <w:rPr>
                <w:rFonts w:hint="eastAsia"/>
                <w:color w:val="auto"/>
              </w:rPr>
              <w:t>℃左右，此过程会产生熔融烟尘</w:t>
            </w:r>
            <w:r>
              <w:rPr>
                <w:rFonts w:hint="eastAsia"/>
                <w:color w:val="auto"/>
                <w:szCs w:val="21"/>
              </w:rPr>
              <w:t>G</w:t>
            </w:r>
            <w:r>
              <w:rPr>
                <w:rFonts w:hint="eastAsia"/>
                <w:color w:val="auto"/>
                <w:szCs w:val="21"/>
                <w:lang w:val="en-US" w:eastAsia="zh-CN"/>
              </w:rPr>
              <w:t>2</w:t>
            </w:r>
            <w:r>
              <w:rPr>
                <w:rFonts w:hint="eastAsia"/>
                <w:color w:val="auto"/>
              </w:rPr>
              <w:t>（颗粒物）</w:t>
            </w:r>
            <w:r>
              <w:rPr>
                <w:rFonts w:hint="eastAsia"/>
                <w:color w:val="auto"/>
                <w:sz w:val="20"/>
                <w:szCs w:val="22"/>
              </w:rPr>
              <w:t>、</w:t>
            </w:r>
            <w:r>
              <w:rPr>
                <w:rFonts w:hint="eastAsia"/>
                <w:color w:val="auto"/>
                <w:lang w:val="en-US" w:eastAsia="zh-CN"/>
              </w:rPr>
              <w:t>炉</w:t>
            </w:r>
            <w:r>
              <w:rPr>
                <w:rFonts w:hint="eastAsia"/>
                <w:color w:val="auto"/>
              </w:rPr>
              <w:t>渣S</w:t>
            </w:r>
            <w:r>
              <w:rPr>
                <w:rFonts w:hint="eastAsia"/>
                <w:color w:val="auto"/>
                <w:lang w:val="en-US" w:eastAsia="zh-CN"/>
              </w:rPr>
              <w:t>1</w:t>
            </w:r>
            <w:r>
              <w:rPr>
                <w:color w:val="auto"/>
                <w:szCs w:val="21"/>
                <w:lang w:bidi="bo-CN"/>
              </w:rPr>
              <w:t>及噪声</w:t>
            </w:r>
            <w:r>
              <w:rPr>
                <w:rFonts w:hint="eastAsia"/>
                <w:color w:val="auto"/>
                <w:szCs w:val="21"/>
                <w:lang w:bidi="bo-CN"/>
              </w:rPr>
              <w:t>N</w:t>
            </w:r>
            <w:r>
              <w:rPr>
                <w:rFonts w:hint="eastAsia"/>
                <w:color w:val="auto"/>
              </w:rPr>
              <w:t>。</w:t>
            </w:r>
          </w:p>
          <w:p w14:paraId="3504A7AB">
            <w:pPr>
              <w:spacing w:line="360" w:lineRule="auto"/>
              <w:ind w:firstLine="420" w:firstLineChars="200"/>
              <w:rPr>
                <w:color w:val="auto"/>
                <w:szCs w:val="21"/>
                <w:lang w:bidi="bo-CN"/>
              </w:rPr>
            </w:pPr>
            <w:r>
              <w:rPr>
                <w:rFonts w:hint="eastAsia"/>
                <w:color w:val="auto"/>
                <w:szCs w:val="21"/>
              </w:rPr>
              <w:t>（</w:t>
            </w:r>
            <w:r>
              <w:rPr>
                <w:rFonts w:hint="eastAsia"/>
                <w:color w:val="auto"/>
                <w:szCs w:val="21"/>
                <w:lang w:val="en-US" w:eastAsia="zh-CN"/>
              </w:rPr>
              <w:t>3</w:t>
            </w:r>
            <w:r>
              <w:rPr>
                <w:rFonts w:hint="eastAsia"/>
                <w:color w:val="auto"/>
                <w:szCs w:val="21"/>
              </w:rPr>
              <w:t>）</w:t>
            </w:r>
            <w:r>
              <w:rPr>
                <w:rFonts w:hint="eastAsia"/>
                <w:color w:val="auto"/>
                <w:szCs w:val="21"/>
                <w:lang w:bidi="bo-CN"/>
              </w:rPr>
              <w:t>浇注</w:t>
            </w:r>
            <w:r>
              <w:rPr>
                <w:color w:val="auto"/>
                <w:szCs w:val="21"/>
                <w:lang w:bidi="bo-CN"/>
              </w:rPr>
              <w:t>：</w:t>
            </w:r>
            <w:r>
              <w:rPr>
                <w:rFonts w:hint="eastAsia" w:hAnsi="宋体"/>
                <w:color w:val="auto"/>
                <w:szCs w:val="21"/>
              </w:rPr>
              <w:t>将覆膜砂芯放入模具中</w:t>
            </w:r>
            <w:r>
              <w:rPr>
                <w:rFonts w:hint="eastAsia" w:hAnsi="宋体"/>
                <w:color w:val="auto"/>
                <w:szCs w:val="21"/>
                <w:lang w:eastAsia="zh-CN"/>
              </w:rPr>
              <w:t>（</w:t>
            </w:r>
            <w:r>
              <w:rPr>
                <w:rFonts w:hint="eastAsia"/>
                <w:color w:val="auto"/>
                <w:lang w:val="en-US" w:eastAsia="zh-CN"/>
              </w:rPr>
              <w:t>为了防止粘模，在浇注前高压喷洒少量脱模剂</w:t>
            </w:r>
            <w:r>
              <w:rPr>
                <w:rFonts w:hint="eastAsia" w:hAnsi="宋体"/>
                <w:color w:val="auto"/>
                <w:szCs w:val="21"/>
                <w:lang w:eastAsia="zh-CN"/>
              </w:rPr>
              <w:t>），</w:t>
            </w:r>
            <w:r>
              <w:rPr>
                <w:rFonts w:hint="eastAsia"/>
                <w:color w:val="auto"/>
                <w:szCs w:val="21"/>
                <w:lang w:bidi="bo-CN"/>
              </w:rPr>
              <w:t>电炉中熔化好的</w:t>
            </w:r>
            <w:r>
              <w:rPr>
                <w:rFonts w:hint="eastAsia"/>
                <w:color w:val="auto"/>
              </w:rPr>
              <w:t>铝液</w:t>
            </w:r>
            <w:r>
              <w:rPr>
                <w:rFonts w:hint="eastAsia"/>
                <w:color w:val="auto"/>
                <w:szCs w:val="21"/>
                <w:lang w:bidi="bo-CN"/>
              </w:rPr>
              <w:t>，分批缓慢倒入浇包中，再由浇包转移至</w:t>
            </w:r>
            <w:r>
              <w:rPr>
                <w:rFonts w:hint="eastAsia"/>
                <w:color w:val="auto"/>
                <w:szCs w:val="21"/>
                <w:lang w:val="en-US" w:eastAsia="zh-CN" w:bidi="bo-CN"/>
              </w:rPr>
              <w:t>模具</w:t>
            </w:r>
            <w:r>
              <w:rPr>
                <w:rFonts w:hint="eastAsia"/>
                <w:color w:val="auto"/>
                <w:szCs w:val="21"/>
                <w:lang w:bidi="bo-CN"/>
              </w:rPr>
              <w:t>处，从浇道口缓慢浇入，直到填满整个</w:t>
            </w:r>
            <w:r>
              <w:rPr>
                <w:rFonts w:hint="eastAsia"/>
                <w:color w:val="auto"/>
                <w:szCs w:val="21"/>
                <w:lang w:val="en-US" w:eastAsia="zh-CN" w:bidi="bo-CN"/>
              </w:rPr>
              <w:t>模具</w:t>
            </w:r>
            <w:r>
              <w:rPr>
                <w:rFonts w:hint="eastAsia"/>
                <w:color w:val="auto"/>
                <w:szCs w:val="21"/>
                <w:lang w:bidi="bo-CN"/>
              </w:rPr>
              <w:t>，待逐渐冷却固化成型后，得到铸件。</w:t>
            </w:r>
            <w:r>
              <w:rPr>
                <w:rFonts w:hint="eastAsia"/>
                <w:color w:val="auto"/>
              </w:rPr>
              <w:t>铝液</w:t>
            </w:r>
            <w:r>
              <w:rPr>
                <w:rFonts w:hint="eastAsia"/>
                <w:color w:val="auto"/>
                <w:szCs w:val="21"/>
                <w:lang w:bidi="bo-CN"/>
              </w:rPr>
              <w:t>在转移过程中基本无烟尘产生，仅在高温</w:t>
            </w:r>
            <w:r>
              <w:rPr>
                <w:rFonts w:hint="eastAsia"/>
                <w:color w:val="auto"/>
              </w:rPr>
              <w:t>铝液</w:t>
            </w:r>
            <w:r>
              <w:rPr>
                <w:rFonts w:hint="eastAsia"/>
                <w:color w:val="auto"/>
                <w:szCs w:val="21"/>
                <w:lang w:bidi="bo-CN"/>
              </w:rPr>
              <w:t>与</w:t>
            </w:r>
            <w:r>
              <w:rPr>
                <w:rFonts w:hint="eastAsia"/>
                <w:color w:val="auto"/>
              </w:rPr>
              <w:t>砂芯</w:t>
            </w:r>
            <w:r>
              <w:rPr>
                <w:rFonts w:hint="eastAsia"/>
                <w:color w:val="auto"/>
                <w:szCs w:val="21"/>
                <w:lang w:bidi="bo-CN"/>
              </w:rPr>
              <w:t>接触，产生少量烟尘和</w:t>
            </w:r>
            <w:r>
              <w:rPr>
                <w:rFonts w:hint="eastAsia"/>
                <w:color w:val="auto"/>
                <w:szCs w:val="21"/>
                <w:lang w:val="en-US" w:eastAsia="zh-CN" w:bidi="bo-CN"/>
              </w:rPr>
              <w:t>有机废气</w:t>
            </w:r>
            <w:r>
              <w:rPr>
                <w:rFonts w:hint="eastAsia"/>
                <w:color w:val="auto"/>
                <w:szCs w:val="21"/>
                <w:lang w:bidi="bo-CN"/>
              </w:rPr>
              <w:t>。此工序产生浇注废气G</w:t>
            </w:r>
            <w:r>
              <w:rPr>
                <w:rFonts w:hint="eastAsia"/>
                <w:color w:val="auto"/>
                <w:szCs w:val="21"/>
                <w:lang w:val="en-US" w:eastAsia="zh-CN" w:bidi="bo-CN"/>
              </w:rPr>
              <w:t>3</w:t>
            </w:r>
            <w:r>
              <w:rPr>
                <w:rFonts w:hint="eastAsia"/>
                <w:color w:val="auto"/>
              </w:rPr>
              <w:t>（颗粒物、非甲烷总烃</w:t>
            </w:r>
            <w:r>
              <w:rPr>
                <w:rFonts w:hint="eastAsia"/>
                <w:color w:val="auto"/>
                <w:lang w:eastAsia="zh-CN"/>
              </w:rPr>
              <w:t>、</w:t>
            </w:r>
            <w:r>
              <w:rPr>
                <w:rFonts w:hint="eastAsia"/>
                <w:color w:val="auto"/>
                <w:lang w:val="en-US" w:eastAsia="zh-CN"/>
              </w:rPr>
              <w:t>甲醛、苯酚</w:t>
            </w:r>
            <w:r>
              <w:rPr>
                <w:rFonts w:hint="eastAsia"/>
                <w:color w:val="auto"/>
              </w:rPr>
              <w:t>）</w:t>
            </w:r>
            <w:r>
              <w:rPr>
                <w:rFonts w:hint="eastAsia"/>
                <w:color w:val="auto"/>
                <w:szCs w:val="21"/>
                <w:lang w:bidi="bo-CN"/>
              </w:rPr>
              <w:t>和噪声N。</w:t>
            </w:r>
          </w:p>
          <w:p w14:paraId="767C168D">
            <w:pPr>
              <w:spacing w:line="360" w:lineRule="auto"/>
              <w:ind w:firstLine="420" w:firstLineChars="200"/>
              <w:rPr>
                <w:rFonts w:hint="eastAsia" w:ascii="Times New Roman" w:hAnsi="Times New Roman" w:eastAsia="宋体" w:cs="Times New Roman"/>
                <w:color w:val="auto"/>
                <w:lang w:val="en-US" w:eastAsia="zh-CN"/>
              </w:rPr>
            </w:pPr>
            <w:r>
              <w:rPr>
                <w:rFonts w:hint="eastAsia"/>
                <w:color w:val="auto"/>
                <w:szCs w:val="21"/>
                <w:lang w:bidi="bo-CN"/>
              </w:rPr>
              <w:t>（</w:t>
            </w:r>
            <w:r>
              <w:rPr>
                <w:rFonts w:hint="eastAsia"/>
                <w:color w:val="auto"/>
                <w:szCs w:val="21"/>
                <w:lang w:val="en-US" w:eastAsia="zh-CN" w:bidi="bo-CN"/>
              </w:rPr>
              <w:t>4</w:t>
            </w:r>
            <w:r>
              <w:rPr>
                <w:rFonts w:hint="eastAsia"/>
                <w:color w:val="auto"/>
                <w:szCs w:val="21"/>
                <w:lang w:bidi="bo-CN"/>
              </w:rPr>
              <w:t>）落砂：浇注后的砂型铸件通过自然</w:t>
            </w:r>
            <w:r>
              <w:rPr>
                <w:rFonts w:hint="eastAsia" w:ascii="Times New Roman" w:hAnsi="Times New Roman" w:eastAsia="宋体" w:cs="Times New Roman"/>
                <w:color w:val="auto"/>
                <w:szCs w:val="21"/>
                <w:lang w:bidi="bo-CN"/>
              </w:rPr>
              <w:t>冷却成</w:t>
            </w:r>
            <w:r>
              <w:rPr>
                <w:rFonts w:hint="eastAsia" w:ascii="Times New Roman" w:hAnsi="Times New Roman" w:eastAsia="宋体" w:cs="Times New Roman"/>
                <w:color w:val="auto"/>
                <w:lang w:val="en-US" w:eastAsia="zh-CN"/>
              </w:rPr>
              <w:t>型，铸件转运至震动落砂机进行高频震动，落砂机为密闭形式，砂芯在震动的作用下破碎后与产品脱离，废砂落入集砂槽。整个落砂过程产生落砂粉尘G4（颗粒物）、废砂S2及噪声N。</w:t>
            </w:r>
          </w:p>
          <w:p w14:paraId="66F881BE">
            <w:pPr>
              <w:spacing w:line="360" w:lineRule="auto"/>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（5）切割冒口：铸件人工去掉浇冒口，无粉尘产生，浇冒口回用至熔化工段。</w:t>
            </w:r>
          </w:p>
          <w:p w14:paraId="7E5B5BEC">
            <w:pPr>
              <w:spacing w:line="360" w:lineRule="auto"/>
              <w:ind w:firstLine="420" w:firstLineChars="200"/>
              <w:rPr>
                <w:rFonts w:hint="default" w:ascii="Times New Roman" w:hAnsi="Times New Roman" w:eastAsia="宋体" w:cs="Times New Roman"/>
                <w:color w:val="auto"/>
                <w:szCs w:val="21"/>
                <w:lang w:val="en-US" w:eastAsia="zh-CN" w:bidi="bo-CN"/>
              </w:rPr>
            </w:pPr>
            <w:r>
              <w:rPr>
                <w:rFonts w:hint="eastAsia" w:ascii="Times New Roman" w:hAnsi="Times New Roman" w:eastAsia="宋体" w:cs="Times New Roman"/>
                <w:color w:val="auto"/>
                <w:lang w:val="en-US" w:eastAsia="zh-CN"/>
              </w:rPr>
              <w:t>（6）热处理：将铸件放入框中，放入固溶炉加热到535度保温4小时</w:t>
            </w:r>
            <w:r>
              <w:rPr>
                <w:rFonts w:hint="eastAsia" w:cs="Times New Roman"/>
                <w:color w:val="auto"/>
                <w:szCs w:val="21"/>
                <w:lang w:eastAsia="zh-CN" w:bidi="bo-CN"/>
              </w:rPr>
              <w:t>（</w:t>
            </w:r>
            <w:r>
              <w:rPr>
                <w:rFonts w:hint="eastAsia" w:cs="Times New Roman"/>
                <w:color w:val="auto"/>
                <w:szCs w:val="21"/>
                <w:lang w:val="en-US" w:eastAsia="zh-CN" w:bidi="bo-CN"/>
              </w:rPr>
              <w:t>压力：0.2Mpa</w:t>
            </w:r>
            <w:r>
              <w:rPr>
                <w:rFonts w:hint="eastAsia" w:cs="Times New Roman"/>
                <w:color w:val="auto"/>
                <w:szCs w:val="21"/>
                <w:lang w:eastAsia="zh-CN" w:bidi="bo-CN"/>
              </w:rPr>
              <w:t>）</w:t>
            </w:r>
            <w:r>
              <w:rPr>
                <w:rFonts w:hint="eastAsia" w:ascii="Times New Roman" w:hAnsi="Times New Roman" w:eastAsia="宋体" w:cs="Times New Roman"/>
                <w:color w:val="auto"/>
                <w:lang w:val="en-US" w:eastAsia="zh-CN"/>
              </w:rPr>
              <w:t>后放</w:t>
            </w:r>
            <w:r>
              <w:rPr>
                <w:rFonts w:hint="eastAsia" w:ascii="Times New Roman" w:hAnsi="Times New Roman" w:eastAsia="宋体" w:cs="Times New Roman"/>
                <w:color w:val="auto"/>
                <w:szCs w:val="21"/>
                <w:lang w:bidi="bo-CN"/>
              </w:rPr>
              <w:t>入水中冷却进行固溶处理，待铸件冷却到室温在将铸件放入时效炉中加热到185度保温2小时</w:t>
            </w:r>
            <w:r>
              <w:rPr>
                <w:rFonts w:hint="eastAsia" w:cs="Times New Roman"/>
                <w:color w:val="auto"/>
                <w:szCs w:val="21"/>
                <w:lang w:eastAsia="zh-CN" w:bidi="bo-CN"/>
              </w:rPr>
              <w:t>（</w:t>
            </w:r>
            <w:r>
              <w:rPr>
                <w:rFonts w:hint="eastAsia" w:cs="Times New Roman"/>
                <w:color w:val="auto"/>
                <w:szCs w:val="21"/>
                <w:lang w:val="en-US" w:eastAsia="zh-CN" w:bidi="bo-CN"/>
              </w:rPr>
              <w:t>压力：0.4~0.6Mpa</w:t>
            </w:r>
            <w:r>
              <w:rPr>
                <w:rFonts w:hint="eastAsia" w:cs="Times New Roman"/>
                <w:color w:val="auto"/>
                <w:szCs w:val="21"/>
                <w:lang w:eastAsia="zh-CN" w:bidi="bo-CN"/>
              </w:rPr>
              <w:t>）</w:t>
            </w:r>
            <w:r>
              <w:rPr>
                <w:rFonts w:hint="eastAsia" w:ascii="Times New Roman" w:hAnsi="Times New Roman" w:eastAsia="宋体" w:cs="Times New Roman"/>
                <w:color w:val="auto"/>
                <w:szCs w:val="21"/>
                <w:lang w:bidi="bo-CN"/>
              </w:rPr>
              <w:t>进行时效处理。</w:t>
            </w:r>
            <w:r>
              <w:rPr>
                <w:rFonts w:hint="eastAsia" w:ascii="Times New Roman" w:hAnsi="Times New Roman" w:eastAsia="宋体" w:cs="Times New Roman"/>
                <w:color w:val="auto"/>
                <w:szCs w:val="21"/>
                <w:lang w:val="en-US" w:eastAsia="zh-CN" w:bidi="bo-CN"/>
              </w:rPr>
              <w:t>冷却水直接冷却水，循环使用，定期补充，定期</w:t>
            </w:r>
            <w:r>
              <w:rPr>
                <w:rFonts w:hint="eastAsia" w:cs="Times New Roman"/>
                <w:color w:val="auto"/>
                <w:szCs w:val="21"/>
                <w:lang w:val="en-US" w:eastAsia="zh-CN" w:bidi="bo-CN"/>
              </w:rPr>
              <w:t>作为危废处理</w:t>
            </w:r>
            <w:r>
              <w:rPr>
                <w:rFonts w:hint="eastAsia" w:ascii="Times New Roman" w:hAnsi="Times New Roman" w:eastAsia="宋体" w:cs="Times New Roman"/>
                <w:color w:val="auto"/>
                <w:szCs w:val="21"/>
                <w:lang w:val="en-US" w:eastAsia="zh-CN" w:bidi="bo-CN"/>
              </w:rPr>
              <w:t>。该工序会产生S3废液。</w:t>
            </w:r>
          </w:p>
          <w:p w14:paraId="7B0F8815">
            <w:pPr>
              <w:autoSpaceDE w:val="0"/>
              <w:autoSpaceDN w:val="0"/>
              <w:adjustRightInd w:val="0"/>
              <w:snapToGrid w:val="0"/>
              <w:spacing w:line="360" w:lineRule="auto"/>
              <w:ind w:firstLine="480"/>
              <w:jc w:val="left"/>
              <w:rPr>
                <w:rFonts w:ascii="Times New Roman" w:hAnsi="Times New Roman" w:eastAsia="宋体" w:cs="Times New Roman"/>
                <w:color w:val="auto"/>
                <w:shd w:val="clear" w:color="auto" w:fill="FFFFFF"/>
              </w:rPr>
            </w:pPr>
            <w:r>
              <w:rPr>
                <w:rFonts w:hint="eastAsia"/>
                <w:bCs/>
                <w:color w:val="auto"/>
                <w:lang w:val="en-US" w:eastAsia="zh-CN"/>
              </w:rPr>
              <w:t>（7）精加工：</w:t>
            </w:r>
            <w:r>
              <w:rPr>
                <w:rFonts w:hint="eastAsia" w:hAnsi="宋体"/>
                <w:color w:val="auto"/>
                <w:szCs w:val="21"/>
              </w:rPr>
              <w:t>利用卧式加工中</w:t>
            </w:r>
            <w:r>
              <w:rPr>
                <w:rFonts w:hint="eastAsia" w:hAnsi="宋体"/>
                <w:color w:val="auto"/>
                <w:szCs w:val="21"/>
                <w:lang w:val="en-US" w:eastAsia="zh-CN"/>
              </w:rPr>
              <w:t>心</w:t>
            </w:r>
            <w:r>
              <w:rPr>
                <w:rFonts w:hint="eastAsia" w:hAnsi="宋体"/>
                <w:color w:val="auto"/>
                <w:szCs w:val="21"/>
              </w:rPr>
              <w:t>、立式加工中心</w:t>
            </w:r>
            <w:r>
              <w:rPr>
                <w:rFonts w:hint="eastAsia" w:hAnsi="宋体"/>
                <w:color w:val="auto"/>
                <w:szCs w:val="21"/>
                <w:lang w:val="en-US" w:eastAsia="zh-CN"/>
              </w:rPr>
              <w:t>及</w:t>
            </w:r>
            <w:r>
              <w:rPr>
                <w:rFonts w:hint="eastAsia" w:hAnsi="宋体"/>
                <w:color w:val="auto"/>
                <w:szCs w:val="21"/>
              </w:rPr>
              <w:t>车床等加工设备对铸件进行精密加工。</w:t>
            </w:r>
            <w:r>
              <w:rPr>
                <w:color w:val="auto"/>
                <w:shd w:val="clear" w:color="auto" w:fill="FFFFFF"/>
              </w:rPr>
              <w:t>各类机器设备的刀具与原材料的作用过程中要使用一定的切削液，用来降低切削温度，减少刀具与工件之间的摩擦，减少工件和刀具的变形，保持刀具硬度和尺寸，延长刀具使用寿命。本项目使用水基合成切削液，切削液与水配置比例为1:10。切削液正常循环使用，定期作为</w:t>
            </w:r>
            <w:r>
              <w:rPr>
                <w:rFonts w:ascii="Times New Roman" w:hAnsi="Times New Roman" w:eastAsia="宋体" w:cs="Times New Roman"/>
                <w:color w:val="auto"/>
                <w:shd w:val="clear" w:color="auto" w:fill="FFFFFF"/>
              </w:rPr>
              <w:t>危废处置。</w:t>
            </w:r>
            <w:r>
              <w:rPr>
                <w:rFonts w:hint="eastAsia" w:ascii="Times New Roman" w:hAnsi="Times New Roman" w:eastAsia="宋体" w:cs="Times New Roman"/>
                <w:color w:val="auto"/>
                <w:shd w:val="clear" w:color="auto" w:fill="FFFFFF"/>
              </w:rPr>
              <w:t>机加工过程将产生</w:t>
            </w:r>
            <w:r>
              <w:rPr>
                <w:rFonts w:hint="eastAsia" w:ascii="Times New Roman" w:hAnsi="Times New Roman" w:eastAsia="宋体" w:cs="Times New Roman"/>
                <w:color w:val="auto"/>
                <w:shd w:val="clear" w:color="auto" w:fill="FFFFFF"/>
                <w:lang w:val="en-US" w:eastAsia="zh-CN"/>
              </w:rPr>
              <w:t>机加工废气G</w:t>
            </w:r>
            <w:r>
              <w:rPr>
                <w:rFonts w:hint="eastAsia" w:cs="Times New Roman"/>
                <w:color w:val="auto"/>
                <w:shd w:val="clear" w:color="auto" w:fill="FFFFFF"/>
                <w:lang w:val="en-US" w:eastAsia="zh-CN"/>
              </w:rPr>
              <w:t>5</w:t>
            </w:r>
            <w:r>
              <w:rPr>
                <w:rFonts w:hint="eastAsia" w:ascii="Times New Roman" w:hAnsi="Times New Roman" w:eastAsia="宋体" w:cs="Times New Roman"/>
                <w:color w:val="auto"/>
                <w:shd w:val="clear" w:color="auto" w:fill="FFFFFF"/>
                <w:lang w:val="en-US" w:eastAsia="zh-CN"/>
              </w:rPr>
              <w:t>、</w:t>
            </w:r>
            <w:r>
              <w:rPr>
                <w:rFonts w:hint="eastAsia" w:ascii="Times New Roman" w:hAnsi="Times New Roman" w:eastAsia="宋体" w:cs="Times New Roman"/>
                <w:color w:val="auto"/>
                <w:shd w:val="clear" w:color="auto" w:fill="FFFFFF"/>
              </w:rPr>
              <w:t>废切削液</w:t>
            </w:r>
            <w:r>
              <w:rPr>
                <w:rFonts w:hint="eastAsia" w:ascii="Times New Roman" w:hAnsi="Times New Roman" w:eastAsia="宋体" w:cs="Times New Roman"/>
                <w:color w:val="auto"/>
                <w:shd w:val="clear" w:color="auto" w:fill="FFFFFF"/>
                <w:lang w:val="en-US" w:eastAsia="zh-CN"/>
              </w:rPr>
              <w:t>S4</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val="en-US" w:eastAsia="zh-CN"/>
              </w:rPr>
              <w:t>含</w:t>
            </w:r>
            <w:r>
              <w:rPr>
                <w:rFonts w:hint="eastAsia" w:cs="Times New Roman"/>
                <w:color w:val="auto"/>
                <w:shd w:val="clear" w:color="auto" w:fill="FFFFFF"/>
                <w:lang w:val="en-US" w:eastAsia="zh-CN"/>
              </w:rPr>
              <w:t>油</w:t>
            </w:r>
            <w:r>
              <w:rPr>
                <w:rFonts w:hint="eastAsia" w:ascii="Times New Roman" w:hAnsi="Times New Roman" w:eastAsia="宋体" w:cs="Times New Roman"/>
                <w:color w:val="auto"/>
                <w:shd w:val="clear" w:color="auto" w:fill="FFFFFF"/>
                <w:lang w:val="en-US" w:eastAsia="zh-CN"/>
              </w:rPr>
              <w:t>铝</w:t>
            </w:r>
            <w:r>
              <w:rPr>
                <w:rFonts w:hint="eastAsia" w:ascii="Times New Roman" w:hAnsi="Times New Roman" w:eastAsia="宋体" w:cs="Times New Roman"/>
                <w:color w:val="auto"/>
                <w:shd w:val="clear" w:color="auto" w:fill="FFFFFF"/>
              </w:rPr>
              <w:t>屑</w:t>
            </w:r>
            <w:r>
              <w:rPr>
                <w:rFonts w:hint="eastAsia" w:ascii="Times New Roman" w:hAnsi="Times New Roman" w:eastAsia="宋体" w:cs="Times New Roman"/>
                <w:color w:val="auto"/>
                <w:shd w:val="clear" w:color="auto" w:fill="FFFFFF"/>
                <w:lang w:val="en-US" w:eastAsia="zh-CN"/>
              </w:rPr>
              <w:t>S5</w:t>
            </w:r>
            <w:r>
              <w:rPr>
                <w:rFonts w:hint="eastAsia" w:ascii="Times New Roman" w:hAnsi="Times New Roman" w:eastAsia="宋体" w:cs="Times New Roman"/>
                <w:color w:val="auto"/>
                <w:shd w:val="clear" w:color="auto" w:fill="FFFFFF"/>
              </w:rPr>
              <w:t>、废包装桶</w:t>
            </w:r>
            <w:r>
              <w:rPr>
                <w:rFonts w:hint="eastAsia" w:ascii="Times New Roman" w:hAnsi="Times New Roman" w:eastAsia="宋体" w:cs="Times New Roman"/>
                <w:color w:val="auto"/>
                <w:shd w:val="clear" w:color="auto" w:fill="FFFFFF"/>
                <w:lang w:val="en-US" w:eastAsia="zh-CN"/>
              </w:rPr>
              <w:t>S6</w:t>
            </w:r>
            <w:r>
              <w:rPr>
                <w:rFonts w:hint="eastAsia" w:ascii="Times New Roman" w:hAnsi="Times New Roman" w:eastAsia="宋体" w:cs="Times New Roman"/>
                <w:color w:val="auto"/>
                <w:shd w:val="clear" w:color="auto" w:fill="FFFFFF"/>
              </w:rPr>
              <w:t>和噪声；</w:t>
            </w:r>
            <w:r>
              <w:rPr>
                <w:rFonts w:ascii="Times New Roman" w:hAnsi="Times New Roman" w:eastAsia="宋体" w:cs="Times New Roman"/>
                <w:color w:val="auto"/>
                <w:shd w:val="clear" w:color="auto" w:fill="FFFFFF"/>
              </w:rPr>
              <w:t xml:space="preserve"> </w:t>
            </w:r>
          </w:p>
          <w:p w14:paraId="236AC368">
            <w:pPr>
              <w:autoSpaceDE w:val="0"/>
              <w:autoSpaceDN w:val="0"/>
              <w:adjustRightInd w:val="0"/>
              <w:snapToGrid w:val="0"/>
              <w:spacing w:line="360" w:lineRule="auto"/>
              <w:ind w:firstLine="480"/>
              <w:jc w:val="left"/>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w:t>
            </w:r>
            <w:r>
              <w:rPr>
                <w:rFonts w:hint="eastAsia" w:ascii="Times New Roman" w:hAnsi="Times New Roman" w:eastAsia="宋体" w:cs="Times New Roman"/>
                <w:color w:val="auto"/>
                <w:shd w:val="clear" w:color="auto" w:fill="FFFFFF"/>
                <w:lang w:val="en-US" w:eastAsia="zh-CN"/>
              </w:rPr>
              <w:t>8</w:t>
            </w:r>
            <w:r>
              <w:rPr>
                <w:rFonts w:hint="eastAsia" w:ascii="Times New Roman" w:hAnsi="Times New Roman" w:eastAsia="宋体" w:cs="Times New Roman"/>
                <w:color w:val="auto"/>
                <w:shd w:val="clear" w:color="auto" w:fill="FFFFFF"/>
                <w:lang w:eastAsia="zh-CN"/>
              </w:rPr>
              <w:t>）</w:t>
            </w:r>
            <w:r>
              <w:rPr>
                <w:rFonts w:hint="eastAsia" w:ascii="Times New Roman" w:hAnsi="Times New Roman" w:eastAsia="宋体" w:cs="Times New Roman"/>
                <w:color w:val="auto"/>
                <w:shd w:val="clear" w:color="auto" w:fill="FFFFFF"/>
                <w:lang w:val="en-US" w:eastAsia="zh-CN"/>
              </w:rPr>
              <w:t>打磨抛光：</w:t>
            </w:r>
            <w:r>
              <w:rPr>
                <w:rFonts w:hint="eastAsia" w:ascii="Times New Roman" w:hAnsi="Times New Roman" w:eastAsia="宋体" w:cs="Times New Roman"/>
                <w:color w:val="auto"/>
                <w:shd w:val="clear" w:color="auto" w:fill="FFFFFF"/>
              </w:rPr>
              <w:t>用机器人对铸件表面进行打磨抛光，局部打磨不到的地方用人工</w:t>
            </w:r>
            <w:r>
              <w:rPr>
                <w:rFonts w:hint="eastAsia" w:cs="Times New Roman"/>
                <w:color w:val="auto"/>
                <w:shd w:val="clear" w:color="auto" w:fill="FFFFFF"/>
                <w:lang w:val="en-US" w:eastAsia="zh-CN"/>
              </w:rPr>
              <w:t>砂纸</w:t>
            </w:r>
            <w:r>
              <w:rPr>
                <w:rFonts w:hint="eastAsia" w:ascii="Times New Roman" w:hAnsi="Times New Roman" w:eastAsia="宋体" w:cs="Times New Roman"/>
                <w:color w:val="auto"/>
                <w:shd w:val="clear" w:color="auto" w:fill="FFFFFF"/>
              </w:rPr>
              <w:t>进行补充打磨</w:t>
            </w:r>
            <w:r>
              <w:rPr>
                <w:rFonts w:hint="eastAsia" w:ascii="Times New Roman" w:hAnsi="Times New Roman" w:eastAsia="宋体" w:cs="Times New Roman"/>
                <w:color w:val="auto"/>
                <w:shd w:val="clear" w:color="auto" w:fill="FFFFFF"/>
                <w:lang w:eastAsia="zh-CN"/>
              </w:rPr>
              <w:t>。</w:t>
            </w:r>
            <w:r>
              <w:rPr>
                <w:rFonts w:hint="eastAsia" w:ascii="Times New Roman" w:hAnsi="Times New Roman" w:eastAsia="宋体" w:cs="Times New Roman"/>
                <w:color w:val="auto"/>
                <w:shd w:val="clear" w:color="auto" w:fill="FFFFFF"/>
                <w:lang w:val="en-US" w:eastAsia="zh-CN"/>
              </w:rPr>
              <w:t>该工序</w:t>
            </w:r>
            <w:r>
              <w:rPr>
                <w:rFonts w:hint="eastAsia" w:ascii="Times New Roman" w:hAnsi="Times New Roman" w:eastAsia="宋体" w:cs="Times New Roman"/>
                <w:color w:val="auto"/>
                <w:shd w:val="clear" w:color="auto" w:fill="FFFFFF"/>
              </w:rPr>
              <w:t>将产生</w:t>
            </w:r>
            <w:r>
              <w:rPr>
                <w:rFonts w:hint="eastAsia" w:ascii="Times New Roman" w:hAnsi="Times New Roman" w:eastAsia="宋体" w:cs="Times New Roman"/>
                <w:color w:val="auto"/>
                <w:shd w:val="clear" w:color="auto" w:fill="FFFFFF"/>
                <w:lang w:val="en-US" w:eastAsia="zh-CN"/>
              </w:rPr>
              <w:t>抛光打磨粉尘G</w:t>
            </w:r>
            <w:r>
              <w:rPr>
                <w:rFonts w:hint="eastAsia" w:cs="Times New Roman"/>
                <w:color w:val="auto"/>
                <w:shd w:val="clear" w:color="auto" w:fill="FFFFFF"/>
                <w:lang w:val="en-US" w:eastAsia="zh-CN"/>
              </w:rPr>
              <w:t>6</w:t>
            </w:r>
            <w:r>
              <w:rPr>
                <w:rFonts w:hint="eastAsia" w:ascii="Times New Roman" w:hAnsi="Times New Roman" w:eastAsia="宋体" w:cs="Times New Roman"/>
                <w:color w:val="auto"/>
                <w:shd w:val="clear" w:color="auto" w:fill="FFFFFF"/>
                <w:lang w:val="en-US" w:eastAsia="zh-CN"/>
              </w:rPr>
              <w:t>、废铝</w:t>
            </w:r>
            <w:r>
              <w:rPr>
                <w:rFonts w:hint="eastAsia" w:ascii="Times New Roman" w:hAnsi="Times New Roman" w:eastAsia="宋体" w:cs="Times New Roman"/>
                <w:color w:val="auto"/>
                <w:shd w:val="clear" w:color="auto" w:fill="FFFFFF"/>
              </w:rPr>
              <w:t>屑</w:t>
            </w:r>
            <w:r>
              <w:rPr>
                <w:rFonts w:hint="eastAsia" w:ascii="Times New Roman" w:hAnsi="Times New Roman" w:eastAsia="宋体" w:cs="Times New Roman"/>
                <w:color w:val="auto"/>
                <w:shd w:val="clear" w:color="auto" w:fill="FFFFFF"/>
                <w:lang w:val="en-US" w:eastAsia="zh-CN"/>
              </w:rPr>
              <w:t>S7、废砂</w:t>
            </w:r>
            <w:r>
              <w:rPr>
                <w:rFonts w:hint="eastAsia" w:cs="Times New Roman"/>
                <w:color w:val="auto"/>
                <w:shd w:val="clear" w:color="auto" w:fill="FFFFFF"/>
                <w:lang w:val="en-US" w:eastAsia="zh-CN"/>
              </w:rPr>
              <w:t>纸</w:t>
            </w:r>
            <w:r>
              <w:rPr>
                <w:rFonts w:hint="eastAsia" w:ascii="Times New Roman" w:hAnsi="Times New Roman" w:eastAsia="宋体" w:cs="Times New Roman"/>
                <w:color w:val="auto"/>
                <w:shd w:val="clear" w:color="auto" w:fill="FFFFFF"/>
                <w:lang w:val="en-US" w:eastAsia="zh-CN"/>
              </w:rPr>
              <w:t>S8</w:t>
            </w:r>
            <w:r>
              <w:rPr>
                <w:rFonts w:hint="eastAsia" w:ascii="Times New Roman" w:hAnsi="Times New Roman" w:eastAsia="宋体" w:cs="Times New Roman"/>
                <w:color w:val="auto"/>
                <w:shd w:val="clear" w:color="auto" w:fill="FFFFFF"/>
              </w:rPr>
              <w:t>和噪声；</w:t>
            </w:r>
          </w:p>
          <w:p w14:paraId="0341398A">
            <w:pPr>
              <w:autoSpaceDE w:val="0"/>
              <w:autoSpaceDN w:val="0"/>
              <w:adjustRightInd w:val="0"/>
              <w:snapToGrid w:val="0"/>
              <w:spacing w:line="360" w:lineRule="auto"/>
              <w:ind w:firstLine="480"/>
              <w:jc w:val="left"/>
              <w:rPr>
                <w:rFonts w:hint="default"/>
                <w:bCs/>
                <w:color w:val="auto"/>
                <w:lang w:val="en-US" w:eastAsia="zh-CN"/>
              </w:rPr>
            </w:pPr>
            <w:r>
              <w:rPr>
                <w:rFonts w:hint="eastAsia" w:ascii="Times New Roman" w:hAnsi="Times New Roman" w:eastAsia="宋体" w:cs="Times New Roman"/>
                <w:color w:val="auto"/>
                <w:shd w:val="clear" w:color="auto" w:fill="FFFFFF"/>
                <w:lang w:val="en-US" w:eastAsia="zh-CN"/>
              </w:rPr>
              <w:t>（9）清洗：利</w:t>
            </w:r>
            <w:r>
              <w:rPr>
                <w:rFonts w:hint="eastAsia" w:ascii="Times New Roman" w:hAnsi="Times New Roman" w:eastAsia="宋体" w:cs="Times New Roman"/>
                <w:color w:val="auto"/>
                <w:shd w:val="clear" w:color="auto" w:fill="FFFFFF"/>
              </w:rPr>
              <w:t>用超声波清洗机对成品铸件进行清洗后包装入库</w:t>
            </w:r>
            <w:r>
              <w:rPr>
                <w:rFonts w:hint="eastAsia" w:ascii="Times New Roman" w:hAnsi="Times New Roman" w:eastAsia="宋体" w:cs="Times New Roman"/>
                <w:color w:val="auto"/>
                <w:shd w:val="clear" w:color="auto" w:fill="FFFFFF"/>
                <w:lang w:eastAsia="zh-CN"/>
              </w:rPr>
              <w:t>，</w:t>
            </w:r>
            <w:r>
              <w:rPr>
                <w:rFonts w:hint="eastAsia" w:ascii="Times New Roman" w:hAnsi="Times New Roman" w:eastAsia="宋体" w:cs="Times New Roman"/>
                <w:color w:val="auto"/>
                <w:shd w:val="clear" w:color="auto" w:fill="FFFFFF"/>
                <w:lang w:val="en-US" w:eastAsia="zh-CN"/>
              </w:rPr>
              <w:t>超声波清洗水循环使用，定期补充，定期作为危废处理。该工序会产生S9废液。</w:t>
            </w:r>
            <w:r>
              <w:rPr>
                <w:rFonts w:hint="eastAsia" w:cs="Times New Roman"/>
                <w:color w:val="auto"/>
                <w:shd w:val="clear" w:color="auto" w:fill="FFFFFF"/>
                <w:lang w:val="en-US" w:eastAsia="zh-CN"/>
              </w:rPr>
              <w:t xml:space="preserve"> </w:t>
            </w:r>
          </w:p>
          <w:p w14:paraId="42668DBB">
            <w:pPr>
              <w:spacing w:line="360" w:lineRule="auto"/>
              <w:ind w:firstLine="420" w:firstLineChars="200"/>
              <w:rPr>
                <w:rFonts w:hint="eastAsia" w:eastAsia="宋体"/>
                <w:bCs/>
                <w:color w:val="auto"/>
                <w:lang w:eastAsia="zh-CN"/>
              </w:rPr>
            </w:pPr>
            <w:r>
              <w:rPr>
                <w:rStyle w:val="31"/>
                <w:rFonts w:hint="eastAsia"/>
                <w:color w:val="auto"/>
                <w:szCs w:val="21"/>
              </w:rPr>
              <w:t>项目生产工艺排污情况见下表</w:t>
            </w:r>
            <w:r>
              <w:rPr>
                <w:rStyle w:val="31"/>
                <w:rFonts w:hint="eastAsia"/>
                <w:color w:val="auto"/>
                <w:szCs w:val="21"/>
                <w:lang w:eastAsia="zh-CN"/>
              </w:rPr>
              <w:t>。</w:t>
            </w:r>
          </w:p>
          <w:p w14:paraId="268FD719">
            <w:pPr>
              <w:spacing w:line="460" w:lineRule="exact"/>
              <w:jc w:val="center"/>
              <w:rPr>
                <w:rFonts w:ascii="Times New Roman" w:hAnsi="Times New Roman"/>
                <w:b/>
                <w:bCs/>
                <w:color w:val="auto"/>
                <w:szCs w:val="21"/>
              </w:rPr>
            </w:pPr>
            <w:r>
              <w:rPr>
                <w:rFonts w:ascii="Times New Roman" w:hAnsi="Times New Roman"/>
                <w:b/>
                <w:bCs/>
                <w:color w:val="auto"/>
                <w:szCs w:val="21"/>
              </w:rPr>
              <w:t>表2-</w:t>
            </w:r>
            <w:r>
              <w:rPr>
                <w:rFonts w:hint="eastAsia"/>
                <w:b/>
                <w:bCs/>
                <w:color w:val="auto"/>
                <w:szCs w:val="21"/>
                <w:lang w:val="en-US" w:eastAsia="zh-CN"/>
              </w:rPr>
              <w:t>8</w:t>
            </w:r>
            <w:r>
              <w:rPr>
                <w:rFonts w:ascii="Times New Roman" w:hAnsi="Times New Roman"/>
                <w:b/>
                <w:bCs/>
                <w:color w:val="auto"/>
                <w:szCs w:val="21"/>
              </w:rPr>
              <w:t xml:space="preserve"> 本项目产污情况一览表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665"/>
              <w:gridCol w:w="1392"/>
              <w:gridCol w:w="1736"/>
              <w:gridCol w:w="1543"/>
              <w:gridCol w:w="2228"/>
            </w:tblGrid>
            <w:tr w14:paraId="3192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42" w:type="pct"/>
                  <w:noWrap w:val="0"/>
                  <w:tcMar>
                    <w:left w:w="28" w:type="dxa"/>
                    <w:right w:w="28" w:type="dxa"/>
                  </w:tcMar>
                  <w:vAlign w:val="center"/>
                </w:tcPr>
                <w:p w14:paraId="4CAC76CC">
                  <w:pPr>
                    <w:spacing w:before="100" w:beforeAutospacing="1" w:after="100" w:afterAutospacing="1" w:line="320" w:lineRule="exact"/>
                    <w:jc w:val="center"/>
                    <w:rPr>
                      <w:rFonts w:ascii="Times New Roman" w:hAnsi="Times New Roman"/>
                      <w:b/>
                      <w:bCs/>
                      <w:color w:val="auto"/>
                      <w:szCs w:val="21"/>
                    </w:rPr>
                  </w:pPr>
                  <w:r>
                    <w:rPr>
                      <w:rFonts w:ascii="Times New Roman" w:hAnsi="Times New Roman"/>
                      <w:b/>
                      <w:bCs/>
                      <w:color w:val="auto"/>
                      <w:szCs w:val="21"/>
                    </w:rPr>
                    <w:t>污染因素</w:t>
                  </w:r>
                </w:p>
              </w:tc>
              <w:tc>
                <w:tcPr>
                  <w:tcW w:w="391" w:type="pct"/>
                  <w:noWrap w:val="0"/>
                  <w:tcMar>
                    <w:left w:w="28" w:type="dxa"/>
                    <w:right w:w="28" w:type="dxa"/>
                  </w:tcMar>
                  <w:vAlign w:val="center"/>
                </w:tcPr>
                <w:p w14:paraId="25CC1696">
                  <w:pPr>
                    <w:spacing w:before="100" w:beforeAutospacing="1" w:after="100" w:afterAutospacing="1" w:line="320" w:lineRule="exact"/>
                    <w:jc w:val="center"/>
                    <w:rPr>
                      <w:rFonts w:ascii="Times New Roman" w:hAnsi="Times New Roman"/>
                      <w:b/>
                      <w:bCs/>
                      <w:color w:val="auto"/>
                      <w:szCs w:val="21"/>
                    </w:rPr>
                  </w:pPr>
                  <w:r>
                    <w:rPr>
                      <w:rFonts w:ascii="Times New Roman" w:hAnsi="Times New Roman"/>
                      <w:b/>
                      <w:bCs/>
                      <w:color w:val="auto"/>
                      <w:szCs w:val="21"/>
                    </w:rPr>
                    <w:t>编号</w:t>
                  </w:r>
                </w:p>
              </w:tc>
              <w:tc>
                <w:tcPr>
                  <w:tcW w:w="820" w:type="pct"/>
                  <w:noWrap w:val="0"/>
                  <w:tcMar>
                    <w:left w:w="28" w:type="dxa"/>
                    <w:right w:w="28" w:type="dxa"/>
                  </w:tcMar>
                  <w:vAlign w:val="center"/>
                </w:tcPr>
                <w:p w14:paraId="227A22BB">
                  <w:pPr>
                    <w:spacing w:before="100" w:beforeAutospacing="1" w:after="100" w:afterAutospacing="1" w:line="320" w:lineRule="exact"/>
                    <w:jc w:val="center"/>
                    <w:rPr>
                      <w:rFonts w:ascii="Times New Roman" w:hAnsi="Times New Roman"/>
                      <w:b/>
                      <w:bCs/>
                      <w:color w:val="auto"/>
                      <w:szCs w:val="21"/>
                    </w:rPr>
                  </w:pPr>
                  <w:r>
                    <w:rPr>
                      <w:rFonts w:ascii="Times New Roman" w:hAnsi="Times New Roman"/>
                      <w:b/>
                      <w:bCs/>
                      <w:color w:val="auto"/>
                      <w:szCs w:val="21"/>
                    </w:rPr>
                    <w:t>名称</w:t>
                  </w:r>
                </w:p>
              </w:tc>
              <w:tc>
                <w:tcPr>
                  <w:tcW w:w="1023" w:type="pct"/>
                  <w:noWrap w:val="0"/>
                  <w:tcMar>
                    <w:left w:w="28" w:type="dxa"/>
                    <w:right w:w="28" w:type="dxa"/>
                  </w:tcMar>
                  <w:vAlign w:val="center"/>
                </w:tcPr>
                <w:p w14:paraId="0FD752EE">
                  <w:pPr>
                    <w:spacing w:before="100" w:beforeAutospacing="1" w:after="100" w:afterAutospacing="1" w:line="320" w:lineRule="exact"/>
                    <w:jc w:val="center"/>
                    <w:rPr>
                      <w:rFonts w:ascii="Times New Roman" w:hAnsi="Times New Roman"/>
                      <w:b/>
                      <w:bCs/>
                      <w:color w:val="auto"/>
                      <w:szCs w:val="21"/>
                    </w:rPr>
                  </w:pPr>
                  <w:r>
                    <w:rPr>
                      <w:rFonts w:ascii="Times New Roman" w:hAnsi="Times New Roman"/>
                      <w:b/>
                      <w:bCs/>
                      <w:color w:val="auto"/>
                      <w:szCs w:val="21"/>
                    </w:rPr>
                    <w:t>产污环节</w:t>
                  </w:r>
                </w:p>
              </w:tc>
              <w:tc>
                <w:tcPr>
                  <w:tcW w:w="909" w:type="pct"/>
                  <w:noWrap w:val="0"/>
                  <w:tcMar>
                    <w:left w:w="28" w:type="dxa"/>
                    <w:right w:w="28" w:type="dxa"/>
                  </w:tcMar>
                  <w:vAlign w:val="center"/>
                </w:tcPr>
                <w:p w14:paraId="1E6108D7">
                  <w:pPr>
                    <w:spacing w:before="100" w:beforeAutospacing="1" w:after="100" w:afterAutospacing="1" w:line="320" w:lineRule="exact"/>
                    <w:jc w:val="center"/>
                    <w:rPr>
                      <w:rFonts w:ascii="Times New Roman" w:hAnsi="Times New Roman"/>
                      <w:b/>
                      <w:bCs/>
                      <w:color w:val="auto"/>
                      <w:szCs w:val="21"/>
                    </w:rPr>
                  </w:pPr>
                  <w:r>
                    <w:rPr>
                      <w:rFonts w:ascii="Times New Roman" w:hAnsi="Times New Roman"/>
                      <w:b/>
                      <w:color w:val="auto"/>
                      <w:szCs w:val="21"/>
                    </w:rPr>
                    <w:t>排放特性/性质</w:t>
                  </w:r>
                </w:p>
              </w:tc>
              <w:tc>
                <w:tcPr>
                  <w:tcW w:w="1312" w:type="pct"/>
                  <w:noWrap w:val="0"/>
                  <w:tcMar>
                    <w:left w:w="28" w:type="dxa"/>
                    <w:right w:w="28" w:type="dxa"/>
                  </w:tcMar>
                  <w:vAlign w:val="center"/>
                </w:tcPr>
                <w:p w14:paraId="4B031DF6">
                  <w:pPr>
                    <w:spacing w:before="100" w:beforeAutospacing="1" w:after="100" w:afterAutospacing="1" w:line="320" w:lineRule="exact"/>
                    <w:jc w:val="center"/>
                    <w:rPr>
                      <w:rFonts w:ascii="Times New Roman" w:hAnsi="Times New Roman"/>
                      <w:b/>
                      <w:bCs/>
                      <w:color w:val="auto"/>
                      <w:szCs w:val="21"/>
                    </w:rPr>
                  </w:pPr>
                  <w:r>
                    <w:rPr>
                      <w:rFonts w:ascii="Times New Roman" w:hAnsi="Times New Roman"/>
                      <w:b/>
                      <w:bCs/>
                      <w:color w:val="auto"/>
                      <w:szCs w:val="21"/>
                    </w:rPr>
                    <w:t>污染因子</w:t>
                  </w:r>
                </w:p>
              </w:tc>
            </w:tr>
            <w:tr w14:paraId="1D100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42" w:type="pct"/>
                  <w:vMerge w:val="restart"/>
                  <w:noWrap w:val="0"/>
                  <w:tcMar>
                    <w:left w:w="28" w:type="dxa"/>
                    <w:right w:w="28" w:type="dxa"/>
                  </w:tcMar>
                  <w:vAlign w:val="center"/>
                </w:tcPr>
                <w:p w14:paraId="5E48FDC8">
                  <w:pPr>
                    <w:spacing w:before="100" w:beforeAutospacing="1" w:after="100" w:afterAutospacing="1" w:line="320" w:lineRule="exact"/>
                    <w:jc w:val="center"/>
                    <w:rPr>
                      <w:rFonts w:ascii="Times New Roman" w:hAnsi="Times New Roman"/>
                      <w:color w:val="auto"/>
                      <w:szCs w:val="21"/>
                    </w:rPr>
                  </w:pPr>
                  <w:r>
                    <w:rPr>
                      <w:rFonts w:ascii="Times New Roman" w:hAnsi="Times New Roman"/>
                      <w:color w:val="auto"/>
                      <w:szCs w:val="21"/>
                    </w:rPr>
                    <w:t>废气</w:t>
                  </w:r>
                </w:p>
              </w:tc>
              <w:tc>
                <w:tcPr>
                  <w:tcW w:w="391" w:type="pct"/>
                  <w:noWrap w:val="0"/>
                  <w:tcMar>
                    <w:left w:w="28" w:type="dxa"/>
                    <w:right w:w="28" w:type="dxa"/>
                  </w:tcMar>
                  <w:vAlign w:val="center"/>
                </w:tcPr>
                <w:p w14:paraId="5B75C57C">
                  <w:pPr>
                    <w:jc w:val="center"/>
                    <w:rPr>
                      <w:rFonts w:hint="default" w:ascii="Times New Roman" w:hAnsi="Times New Roman" w:eastAsia="宋体"/>
                      <w:color w:val="auto"/>
                      <w:szCs w:val="21"/>
                      <w:lang w:val="en-US" w:eastAsia="zh-CN"/>
                    </w:rPr>
                  </w:pPr>
                  <w:r>
                    <w:rPr>
                      <w:rFonts w:hint="eastAsia"/>
                      <w:color w:val="auto"/>
                      <w:szCs w:val="21"/>
                      <w:lang w:val="en-US" w:eastAsia="zh-CN"/>
                    </w:rPr>
                    <w:t>G1</w:t>
                  </w:r>
                </w:p>
              </w:tc>
              <w:tc>
                <w:tcPr>
                  <w:tcW w:w="820" w:type="pct"/>
                  <w:noWrap w:val="0"/>
                  <w:tcMar>
                    <w:left w:w="28" w:type="dxa"/>
                    <w:right w:w="28" w:type="dxa"/>
                  </w:tcMar>
                  <w:vAlign w:val="center"/>
                </w:tcPr>
                <w:p w14:paraId="2BF97C5B">
                  <w:pPr>
                    <w:jc w:val="center"/>
                    <w:rPr>
                      <w:rFonts w:hint="default" w:ascii="Times New Roman" w:hAnsi="Times New Roman" w:eastAsia="宋体"/>
                      <w:color w:val="auto"/>
                      <w:szCs w:val="21"/>
                      <w:lang w:val="en-US" w:eastAsia="zh-CN"/>
                    </w:rPr>
                  </w:pPr>
                  <w:r>
                    <w:rPr>
                      <w:rFonts w:hint="eastAsia"/>
                      <w:color w:val="auto"/>
                      <w:szCs w:val="21"/>
                      <w:lang w:val="en-US" w:eastAsia="zh-CN"/>
                    </w:rPr>
                    <w:t>制芯废气</w:t>
                  </w:r>
                </w:p>
              </w:tc>
              <w:tc>
                <w:tcPr>
                  <w:tcW w:w="1023" w:type="pct"/>
                  <w:noWrap w:val="0"/>
                  <w:tcMar>
                    <w:left w:w="28" w:type="dxa"/>
                    <w:right w:w="28" w:type="dxa"/>
                  </w:tcMar>
                  <w:vAlign w:val="center"/>
                </w:tcPr>
                <w:p w14:paraId="774DF909">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制芯</w:t>
                  </w:r>
                </w:p>
              </w:tc>
              <w:tc>
                <w:tcPr>
                  <w:tcW w:w="909" w:type="pct"/>
                  <w:noWrap w:val="0"/>
                  <w:tcMar>
                    <w:left w:w="28" w:type="dxa"/>
                    <w:right w:w="28" w:type="dxa"/>
                  </w:tcMar>
                  <w:vAlign w:val="center"/>
                </w:tcPr>
                <w:p w14:paraId="0B1DCC0C">
                  <w:pPr>
                    <w:jc w:val="center"/>
                    <w:rPr>
                      <w:rFonts w:hint="default" w:ascii="Times New Roman" w:hAnsi="Times New Roman" w:eastAsia="宋体"/>
                      <w:color w:val="auto"/>
                      <w:szCs w:val="21"/>
                      <w:lang w:val="en-US" w:eastAsia="zh-CN"/>
                    </w:rPr>
                  </w:pPr>
                  <w:r>
                    <w:rPr>
                      <w:rFonts w:hint="eastAsia"/>
                      <w:color w:val="auto"/>
                      <w:szCs w:val="21"/>
                      <w:lang w:val="en-US" w:eastAsia="zh-CN"/>
                    </w:rPr>
                    <w:t>有组织</w:t>
                  </w:r>
                </w:p>
              </w:tc>
              <w:tc>
                <w:tcPr>
                  <w:tcW w:w="1312" w:type="pct"/>
                  <w:noWrap w:val="0"/>
                  <w:tcMar>
                    <w:left w:w="28" w:type="dxa"/>
                    <w:right w:w="28" w:type="dxa"/>
                  </w:tcMar>
                  <w:vAlign w:val="center"/>
                </w:tcPr>
                <w:p w14:paraId="014DDAE5">
                  <w:pPr>
                    <w:jc w:val="center"/>
                    <w:rPr>
                      <w:rFonts w:hint="default" w:ascii="Times New Roman" w:hAnsi="Times New Roman" w:eastAsia="宋体"/>
                      <w:color w:val="auto"/>
                      <w:szCs w:val="21"/>
                      <w:lang w:val="en-US" w:eastAsia="zh-CN"/>
                    </w:rPr>
                  </w:pPr>
                  <w:r>
                    <w:rPr>
                      <w:rFonts w:hint="eastAsia"/>
                      <w:color w:val="auto"/>
                      <w:szCs w:val="21"/>
                      <w:lang w:val="en-US" w:eastAsia="zh-CN"/>
                    </w:rPr>
                    <w:t>颗粒物、非甲烷总烃、甲醛、苯酚</w:t>
                  </w:r>
                </w:p>
              </w:tc>
            </w:tr>
            <w:tr w14:paraId="3D72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42" w:type="pct"/>
                  <w:vMerge w:val="continue"/>
                  <w:noWrap w:val="0"/>
                  <w:tcMar>
                    <w:left w:w="28" w:type="dxa"/>
                    <w:right w:w="28" w:type="dxa"/>
                  </w:tcMar>
                  <w:vAlign w:val="center"/>
                </w:tcPr>
                <w:p w14:paraId="35AA91D7">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02830A36">
                  <w:pPr>
                    <w:jc w:val="center"/>
                    <w:rPr>
                      <w:rFonts w:hint="default" w:ascii="Times New Roman" w:hAnsi="Times New Roman" w:eastAsia="宋体"/>
                      <w:color w:val="auto"/>
                      <w:szCs w:val="21"/>
                      <w:lang w:val="en-US" w:eastAsia="zh-CN"/>
                    </w:rPr>
                  </w:pPr>
                  <w:r>
                    <w:rPr>
                      <w:rFonts w:hint="eastAsia"/>
                      <w:color w:val="auto"/>
                      <w:szCs w:val="21"/>
                      <w:lang w:val="en-US" w:eastAsia="zh-CN"/>
                    </w:rPr>
                    <w:t>G2</w:t>
                  </w:r>
                </w:p>
              </w:tc>
              <w:tc>
                <w:tcPr>
                  <w:tcW w:w="820" w:type="pct"/>
                  <w:noWrap w:val="0"/>
                  <w:tcMar>
                    <w:left w:w="28" w:type="dxa"/>
                    <w:right w:w="28" w:type="dxa"/>
                  </w:tcMar>
                  <w:vAlign w:val="center"/>
                </w:tcPr>
                <w:p w14:paraId="7920E714">
                  <w:pPr>
                    <w:jc w:val="center"/>
                    <w:rPr>
                      <w:rFonts w:hint="default" w:ascii="Times New Roman" w:hAnsi="Times New Roman" w:eastAsia="宋体"/>
                      <w:color w:val="auto"/>
                      <w:szCs w:val="21"/>
                      <w:lang w:val="en-US" w:eastAsia="zh-CN"/>
                    </w:rPr>
                  </w:pPr>
                  <w:r>
                    <w:rPr>
                      <w:rFonts w:hint="eastAsia"/>
                      <w:color w:val="auto"/>
                      <w:szCs w:val="21"/>
                      <w:lang w:val="en-US" w:eastAsia="zh-CN"/>
                    </w:rPr>
                    <w:t>熔融废气</w:t>
                  </w:r>
                </w:p>
              </w:tc>
              <w:tc>
                <w:tcPr>
                  <w:tcW w:w="1023" w:type="pct"/>
                  <w:noWrap w:val="0"/>
                  <w:tcMar>
                    <w:left w:w="28" w:type="dxa"/>
                    <w:right w:w="28" w:type="dxa"/>
                  </w:tcMar>
                  <w:vAlign w:val="center"/>
                </w:tcPr>
                <w:p w14:paraId="70052BD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熔融</w:t>
                  </w:r>
                </w:p>
              </w:tc>
              <w:tc>
                <w:tcPr>
                  <w:tcW w:w="909" w:type="pct"/>
                  <w:noWrap w:val="0"/>
                  <w:tcMar>
                    <w:left w:w="28" w:type="dxa"/>
                    <w:right w:w="28" w:type="dxa"/>
                  </w:tcMar>
                  <w:vAlign w:val="center"/>
                </w:tcPr>
                <w:p w14:paraId="3DA3EB71">
                  <w:pPr>
                    <w:jc w:val="center"/>
                    <w:rPr>
                      <w:rFonts w:hint="default" w:ascii="Times New Roman" w:hAnsi="Times New Roman" w:eastAsia="宋体"/>
                      <w:color w:val="auto"/>
                      <w:szCs w:val="21"/>
                      <w:lang w:val="en-US" w:eastAsia="zh-CN"/>
                    </w:rPr>
                  </w:pPr>
                  <w:r>
                    <w:rPr>
                      <w:rFonts w:hint="eastAsia"/>
                      <w:color w:val="auto"/>
                      <w:szCs w:val="21"/>
                      <w:lang w:val="en-US" w:eastAsia="zh-CN"/>
                    </w:rPr>
                    <w:t>有组织</w:t>
                  </w:r>
                </w:p>
              </w:tc>
              <w:tc>
                <w:tcPr>
                  <w:tcW w:w="1312" w:type="pct"/>
                  <w:noWrap w:val="0"/>
                  <w:tcMar>
                    <w:left w:w="28" w:type="dxa"/>
                    <w:right w:w="28" w:type="dxa"/>
                  </w:tcMar>
                  <w:vAlign w:val="center"/>
                </w:tcPr>
                <w:p w14:paraId="77AE6447">
                  <w:pPr>
                    <w:jc w:val="center"/>
                    <w:rPr>
                      <w:rFonts w:hint="default" w:ascii="Times New Roman" w:hAnsi="Times New Roman" w:eastAsia="宋体"/>
                      <w:color w:val="auto"/>
                      <w:szCs w:val="21"/>
                      <w:lang w:val="en-US" w:eastAsia="zh-CN"/>
                    </w:rPr>
                  </w:pPr>
                  <w:r>
                    <w:rPr>
                      <w:rFonts w:hint="eastAsia"/>
                      <w:color w:val="auto"/>
                      <w:szCs w:val="21"/>
                      <w:lang w:val="en-US" w:eastAsia="zh-CN"/>
                    </w:rPr>
                    <w:t>颗粒物</w:t>
                  </w:r>
                </w:p>
              </w:tc>
            </w:tr>
            <w:tr w14:paraId="1874F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42" w:type="pct"/>
                  <w:vMerge w:val="continue"/>
                  <w:noWrap w:val="0"/>
                  <w:tcMar>
                    <w:left w:w="28" w:type="dxa"/>
                    <w:right w:w="28" w:type="dxa"/>
                  </w:tcMar>
                  <w:vAlign w:val="center"/>
                </w:tcPr>
                <w:p w14:paraId="7666CE06">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5F9BFB3F">
                  <w:pPr>
                    <w:jc w:val="center"/>
                    <w:rPr>
                      <w:rFonts w:hint="default" w:ascii="Times New Roman" w:hAnsi="Times New Roman" w:eastAsia="宋体"/>
                      <w:color w:val="auto"/>
                      <w:szCs w:val="21"/>
                      <w:lang w:val="en-US" w:eastAsia="zh-CN"/>
                    </w:rPr>
                  </w:pPr>
                  <w:r>
                    <w:rPr>
                      <w:rFonts w:hint="eastAsia"/>
                      <w:color w:val="auto"/>
                      <w:szCs w:val="21"/>
                      <w:lang w:val="en-US" w:eastAsia="zh-CN"/>
                    </w:rPr>
                    <w:t>G3</w:t>
                  </w:r>
                </w:p>
              </w:tc>
              <w:tc>
                <w:tcPr>
                  <w:tcW w:w="820" w:type="pct"/>
                  <w:noWrap w:val="0"/>
                  <w:tcMar>
                    <w:left w:w="28" w:type="dxa"/>
                    <w:right w:w="28" w:type="dxa"/>
                  </w:tcMar>
                  <w:vAlign w:val="center"/>
                </w:tcPr>
                <w:p w14:paraId="30644B5A">
                  <w:pPr>
                    <w:jc w:val="center"/>
                    <w:rPr>
                      <w:rFonts w:hint="default" w:ascii="Times New Roman" w:hAnsi="Times New Roman" w:eastAsia="宋体"/>
                      <w:color w:val="auto"/>
                      <w:szCs w:val="21"/>
                      <w:lang w:val="en-US" w:eastAsia="zh-CN"/>
                    </w:rPr>
                  </w:pPr>
                  <w:r>
                    <w:rPr>
                      <w:rFonts w:hint="eastAsia"/>
                      <w:color w:val="auto"/>
                      <w:szCs w:val="21"/>
                      <w:lang w:val="en-US" w:eastAsia="zh-CN"/>
                    </w:rPr>
                    <w:t>浇注废气</w:t>
                  </w:r>
                </w:p>
              </w:tc>
              <w:tc>
                <w:tcPr>
                  <w:tcW w:w="1023" w:type="pct"/>
                  <w:noWrap w:val="0"/>
                  <w:tcMar>
                    <w:left w:w="28" w:type="dxa"/>
                    <w:right w:w="28" w:type="dxa"/>
                  </w:tcMar>
                  <w:vAlign w:val="center"/>
                </w:tcPr>
                <w:p w14:paraId="00303C4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浇注</w:t>
                  </w:r>
                </w:p>
              </w:tc>
              <w:tc>
                <w:tcPr>
                  <w:tcW w:w="909" w:type="pct"/>
                  <w:noWrap w:val="0"/>
                  <w:tcMar>
                    <w:left w:w="28" w:type="dxa"/>
                    <w:right w:w="28" w:type="dxa"/>
                  </w:tcMar>
                  <w:vAlign w:val="center"/>
                </w:tcPr>
                <w:p w14:paraId="4BC371B0">
                  <w:pPr>
                    <w:jc w:val="center"/>
                    <w:rPr>
                      <w:rFonts w:hint="eastAsia" w:ascii="Times New Roman" w:hAnsi="Times New Roman" w:eastAsia="宋体"/>
                      <w:color w:val="auto"/>
                      <w:szCs w:val="21"/>
                      <w:lang w:val="en-US" w:eastAsia="zh-CN"/>
                    </w:rPr>
                  </w:pPr>
                  <w:r>
                    <w:rPr>
                      <w:rFonts w:hint="eastAsia"/>
                      <w:color w:val="auto"/>
                      <w:szCs w:val="21"/>
                      <w:lang w:val="en-US" w:eastAsia="zh-CN"/>
                    </w:rPr>
                    <w:t>有组织</w:t>
                  </w:r>
                </w:p>
              </w:tc>
              <w:tc>
                <w:tcPr>
                  <w:tcW w:w="1312" w:type="pct"/>
                  <w:noWrap w:val="0"/>
                  <w:tcMar>
                    <w:left w:w="28" w:type="dxa"/>
                    <w:right w:w="28" w:type="dxa"/>
                  </w:tcMar>
                  <w:vAlign w:val="center"/>
                </w:tcPr>
                <w:p w14:paraId="01AAE788">
                  <w:pPr>
                    <w:jc w:val="center"/>
                    <w:rPr>
                      <w:rFonts w:hint="default" w:ascii="Times New Roman" w:hAnsi="Times New Roman" w:eastAsia="宋体"/>
                      <w:color w:val="auto"/>
                      <w:szCs w:val="21"/>
                      <w:lang w:val="en-US" w:eastAsia="zh-CN"/>
                    </w:rPr>
                  </w:pPr>
                  <w:r>
                    <w:rPr>
                      <w:rFonts w:hint="eastAsia"/>
                      <w:color w:val="auto"/>
                      <w:szCs w:val="21"/>
                      <w:lang w:val="en-US" w:eastAsia="zh-CN"/>
                    </w:rPr>
                    <w:t>颗粒物、非甲烷总烃、甲醛、苯酚</w:t>
                  </w:r>
                </w:p>
              </w:tc>
            </w:tr>
            <w:tr w14:paraId="6AC69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42" w:type="pct"/>
                  <w:vMerge w:val="continue"/>
                  <w:noWrap w:val="0"/>
                  <w:tcMar>
                    <w:left w:w="28" w:type="dxa"/>
                    <w:right w:w="28" w:type="dxa"/>
                  </w:tcMar>
                  <w:vAlign w:val="center"/>
                </w:tcPr>
                <w:p w14:paraId="72D7CA0C">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7CB7C772">
                  <w:pPr>
                    <w:jc w:val="center"/>
                    <w:rPr>
                      <w:rFonts w:hint="default"/>
                      <w:color w:val="auto"/>
                      <w:szCs w:val="21"/>
                      <w:lang w:val="en-US" w:eastAsia="zh-CN"/>
                    </w:rPr>
                  </w:pPr>
                  <w:r>
                    <w:rPr>
                      <w:rFonts w:hint="eastAsia"/>
                      <w:color w:val="auto"/>
                      <w:szCs w:val="21"/>
                      <w:lang w:val="en-US" w:eastAsia="zh-CN"/>
                    </w:rPr>
                    <w:t>G4</w:t>
                  </w:r>
                </w:p>
              </w:tc>
              <w:tc>
                <w:tcPr>
                  <w:tcW w:w="820" w:type="pct"/>
                  <w:noWrap w:val="0"/>
                  <w:tcMar>
                    <w:left w:w="28" w:type="dxa"/>
                    <w:right w:w="28" w:type="dxa"/>
                  </w:tcMar>
                  <w:vAlign w:val="center"/>
                </w:tcPr>
                <w:p w14:paraId="343A76E5">
                  <w:pPr>
                    <w:jc w:val="center"/>
                    <w:rPr>
                      <w:rFonts w:hint="default"/>
                      <w:color w:val="auto"/>
                      <w:szCs w:val="21"/>
                      <w:lang w:val="en-US" w:eastAsia="zh-CN"/>
                    </w:rPr>
                  </w:pPr>
                  <w:r>
                    <w:rPr>
                      <w:rFonts w:hint="eastAsia"/>
                      <w:color w:val="auto"/>
                      <w:szCs w:val="21"/>
                      <w:lang w:val="en-US" w:eastAsia="zh-CN"/>
                    </w:rPr>
                    <w:t>落砂废气</w:t>
                  </w:r>
                </w:p>
              </w:tc>
              <w:tc>
                <w:tcPr>
                  <w:tcW w:w="1023" w:type="pct"/>
                  <w:noWrap w:val="0"/>
                  <w:tcMar>
                    <w:left w:w="28" w:type="dxa"/>
                    <w:right w:w="28" w:type="dxa"/>
                  </w:tcMar>
                  <w:vAlign w:val="center"/>
                </w:tcPr>
                <w:p w14:paraId="1C879AB5">
                  <w:pPr>
                    <w:jc w:val="center"/>
                    <w:rPr>
                      <w:rFonts w:hint="default"/>
                      <w:color w:val="auto"/>
                      <w:szCs w:val="21"/>
                      <w:lang w:val="en-US" w:eastAsia="zh-CN"/>
                    </w:rPr>
                  </w:pPr>
                  <w:r>
                    <w:rPr>
                      <w:rFonts w:hint="eastAsia"/>
                      <w:color w:val="auto"/>
                      <w:szCs w:val="21"/>
                      <w:lang w:val="en-US" w:eastAsia="zh-CN"/>
                    </w:rPr>
                    <w:t>落砂</w:t>
                  </w:r>
                </w:p>
              </w:tc>
              <w:tc>
                <w:tcPr>
                  <w:tcW w:w="909" w:type="pct"/>
                  <w:noWrap w:val="0"/>
                  <w:tcMar>
                    <w:left w:w="28" w:type="dxa"/>
                    <w:right w:w="28" w:type="dxa"/>
                  </w:tcMar>
                  <w:vAlign w:val="center"/>
                </w:tcPr>
                <w:p w14:paraId="330C23D7">
                  <w:pPr>
                    <w:jc w:val="center"/>
                    <w:rPr>
                      <w:rFonts w:hint="eastAsia" w:ascii="Times New Roman" w:hAnsi="Times New Roman" w:eastAsia="宋体"/>
                      <w:color w:val="auto"/>
                      <w:szCs w:val="21"/>
                      <w:lang w:val="en-US" w:eastAsia="zh-CN"/>
                    </w:rPr>
                  </w:pPr>
                  <w:r>
                    <w:rPr>
                      <w:rFonts w:hint="eastAsia"/>
                      <w:color w:val="auto"/>
                      <w:szCs w:val="21"/>
                      <w:lang w:val="en-US" w:eastAsia="zh-CN"/>
                    </w:rPr>
                    <w:t>有组织</w:t>
                  </w:r>
                </w:p>
              </w:tc>
              <w:tc>
                <w:tcPr>
                  <w:tcW w:w="1312" w:type="pct"/>
                  <w:noWrap w:val="0"/>
                  <w:tcMar>
                    <w:left w:w="28" w:type="dxa"/>
                    <w:right w:w="28" w:type="dxa"/>
                  </w:tcMar>
                  <w:vAlign w:val="center"/>
                </w:tcPr>
                <w:p w14:paraId="7887E8F2">
                  <w:pPr>
                    <w:jc w:val="center"/>
                    <w:rPr>
                      <w:rFonts w:hint="default" w:ascii="Times New Roman" w:hAnsi="Times New Roman" w:eastAsia="宋体"/>
                      <w:color w:val="auto"/>
                      <w:szCs w:val="21"/>
                      <w:lang w:val="en-US" w:eastAsia="zh-CN"/>
                    </w:rPr>
                  </w:pPr>
                  <w:r>
                    <w:rPr>
                      <w:rFonts w:hint="eastAsia"/>
                      <w:color w:val="auto"/>
                      <w:szCs w:val="21"/>
                      <w:lang w:val="en-US" w:eastAsia="zh-CN"/>
                    </w:rPr>
                    <w:t>颗粒物</w:t>
                  </w:r>
                </w:p>
              </w:tc>
            </w:tr>
            <w:tr w14:paraId="55500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42" w:type="pct"/>
                  <w:vMerge w:val="continue"/>
                  <w:noWrap w:val="0"/>
                  <w:tcMar>
                    <w:left w:w="28" w:type="dxa"/>
                    <w:right w:w="28" w:type="dxa"/>
                  </w:tcMar>
                  <w:vAlign w:val="center"/>
                </w:tcPr>
                <w:p w14:paraId="0502DCD3">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2CC9C9B8">
                  <w:pPr>
                    <w:jc w:val="center"/>
                    <w:rPr>
                      <w:rFonts w:hint="default"/>
                      <w:color w:val="auto"/>
                      <w:szCs w:val="21"/>
                      <w:lang w:val="en-US" w:eastAsia="zh-CN"/>
                    </w:rPr>
                  </w:pPr>
                  <w:r>
                    <w:rPr>
                      <w:rFonts w:hint="eastAsia"/>
                      <w:color w:val="auto"/>
                      <w:szCs w:val="21"/>
                      <w:lang w:val="en-US" w:eastAsia="zh-CN"/>
                    </w:rPr>
                    <w:t>G5</w:t>
                  </w:r>
                </w:p>
              </w:tc>
              <w:tc>
                <w:tcPr>
                  <w:tcW w:w="820" w:type="pct"/>
                  <w:noWrap w:val="0"/>
                  <w:tcMar>
                    <w:left w:w="28" w:type="dxa"/>
                    <w:right w:w="28" w:type="dxa"/>
                  </w:tcMar>
                  <w:vAlign w:val="center"/>
                </w:tcPr>
                <w:p w14:paraId="14296BF9">
                  <w:pPr>
                    <w:jc w:val="center"/>
                    <w:rPr>
                      <w:rFonts w:hint="default"/>
                      <w:color w:val="auto"/>
                      <w:szCs w:val="21"/>
                      <w:lang w:val="en-US" w:eastAsia="zh-CN"/>
                    </w:rPr>
                  </w:pPr>
                  <w:r>
                    <w:rPr>
                      <w:rFonts w:hint="eastAsia"/>
                      <w:color w:val="auto"/>
                      <w:szCs w:val="21"/>
                      <w:lang w:val="en-US" w:eastAsia="zh-CN"/>
                    </w:rPr>
                    <w:t>精加工废气</w:t>
                  </w:r>
                </w:p>
              </w:tc>
              <w:tc>
                <w:tcPr>
                  <w:tcW w:w="1023" w:type="pct"/>
                  <w:noWrap w:val="0"/>
                  <w:tcMar>
                    <w:left w:w="28" w:type="dxa"/>
                    <w:right w:w="28" w:type="dxa"/>
                  </w:tcMar>
                  <w:vAlign w:val="center"/>
                </w:tcPr>
                <w:p w14:paraId="37BE636D">
                  <w:pPr>
                    <w:jc w:val="center"/>
                    <w:rPr>
                      <w:rFonts w:hint="default"/>
                      <w:color w:val="auto"/>
                      <w:szCs w:val="21"/>
                      <w:lang w:val="en-US" w:eastAsia="zh-CN"/>
                    </w:rPr>
                  </w:pPr>
                  <w:r>
                    <w:rPr>
                      <w:rFonts w:hint="eastAsia"/>
                      <w:color w:val="auto"/>
                      <w:szCs w:val="21"/>
                      <w:lang w:val="en-US" w:eastAsia="zh-CN"/>
                    </w:rPr>
                    <w:t>精加工</w:t>
                  </w:r>
                </w:p>
              </w:tc>
              <w:tc>
                <w:tcPr>
                  <w:tcW w:w="909" w:type="pct"/>
                  <w:noWrap w:val="0"/>
                  <w:tcMar>
                    <w:left w:w="28" w:type="dxa"/>
                    <w:right w:w="28" w:type="dxa"/>
                  </w:tcMar>
                  <w:vAlign w:val="center"/>
                </w:tcPr>
                <w:p w14:paraId="6C9F5B5F">
                  <w:pPr>
                    <w:jc w:val="center"/>
                    <w:rPr>
                      <w:rFonts w:hint="default" w:ascii="Times New Roman" w:hAnsi="Times New Roman" w:eastAsia="宋体"/>
                      <w:color w:val="auto"/>
                      <w:szCs w:val="21"/>
                      <w:lang w:val="en-US" w:eastAsia="zh-CN"/>
                    </w:rPr>
                  </w:pPr>
                  <w:r>
                    <w:rPr>
                      <w:rFonts w:hint="eastAsia"/>
                      <w:color w:val="auto"/>
                      <w:szCs w:val="21"/>
                      <w:lang w:val="en-US" w:eastAsia="zh-CN"/>
                    </w:rPr>
                    <w:t>无组织</w:t>
                  </w:r>
                </w:p>
              </w:tc>
              <w:tc>
                <w:tcPr>
                  <w:tcW w:w="1312" w:type="pct"/>
                  <w:noWrap w:val="0"/>
                  <w:tcMar>
                    <w:left w:w="28" w:type="dxa"/>
                    <w:right w:w="28" w:type="dxa"/>
                  </w:tcMar>
                  <w:vAlign w:val="center"/>
                </w:tcPr>
                <w:p w14:paraId="3397B380">
                  <w:pPr>
                    <w:jc w:val="center"/>
                    <w:rPr>
                      <w:rFonts w:hint="eastAsia" w:ascii="Times New Roman" w:hAnsi="Times New Roman" w:eastAsia="宋体"/>
                      <w:color w:val="auto"/>
                      <w:szCs w:val="21"/>
                      <w:lang w:val="en-US" w:eastAsia="zh-CN"/>
                    </w:rPr>
                  </w:pPr>
                  <w:r>
                    <w:rPr>
                      <w:rFonts w:hint="eastAsia"/>
                      <w:color w:val="auto"/>
                      <w:szCs w:val="21"/>
                      <w:lang w:val="en-US" w:eastAsia="zh-CN"/>
                    </w:rPr>
                    <w:t>非甲烷总烃</w:t>
                  </w:r>
                </w:p>
              </w:tc>
            </w:tr>
            <w:tr w14:paraId="44A3E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42" w:type="pct"/>
                  <w:vMerge w:val="continue"/>
                  <w:noWrap w:val="0"/>
                  <w:tcMar>
                    <w:left w:w="28" w:type="dxa"/>
                    <w:right w:w="28" w:type="dxa"/>
                  </w:tcMar>
                  <w:vAlign w:val="center"/>
                </w:tcPr>
                <w:p w14:paraId="7E5A6826">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780E2E1F">
                  <w:pPr>
                    <w:jc w:val="center"/>
                    <w:rPr>
                      <w:rFonts w:hint="eastAsia"/>
                      <w:color w:val="auto"/>
                      <w:szCs w:val="21"/>
                      <w:lang w:val="en-US" w:eastAsia="zh-CN"/>
                    </w:rPr>
                  </w:pPr>
                  <w:r>
                    <w:rPr>
                      <w:rFonts w:hint="eastAsia"/>
                      <w:color w:val="auto"/>
                      <w:szCs w:val="21"/>
                      <w:lang w:val="en-US" w:eastAsia="zh-CN"/>
                    </w:rPr>
                    <w:t>G6</w:t>
                  </w:r>
                </w:p>
              </w:tc>
              <w:tc>
                <w:tcPr>
                  <w:tcW w:w="820" w:type="pct"/>
                  <w:noWrap w:val="0"/>
                  <w:tcMar>
                    <w:left w:w="28" w:type="dxa"/>
                    <w:right w:w="28" w:type="dxa"/>
                  </w:tcMar>
                  <w:vAlign w:val="center"/>
                </w:tcPr>
                <w:p w14:paraId="3571239C">
                  <w:pPr>
                    <w:jc w:val="center"/>
                    <w:rPr>
                      <w:rFonts w:hint="default"/>
                      <w:color w:val="auto"/>
                      <w:szCs w:val="21"/>
                      <w:lang w:val="en-US" w:eastAsia="zh-CN"/>
                    </w:rPr>
                  </w:pPr>
                  <w:r>
                    <w:rPr>
                      <w:rFonts w:hint="eastAsia"/>
                      <w:color w:val="auto"/>
                      <w:szCs w:val="21"/>
                      <w:lang w:val="en-US" w:eastAsia="zh-CN"/>
                    </w:rPr>
                    <w:t>打磨抛光废气</w:t>
                  </w:r>
                </w:p>
              </w:tc>
              <w:tc>
                <w:tcPr>
                  <w:tcW w:w="1023" w:type="pct"/>
                  <w:noWrap w:val="0"/>
                  <w:tcMar>
                    <w:left w:w="28" w:type="dxa"/>
                    <w:right w:w="28" w:type="dxa"/>
                  </w:tcMar>
                  <w:vAlign w:val="center"/>
                </w:tcPr>
                <w:p w14:paraId="64B7A667">
                  <w:pPr>
                    <w:jc w:val="center"/>
                    <w:rPr>
                      <w:rFonts w:hint="default"/>
                      <w:color w:val="auto"/>
                      <w:szCs w:val="21"/>
                      <w:lang w:val="en-US" w:eastAsia="zh-CN"/>
                    </w:rPr>
                  </w:pPr>
                  <w:r>
                    <w:rPr>
                      <w:rFonts w:hint="eastAsia"/>
                      <w:color w:val="auto"/>
                      <w:szCs w:val="21"/>
                      <w:lang w:val="en-US" w:eastAsia="zh-CN"/>
                    </w:rPr>
                    <w:t>打磨抛光</w:t>
                  </w:r>
                </w:p>
              </w:tc>
              <w:tc>
                <w:tcPr>
                  <w:tcW w:w="909" w:type="pct"/>
                  <w:noWrap w:val="0"/>
                  <w:tcMar>
                    <w:left w:w="28" w:type="dxa"/>
                    <w:right w:w="28" w:type="dxa"/>
                  </w:tcMar>
                  <w:vAlign w:val="center"/>
                </w:tcPr>
                <w:p w14:paraId="36CFAA6B">
                  <w:pPr>
                    <w:jc w:val="center"/>
                    <w:rPr>
                      <w:rFonts w:hint="eastAsia" w:ascii="Times New Roman" w:hAnsi="Times New Roman" w:eastAsia="宋体"/>
                      <w:color w:val="auto"/>
                      <w:szCs w:val="21"/>
                      <w:lang w:val="en-US" w:eastAsia="zh-CN"/>
                    </w:rPr>
                  </w:pPr>
                  <w:r>
                    <w:rPr>
                      <w:rFonts w:hint="eastAsia"/>
                      <w:color w:val="auto"/>
                      <w:szCs w:val="21"/>
                      <w:lang w:val="en-US" w:eastAsia="zh-CN"/>
                    </w:rPr>
                    <w:t>有组织</w:t>
                  </w:r>
                </w:p>
              </w:tc>
              <w:tc>
                <w:tcPr>
                  <w:tcW w:w="1312" w:type="pct"/>
                  <w:noWrap w:val="0"/>
                  <w:tcMar>
                    <w:left w:w="28" w:type="dxa"/>
                    <w:right w:w="28" w:type="dxa"/>
                  </w:tcMar>
                  <w:vAlign w:val="center"/>
                </w:tcPr>
                <w:p w14:paraId="507B9D30">
                  <w:pPr>
                    <w:jc w:val="center"/>
                    <w:rPr>
                      <w:rFonts w:ascii="Times New Roman" w:hAnsi="Times New Roman"/>
                      <w:color w:val="auto"/>
                      <w:szCs w:val="21"/>
                    </w:rPr>
                  </w:pPr>
                  <w:r>
                    <w:rPr>
                      <w:color w:val="auto"/>
                      <w:szCs w:val="21"/>
                    </w:rPr>
                    <w:t>颗粒物</w:t>
                  </w:r>
                </w:p>
              </w:tc>
            </w:tr>
            <w:tr w14:paraId="69996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42" w:type="pct"/>
                  <w:noWrap w:val="0"/>
                  <w:tcMar>
                    <w:left w:w="28" w:type="dxa"/>
                    <w:right w:w="28" w:type="dxa"/>
                  </w:tcMar>
                  <w:vAlign w:val="center"/>
                </w:tcPr>
                <w:p w14:paraId="546AAF9C">
                  <w:pPr>
                    <w:spacing w:before="100" w:beforeAutospacing="1" w:after="100" w:afterAutospacing="1" w:line="320" w:lineRule="exact"/>
                    <w:jc w:val="center"/>
                    <w:rPr>
                      <w:rFonts w:ascii="Times New Roman" w:hAnsi="Times New Roman"/>
                      <w:color w:val="auto"/>
                      <w:szCs w:val="21"/>
                    </w:rPr>
                  </w:pPr>
                  <w:r>
                    <w:rPr>
                      <w:rFonts w:ascii="Times New Roman" w:hAnsi="Times New Roman"/>
                      <w:color w:val="auto"/>
                      <w:szCs w:val="21"/>
                    </w:rPr>
                    <w:t>废水</w:t>
                  </w:r>
                </w:p>
              </w:tc>
              <w:tc>
                <w:tcPr>
                  <w:tcW w:w="391" w:type="pct"/>
                  <w:noWrap w:val="0"/>
                  <w:tcMar>
                    <w:left w:w="28" w:type="dxa"/>
                    <w:right w:w="28" w:type="dxa"/>
                  </w:tcMar>
                  <w:vAlign w:val="center"/>
                </w:tcPr>
                <w:p w14:paraId="375C473F">
                  <w:pPr>
                    <w:jc w:val="center"/>
                    <w:rPr>
                      <w:rFonts w:hint="default"/>
                      <w:color w:val="auto"/>
                      <w:szCs w:val="21"/>
                      <w:lang w:val="en-US" w:eastAsia="zh-CN"/>
                    </w:rPr>
                  </w:pPr>
                  <w:r>
                    <w:rPr>
                      <w:rFonts w:hint="eastAsia"/>
                      <w:color w:val="auto"/>
                      <w:szCs w:val="21"/>
                      <w:lang w:val="en-US" w:eastAsia="zh-CN"/>
                    </w:rPr>
                    <w:t>W1</w:t>
                  </w:r>
                </w:p>
              </w:tc>
              <w:tc>
                <w:tcPr>
                  <w:tcW w:w="820" w:type="pct"/>
                  <w:noWrap w:val="0"/>
                  <w:tcMar>
                    <w:left w:w="28" w:type="dxa"/>
                    <w:right w:w="28" w:type="dxa"/>
                  </w:tcMar>
                  <w:vAlign w:val="center"/>
                </w:tcPr>
                <w:p w14:paraId="111E113E">
                  <w:pPr>
                    <w:jc w:val="center"/>
                    <w:rPr>
                      <w:rFonts w:hint="default"/>
                      <w:color w:val="auto"/>
                      <w:szCs w:val="21"/>
                      <w:lang w:val="en-US" w:eastAsia="zh-CN"/>
                    </w:rPr>
                  </w:pPr>
                  <w:r>
                    <w:rPr>
                      <w:rFonts w:hint="eastAsia"/>
                      <w:color w:val="auto"/>
                      <w:szCs w:val="21"/>
                      <w:lang w:val="en-US" w:eastAsia="zh-CN"/>
                    </w:rPr>
                    <w:t>生活污水</w:t>
                  </w:r>
                </w:p>
              </w:tc>
              <w:tc>
                <w:tcPr>
                  <w:tcW w:w="1023" w:type="pct"/>
                  <w:noWrap w:val="0"/>
                  <w:tcMar>
                    <w:left w:w="28" w:type="dxa"/>
                    <w:right w:w="28" w:type="dxa"/>
                  </w:tcMar>
                  <w:vAlign w:val="center"/>
                </w:tcPr>
                <w:p w14:paraId="7CEF4496">
                  <w:pPr>
                    <w:jc w:val="center"/>
                    <w:rPr>
                      <w:rFonts w:hint="default"/>
                      <w:color w:val="auto"/>
                      <w:szCs w:val="21"/>
                      <w:lang w:val="en-US" w:eastAsia="zh-CN"/>
                    </w:rPr>
                  </w:pPr>
                  <w:r>
                    <w:rPr>
                      <w:rFonts w:hint="eastAsia"/>
                      <w:color w:val="auto"/>
                      <w:szCs w:val="21"/>
                      <w:lang w:val="en-US" w:eastAsia="zh-CN"/>
                    </w:rPr>
                    <w:t>职工生活</w:t>
                  </w:r>
                </w:p>
              </w:tc>
              <w:tc>
                <w:tcPr>
                  <w:tcW w:w="909" w:type="pct"/>
                  <w:noWrap w:val="0"/>
                  <w:tcMar>
                    <w:left w:w="28" w:type="dxa"/>
                    <w:right w:w="28" w:type="dxa"/>
                  </w:tcMar>
                  <w:vAlign w:val="center"/>
                </w:tcPr>
                <w:p w14:paraId="05459415">
                  <w:pPr>
                    <w:spacing w:beforeAutospacing="1" w:afterAutospacing="1" w:line="320" w:lineRule="exact"/>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间歇排放</w:t>
                  </w:r>
                </w:p>
              </w:tc>
              <w:tc>
                <w:tcPr>
                  <w:tcW w:w="1312" w:type="pct"/>
                  <w:noWrap w:val="0"/>
                  <w:tcMar>
                    <w:left w:w="28" w:type="dxa"/>
                    <w:right w:w="28" w:type="dxa"/>
                  </w:tcMar>
                  <w:vAlign w:val="center"/>
                </w:tcPr>
                <w:p w14:paraId="4606EE67">
                  <w:pPr>
                    <w:jc w:val="center"/>
                    <w:rPr>
                      <w:rFonts w:hint="default" w:ascii="Times New Roman" w:hAnsi="Times New Roman" w:eastAsia="宋体"/>
                      <w:bCs/>
                      <w:color w:val="auto"/>
                      <w:szCs w:val="21"/>
                      <w:lang w:val="en-US" w:eastAsia="zh-CN"/>
                    </w:rPr>
                  </w:pPr>
                  <w:r>
                    <w:rPr>
                      <w:color w:val="auto"/>
                    </w:rPr>
                    <w:t>COD</w:t>
                  </w:r>
                  <w:r>
                    <w:rPr>
                      <w:rFonts w:hint="eastAsia"/>
                      <w:color w:val="auto"/>
                    </w:rPr>
                    <w:t>、</w:t>
                  </w:r>
                  <w:r>
                    <w:rPr>
                      <w:color w:val="auto"/>
                    </w:rPr>
                    <w:t>SS</w:t>
                  </w:r>
                  <w:r>
                    <w:rPr>
                      <w:rFonts w:hint="eastAsia"/>
                      <w:color w:val="auto"/>
                    </w:rPr>
                    <w:t>、氨氮、总磷</w:t>
                  </w:r>
                  <w:r>
                    <w:rPr>
                      <w:rFonts w:hint="eastAsia"/>
                      <w:color w:val="auto"/>
                      <w:lang w:val="en-US" w:eastAsia="zh-CN"/>
                    </w:rPr>
                    <w:t>等</w:t>
                  </w:r>
                </w:p>
              </w:tc>
            </w:tr>
            <w:tr w14:paraId="2A0B0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42" w:type="pct"/>
                  <w:vMerge w:val="restart"/>
                  <w:noWrap w:val="0"/>
                  <w:tcMar>
                    <w:left w:w="28" w:type="dxa"/>
                    <w:right w:w="28" w:type="dxa"/>
                  </w:tcMar>
                  <w:vAlign w:val="center"/>
                </w:tcPr>
                <w:p w14:paraId="17EEE23A">
                  <w:pPr>
                    <w:spacing w:line="320" w:lineRule="exact"/>
                    <w:jc w:val="center"/>
                    <w:rPr>
                      <w:rFonts w:ascii="Times New Roman" w:hAnsi="Times New Roman"/>
                      <w:color w:val="auto"/>
                      <w:szCs w:val="21"/>
                    </w:rPr>
                  </w:pPr>
                  <w:r>
                    <w:rPr>
                      <w:rFonts w:ascii="Times New Roman" w:hAnsi="Times New Roman"/>
                      <w:color w:val="auto"/>
                      <w:szCs w:val="21"/>
                    </w:rPr>
                    <w:t>固废</w:t>
                  </w:r>
                </w:p>
              </w:tc>
              <w:tc>
                <w:tcPr>
                  <w:tcW w:w="391" w:type="pct"/>
                  <w:noWrap w:val="0"/>
                  <w:tcMar>
                    <w:left w:w="28" w:type="dxa"/>
                    <w:right w:w="28" w:type="dxa"/>
                  </w:tcMar>
                  <w:vAlign w:val="center"/>
                </w:tcPr>
                <w:p w14:paraId="018C3E57">
                  <w:pPr>
                    <w:jc w:val="center"/>
                    <w:rPr>
                      <w:rFonts w:hint="default" w:ascii="Times New Roman" w:hAnsi="Times New Roman" w:eastAsia="宋体"/>
                      <w:color w:val="auto"/>
                      <w:szCs w:val="21"/>
                      <w:lang w:val="en-US" w:eastAsia="zh-CN"/>
                    </w:rPr>
                  </w:pPr>
                  <w:r>
                    <w:rPr>
                      <w:rFonts w:ascii="Times New Roman" w:hAnsi="Times New Roman"/>
                      <w:color w:val="auto"/>
                      <w:szCs w:val="21"/>
                    </w:rPr>
                    <w:t>S</w:t>
                  </w:r>
                  <w:r>
                    <w:rPr>
                      <w:rFonts w:hint="eastAsia"/>
                      <w:color w:val="auto"/>
                      <w:szCs w:val="21"/>
                      <w:lang w:val="en-US" w:eastAsia="zh-CN"/>
                    </w:rPr>
                    <w:t>1</w:t>
                  </w:r>
                </w:p>
              </w:tc>
              <w:tc>
                <w:tcPr>
                  <w:tcW w:w="820" w:type="pct"/>
                  <w:noWrap w:val="0"/>
                  <w:tcMar>
                    <w:left w:w="28" w:type="dxa"/>
                    <w:right w:w="28" w:type="dxa"/>
                  </w:tcMar>
                  <w:vAlign w:val="center"/>
                </w:tcPr>
                <w:p w14:paraId="72B7F18F">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炉渣</w:t>
                  </w:r>
                </w:p>
              </w:tc>
              <w:tc>
                <w:tcPr>
                  <w:tcW w:w="1023" w:type="pct"/>
                  <w:noWrap w:val="0"/>
                  <w:tcMar>
                    <w:left w:w="28" w:type="dxa"/>
                    <w:right w:w="28" w:type="dxa"/>
                  </w:tcMar>
                  <w:vAlign w:val="center"/>
                </w:tcPr>
                <w:p w14:paraId="523781C0">
                  <w:pPr>
                    <w:jc w:val="center"/>
                    <w:rPr>
                      <w:rFonts w:hint="default" w:ascii="Times New Roman" w:hAnsi="Times New Roman" w:eastAsia="宋体"/>
                      <w:color w:val="auto"/>
                      <w:szCs w:val="21"/>
                      <w:lang w:val="en-US" w:eastAsia="zh-CN"/>
                    </w:rPr>
                  </w:pPr>
                  <w:r>
                    <w:rPr>
                      <w:rFonts w:hint="eastAsia"/>
                      <w:color w:val="auto"/>
                      <w:szCs w:val="21"/>
                      <w:lang w:val="en-US" w:eastAsia="zh-CN"/>
                    </w:rPr>
                    <w:t>熔融</w:t>
                  </w:r>
                </w:p>
              </w:tc>
              <w:tc>
                <w:tcPr>
                  <w:tcW w:w="909" w:type="pct"/>
                  <w:noWrap w:val="0"/>
                  <w:tcMar>
                    <w:left w:w="28" w:type="dxa"/>
                    <w:right w:w="28" w:type="dxa"/>
                  </w:tcMar>
                  <w:vAlign w:val="center"/>
                </w:tcPr>
                <w:p w14:paraId="3DD55AB7">
                  <w:pPr>
                    <w:jc w:val="center"/>
                    <w:rPr>
                      <w:rFonts w:hint="default" w:ascii="Times New Roman" w:hAnsi="Times New Roman" w:eastAsia="宋体"/>
                      <w:color w:val="auto"/>
                      <w:szCs w:val="21"/>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3EE2D3DB">
                  <w:pPr>
                    <w:jc w:val="center"/>
                    <w:rPr>
                      <w:rFonts w:hint="default" w:ascii="Times New Roman" w:hAnsi="Times New Roman" w:eastAsia="宋体"/>
                      <w:color w:val="auto"/>
                      <w:szCs w:val="21"/>
                      <w:lang w:val="en-US" w:eastAsia="zh-CN"/>
                    </w:rPr>
                  </w:pPr>
                  <w:r>
                    <w:rPr>
                      <w:rFonts w:hint="eastAsia"/>
                      <w:color w:val="auto"/>
                      <w:szCs w:val="21"/>
                      <w:lang w:val="en-US" w:eastAsia="zh-CN"/>
                    </w:rPr>
                    <w:t>炉渣</w:t>
                  </w:r>
                </w:p>
              </w:tc>
            </w:tr>
            <w:tr w14:paraId="12BAF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42" w:type="pct"/>
                  <w:vMerge w:val="continue"/>
                  <w:noWrap w:val="0"/>
                  <w:tcMar>
                    <w:left w:w="28" w:type="dxa"/>
                    <w:right w:w="28" w:type="dxa"/>
                  </w:tcMar>
                  <w:vAlign w:val="center"/>
                </w:tcPr>
                <w:p w14:paraId="20B97EB4">
                  <w:pPr>
                    <w:spacing w:before="100" w:beforeAutospacing="1" w:after="100" w:afterAutospacing="1" w:line="320" w:lineRule="exact"/>
                    <w:ind w:firstLine="420"/>
                    <w:jc w:val="center"/>
                    <w:rPr>
                      <w:rFonts w:ascii="Times New Roman" w:hAnsi="Times New Roman"/>
                      <w:color w:val="auto"/>
                      <w:szCs w:val="21"/>
                    </w:rPr>
                  </w:pPr>
                </w:p>
              </w:tc>
              <w:tc>
                <w:tcPr>
                  <w:tcW w:w="391" w:type="pct"/>
                  <w:noWrap w:val="0"/>
                  <w:tcMar>
                    <w:left w:w="28" w:type="dxa"/>
                    <w:right w:w="28" w:type="dxa"/>
                  </w:tcMar>
                  <w:vAlign w:val="center"/>
                </w:tcPr>
                <w:p w14:paraId="50CE2C6C">
                  <w:pPr>
                    <w:spacing w:before="100" w:beforeAutospacing="1" w:after="100" w:afterAutospacing="1" w:line="320" w:lineRule="exact"/>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S</w:t>
                  </w:r>
                  <w:r>
                    <w:rPr>
                      <w:rFonts w:hint="eastAsia"/>
                      <w:color w:val="auto"/>
                      <w:highlight w:val="none"/>
                      <w:lang w:val="en-US" w:eastAsia="zh-CN"/>
                    </w:rPr>
                    <w:t>2</w:t>
                  </w:r>
                </w:p>
              </w:tc>
              <w:tc>
                <w:tcPr>
                  <w:tcW w:w="820" w:type="pct"/>
                  <w:noWrap w:val="0"/>
                  <w:tcMar>
                    <w:left w:w="28" w:type="dxa"/>
                    <w:right w:w="28" w:type="dxa"/>
                  </w:tcMar>
                  <w:vAlign w:val="center"/>
                </w:tcPr>
                <w:p w14:paraId="7E00C1E6">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废砂</w:t>
                  </w:r>
                </w:p>
              </w:tc>
              <w:tc>
                <w:tcPr>
                  <w:tcW w:w="1023" w:type="pct"/>
                  <w:noWrap w:val="0"/>
                  <w:tcMar>
                    <w:left w:w="28" w:type="dxa"/>
                    <w:right w:w="28" w:type="dxa"/>
                  </w:tcMar>
                  <w:vAlign w:val="center"/>
                </w:tcPr>
                <w:p w14:paraId="6CE20A1B">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落砂</w:t>
                  </w:r>
                </w:p>
              </w:tc>
              <w:tc>
                <w:tcPr>
                  <w:tcW w:w="909" w:type="pct"/>
                  <w:noWrap w:val="0"/>
                  <w:tcMar>
                    <w:left w:w="28" w:type="dxa"/>
                    <w:right w:w="28" w:type="dxa"/>
                  </w:tcMar>
                  <w:vAlign w:val="center"/>
                </w:tcPr>
                <w:p w14:paraId="6C6504DB">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一般固废</w:t>
                  </w:r>
                </w:p>
              </w:tc>
              <w:tc>
                <w:tcPr>
                  <w:tcW w:w="1312" w:type="pct"/>
                  <w:noWrap w:val="0"/>
                  <w:tcMar>
                    <w:left w:w="28" w:type="dxa"/>
                    <w:right w:w="28" w:type="dxa"/>
                  </w:tcMar>
                  <w:vAlign w:val="center"/>
                </w:tcPr>
                <w:p w14:paraId="6860310C">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废砂</w:t>
                  </w:r>
                </w:p>
              </w:tc>
            </w:tr>
            <w:tr w14:paraId="54E28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42" w:type="pct"/>
                  <w:vMerge w:val="continue"/>
                  <w:noWrap w:val="0"/>
                  <w:tcMar>
                    <w:left w:w="28" w:type="dxa"/>
                    <w:right w:w="28" w:type="dxa"/>
                  </w:tcMar>
                  <w:vAlign w:val="center"/>
                </w:tcPr>
                <w:p w14:paraId="73D5AAFA">
                  <w:pPr>
                    <w:spacing w:before="100" w:beforeAutospacing="1" w:after="100" w:afterAutospacing="1" w:line="320" w:lineRule="exact"/>
                    <w:ind w:firstLine="420"/>
                    <w:jc w:val="center"/>
                    <w:rPr>
                      <w:rFonts w:ascii="Times New Roman" w:hAnsi="Times New Roman"/>
                      <w:color w:val="auto"/>
                      <w:szCs w:val="21"/>
                    </w:rPr>
                  </w:pPr>
                </w:p>
              </w:tc>
              <w:tc>
                <w:tcPr>
                  <w:tcW w:w="391" w:type="pct"/>
                  <w:noWrap w:val="0"/>
                  <w:tcMar>
                    <w:left w:w="28" w:type="dxa"/>
                    <w:right w:w="28" w:type="dxa"/>
                  </w:tcMar>
                  <w:vAlign w:val="center"/>
                </w:tcPr>
                <w:p w14:paraId="7076C632">
                  <w:pPr>
                    <w:spacing w:before="100" w:beforeAutospacing="1" w:after="100" w:afterAutospacing="1" w:line="320" w:lineRule="exact"/>
                    <w:jc w:val="center"/>
                    <w:rPr>
                      <w:rFonts w:hint="default" w:eastAsia="宋体"/>
                      <w:color w:val="auto"/>
                      <w:highlight w:val="none"/>
                      <w:lang w:val="en-US" w:eastAsia="zh-CN"/>
                    </w:rPr>
                  </w:pPr>
                  <w:r>
                    <w:rPr>
                      <w:rFonts w:hint="eastAsia"/>
                      <w:color w:val="auto"/>
                      <w:highlight w:val="none"/>
                      <w:lang w:val="en-US" w:eastAsia="zh-CN"/>
                    </w:rPr>
                    <w:t>S3</w:t>
                  </w:r>
                </w:p>
              </w:tc>
              <w:tc>
                <w:tcPr>
                  <w:tcW w:w="820" w:type="pct"/>
                  <w:noWrap w:val="0"/>
                  <w:tcMar>
                    <w:left w:w="28" w:type="dxa"/>
                    <w:right w:w="28" w:type="dxa"/>
                  </w:tcMar>
                  <w:vAlign w:val="center"/>
                </w:tcPr>
                <w:p w14:paraId="5147F8F8">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废液</w:t>
                  </w:r>
                </w:p>
              </w:tc>
              <w:tc>
                <w:tcPr>
                  <w:tcW w:w="1023" w:type="pct"/>
                  <w:noWrap w:val="0"/>
                  <w:tcMar>
                    <w:left w:w="28" w:type="dxa"/>
                    <w:right w:w="28" w:type="dxa"/>
                  </w:tcMar>
                  <w:vAlign w:val="center"/>
                </w:tcPr>
                <w:p w14:paraId="338E4154">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热处理</w:t>
                  </w:r>
                </w:p>
              </w:tc>
              <w:tc>
                <w:tcPr>
                  <w:tcW w:w="909" w:type="pct"/>
                  <w:noWrap w:val="0"/>
                  <w:tcMar>
                    <w:left w:w="28" w:type="dxa"/>
                    <w:right w:w="28" w:type="dxa"/>
                  </w:tcMar>
                  <w:vAlign w:val="center"/>
                </w:tcPr>
                <w:p w14:paraId="28AC0DA1">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危险固废</w:t>
                  </w:r>
                </w:p>
              </w:tc>
              <w:tc>
                <w:tcPr>
                  <w:tcW w:w="1312" w:type="pct"/>
                  <w:noWrap w:val="0"/>
                  <w:tcMar>
                    <w:left w:w="28" w:type="dxa"/>
                    <w:right w:w="28" w:type="dxa"/>
                  </w:tcMar>
                  <w:vAlign w:val="center"/>
                </w:tcPr>
                <w:p w14:paraId="6B3AC405">
                  <w:pPr>
                    <w:pStyle w:val="43"/>
                    <w:spacing w:before="100" w:beforeAutospacing="1" w:after="100" w:afterAutospacing="1"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Cs w:val="21"/>
                      <w:lang w:val="en-US" w:eastAsia="zh-CN" w:bidi="bo-CN"/>
                    </w:rPr>
                    <w:t>废液</w:t>
                  </w:r>
                </w:p>
              </w:tc>
            </w:tr>
            <w:tr w14:paraId="59768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42" w:type="pct"/>
                  <w:vMerge w:val="continue"/>
                  <w:noWrap w:val="0"/>
                  <w:tcMar>
                    <w:left w:w="28" w:type="dxa"/>
                    <w:right w:w="28" w:type="dxa"/>
                  </w:tcMar>
                  <w:vAlign w:val="center"/>
                </w:tcPr>
                <w:p w14:paraId="5466D244">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6F4C97AD">
                  <w:pPr>
                    <w:spacing w:before="100" w:beforeAutospacing="1" w:after="100" w:afterAutospacing="1" w:line="320" w:lineRule="exact"/>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S</w:t>
                  </w:r>
                  <w:r>
                    <w:rPr>
                      <w:rFonts w:hint="eastAsia"/>
                      <w:color w:val="auto"/>
                      <w:highlight w:val="none"/>
                      <w:lang w:val="en-US" w:eastAsia="zh-CN"/>
                    </w:rPr>
                    <w:t>4</w:t>
                  </w:r>
                </w:p>
              </w:tc>
              <w:tc>
                <w:tcPr>
                  <w:tcW w:w="820" w:type="pct"/>
                  <w:noWrap w:val="0"/>
                  <w:tcMar>
                    <w:left w:w="28" w:type="dxa"/>
                    <w:right w:w="28" w:type="dxa"/>
                  </w:tcMar>
                  <w:vAlign w:val="center"/>
                </w:tcPr>
                <w:p w14:paraId="0C0FA354">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废切削液</w:t>
                  </w:r>
                </w:p>
              </w:tc>
              <w:tc>
                <w:tcPr>
                  <w:tcW w:w="1023" w:type="pct"/>
                  <w:noWrap w:val="0"/>
                  <w:tcMar>
                    <w:left w:w="28" w:type="dxa"/>
                    <w:right w:w="28" w:type="dxa"/>
                  </w:tcMar>
                  <w:vAlign w:val="center"/>
                </w:tcPr>
                <w:p w14:paraId="45029751">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精加工</w:t>
                  </w:r>
                </w:p>
              </w:tc>
              <w:tc>
                <w:tcPr>
                  <w:tcW w:w="909" w:type="pct"/>
                  <w:noWrap w:val="0"/>
                  <w:tcMar>
                    <w:left w:w="28" w:type="dxa"/>
                    <w:right w:w="28" w:type="dxa"/>
                  </w:tcMar>
                  <w:vAlign w:val="center"/>
                </w:tcPr>
                <w:p w14:paraId="02C2D476">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危险固废</w:t>
                  </w:r>
                </w:p>
              </w:tc>
              <w:tc>
                <w:tcPr>
                  <w:tcW w:w="1312" w:type="pct"/>
                  <w:noWrap w:val="0"/>
                  <w:tcMar>
                    <w:left w:w="28" w:type="dxa"/>
                    <w:right w:w="28" w:type="dxa"/>
                  </w:tcMar>
                  <w:vAlign w:val="center"/>
                </w:tcPr>
                <w:p w14:paraId="096F7019">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废切削液</w:t>
                  </w:r>
                </w:p>
              </w:tc>
            </w:tr>
            <w:tr w14:paraId="1EAB6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42" w:type="pct"/>
                  <w:vMerge w:val="continue"/>
                  <w:noWrap w:val="0"/>
                  <w:tcMar>
                    <w:left w:w="28" w:type="dxa"/>
                    <w:right w:w="28" w:type="dxa"/>
                  </w:tcMar>
                  <w:vAlign w:val="center"/>
                </w:tcPr>
                <w:p w14:paraId="2D19D008">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067FCBF9">
                  <w:pPr>
                    <w:spacing w:before="100" w:beforeAutospacing="1" w:after="100" w:afterAutospacing="1" w:line="320" w:lineRule="exact"/>
                    <w:jc w:val="center"/>
                    <w:rPr>
                      <w:rFonts w:hint="eastAsia"/>
                      <w:color w:val="auto"/>
                      <w:highlight w:val="none"/>
                    </w:rPr>
                  </w:pPr>
                  <w:r>
                    <w:rPr>
                      <w:rFonts w:hint="eastAsia"/>
                      <w:color w:val="auto"/>
                      <w:highlight w:val="none"/>
                    </w:rPr>
                    <w:t>S</w:t>
                  </w:r>
                  <w:r>
                    <w:rPr>
                      <w:rFonts w:hint="eastAsia"/>
                      <w:color w:val="auto"/>
                      <w:highlight w:val="none"/>
                      <w:lang w:val="en-US" w:eastAsia="zh-CN"/>
                    </w:rPr>
                    <w:t>5</w:t>
                  </w:r>
                </w:p>
              </w:tc>
              <w:tc>
                <w:tcPr>
                  <w:tcW w:w="820" w:type="pct"/>
                  <w:noWrap w:val="0"/>
                  <w:tcMar>
                    <w:left w:w="28" w:type="dxa"/>
                    <w:right w:w="28" w:type="dxa"/>
                  </w:tcMar>
                  <w:vAlign w:val="center"/>
                </w:tcPr>
                <w:p w14:paraId="02DBD756">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含油铝屑</w:t>
                  </w:r>
                </w:p>
              </w:tc>
              <w:tc>
                <w:tcPr>
                  <w:tcW w:w="1023" w:type="pct"/>
                  <w:noWrap w:val="0"/>
                  <w:tcMar>
                    <w:left w:w="28" w:type="dxa"/>
                    <w:right w:w="28" w:type="dxa"/>
                  </w:tcMar>
                  <w:vAlign w:val="center"/>
                </w:tcPr>
                <w:p w14:paraId="278A36FB">
                  <w:pPr>
                    <w:adjustRightInd w:val="0"/>
                    <w:snapToGrid w:val="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精加工</w:t>
                  </w:r>
                </w:p>
              </w:tc>
              <w:tc>
                <w:tcPr>
                  <w:tcW w:w="909" w:type="pct"/>
                  <w:noWrap w:val="0"/>
                  <w:tcMar>
                    <w:left w:w="28" w:type="dxa"/>
                    <w:right w:w="28" w:type="dxa"/>
                  </w:tcMar>
                  <w:vAlign w:val="center"/>
                </w:tcPr>
                <w:p w14:paraId="7BA68E11">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0C2DC54E">
                  <w:pPr>
                    <w:pStyle w:val="43"/>
                    <w:spacing w:before="100" w:beforeAutospacing="1" w:after="100" w:afterAutospacing="1"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含油铝屑</w:t>
                  </w:r>
                </w:p>
              </w:tc>
            </w:tr>
            <w:tr w14:paraId="0FD69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42" w:type="pct"/>
                  <w:vMerge w:val="continue"/>
                  <w:noWrap w:val="0"/>
                  <w:tcMar>
                    <w:left w:w="28" w:type="dxa"/>
                    <w:right w:w="28" w:type="dxa"/>
                  </w:tcMar>
                  <w:vAlign w:val="center"/>
                </w:tcPr>
                <w:p w14:paraId="21CCC006">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702F5305">
                  <w:pPr>
                    <w:spacing w:before="100" w:beforeAutospacing="1" w:after="100" w:afterAutospacing="1" w:line="320" w:lineRule="exact"/>
                    <w:jc w:val="center"/>
                    <w:rPr>
                      <w:rFonts w:hint="eastAsia"/>
                      <w:color w:val="auto"/>
                      <w:highlight w:val="none"/>
                    </w:rPr>
                  </w:pPr>
                  <w:r>
                    <w:rPr>
                      <w:rFonts w:hint="eastAsia"/>
                      <w:color w:val="auto"/>
                      <w:highlight w:val="none"/>
                    </w:rPr>
                    <w:t>S</w:t>
                  </w:r>
                  <w:r>
                    <w:rPr>
                      <w:rFonts w:hint="eastAsia"/>
                      <w:color w:val="auto"/>
                      <w:highlight w:val="none"/>
                      <w:lang w:val="en-US" w:eastAsia="zh-CN"/>
                    </w:rPr>
                    <w:t>6</w:t>
                  </w:r>
                </w:p>
              </w:tc>
              <w:tc>
                <w:tcPr>
                  <w:tcW w:w="820" w:type="pct"/>
                  <w:noWrap w:val="0"/>
                  <w:tcMar>
                    <w:left w:w="28" w:type="dxa"/>
                    <w:right w:w="28" w:type="dxa"/>
                  </w:tcMar>
                  <w:vAlign w:val="center"/>
                </w:tcPr>
                <w:p w14:paraId="149E8CA9">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废包装桶</w:t>
                  </w:r>
                </w:p>
              </w:tc>
              <w:tc>
                <w:tcPr>
                  <w:tcW w:w="1023" w:type="pct"/>
                  <w:noWrap w:val="0"/>
                  <w:tcMar>
                    <w:left w:w="28" w:type="dxa"/>
                    <w:right w:w="28" w:type="dxa"/>
                  </w:tcMar>
                  <w:vAlign w:val="center"/>
                </w:tcPr>
                <w:p w14:paraId="334E4012">
                  <w:pPr>
                    <w:adjustRightInd w:val="0"/>
                    <w:snapToGrid w:val="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原料包装</w:t>
                  </w:r>
                </w:p>
              </w:tc>
              <w:tc>
                <w:tcPr>
                  <w:tcW w:w="909" w:type="pct"/>
                  <w:noWrap w:val="0"/>
                  <w:tcMar>
                    <w:left w:w="28" w:type="dxa"/>
                    <w:right w:w="28" w:type="dxa"/>
                  </w:tcMar>
                  <w:vAlign w:val="center"/>
                </w:tcPr>
                <w:p w14:paraId="20392C67">
                  <w:pPr>
                    <w:pStyle w:val="43"/>
                    <w:spacing w:before="100" w:beforeAutospacing="1" w:after="100" w:afterAutospacing="1" w:line="320" w:lineRule="exact"/>
                    <w:ind w:firstLine="0" w:firstLineChars="0"/>
                    <w:rPr>
                      <w:rFonts w:hint="eastAsia"/>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514471A5">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沾染物料的废包装桶</w:t>
                  </w:r>
                </w:p>
              </w:tc>
            </w:tr>
            <w:tr w14:paraId="4AF00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42" w:type="pct"/>
                  <w:vMerge w:val="continue"/>
                  <w:noWrap w:val="0"/>
                  <w:tcMar>
                    <w:left w:w="28" w:type="dxa"/>
                    <w:right w:w="28" w:type="dxa"/>
                  </w:tcMar>
                  <w:vAlign w:val="center"/>
                </w:tcPr>
                <w:p w14:paraId="44C58946">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09979615">
                  <w:pPr>
                    <w:spacing w:before="100" w:beforeAutospacing="1" w:after="100" w:afterAutospacing="1" w:line="320" w:lineRule="exact"/>
                    <w:jc w:val="center"/>
                    <w:rPr>
                      <w:rFonts w:hint="eastAsia"/>
                      <w:color w:val="auto"/>
                      <w:highlight w:val="none"/>
                    </w:rPr>
                  </w:pPr>
                  <w:r>
                    <w:rPr>
                      <w:rFonts w:hint="eastAsia"/>
                      <w:color w:val="auto"/>
                      <w:highlight w:val="none"/>
                    </w:rPr>
                    <w:t>S</w:t>
                  </w:r>
                  <w:r>
                    <w:rPr>
                      <w:rFonts w:hint="eastAsia"/>
                      <w:color w:val="auto"/>
                      <w:highlight w:val="none"/>
                      <w:lang w:val="en-US" w:eastAsia="zh-CN"/>
                    </w:rPr>
                    <w:t>7</w:t>
                  </w:r>
                </w:p>
              </w:tc>
              <w:tc>
                <w:tcPr>
                  <w:tcW w:w="820" w:type="pct"/>
                  <w:noWrap w:val="0"/>
                  <w:tcMar>
                    <w:left w:w="28" w:type="dxa"/>
                    <w:right w:w="28" w:type="dxa"/>
                  </w:tcMar>
                  <w:vAlign w:val="center"/>
                </w:tcPr>
                <w:p w14:paraId="76D14115">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废砂纸</w:t>
                  </w:r>
                </w:p>
              </w:tc>
              <w:tc>
                <w:tcPr>
                  <w:tcW w:w="1023" w:type="pct"/>
                  <w:noWrap w:val="0"/>
                  <w:tcMar>
                    <w:left w:w="28" w:type="dxa"/>
                    <w:right w:w="28" w:type="dxa"/>
                  </w:tcMar>
                  <w:vAlign w:val="center"/>
                </w:tcPr>
                <w:p w14:paraId="35244FF0">
                  <w:pPr>
                    <w:adjustRightInd w:val="0"/>
                    <w:snapToGrid w:val="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打磨</w:t>
                  </w:r>
                </w:p>
              </w:tc>
              <w:tc>
                <w:tcPr>
                  <w:tcW w:w="909" w:type="pct"/>
                  <w:noWrap w:val="0"/>
                  <w:tcMar>
                    <w:left w:w="28" w:type="dxa"/>
                    <w:right w:w="28" w:type="dxa"/>
                  </w:tcMar>
                  <w:vAlign w:val="center"/>
                </w:tcPr>
                <w:p w14:paraId="4E00E8B7">
                  <w:pPr>
                    <w:pStyle w:val="43"/>
                    <w:spacing w:before="100" w:beforeAutospacing="1" w:after="100" w:afterAutospacing="1" w:line="320" w:lineRule="exact"/>
                    <w:ind w:firstLine="0" w:firstLineChars="0"/>
                    <w:rPr>
                      <w:rFonts w:hint="eastAsia"/>
                      <w:color w:val="auto"/>
                      <w:lang w:val="en-US" w:eastAsia="zh-CN"/>
                    </w:rPr>
                  </w:pPr>
                  <w:r>
                    <w:rPr>
                      <w:rFonts w:hint="eastAsia"/>
                      <w:color w:val="auto"/>
                      <w:lang w:val="en-US" w:eastAsia="zh-CN"/>
                    </w:rPr>
                    <w:t>一般固废</w:t>
                  </w:r>
                </w:p>
              </w:tc>
              <w:tc>
                <w:tcPr>
                  <w:tcW w:w="1312" w:type="pct"/>
                  <w:noWrap w:val="0"/>
                  <w:tcMar>
                    <w:left w:w="28" w:type="dxa"/>
                    <w:right w:w="28" w:type="dxa"/>
                  </w:tcMar>
                  <w:vAlign w:val="center"/>
                </w:tcPr>
                <w:p w14:paraId="7AA76BD1">
                  <w:pPr>
                    <w:pStyle w:val="43"/>
                    <w:spacing w:before="100" w:beforeAutospacing="1" w:after="100" w:afterAutospacing="1"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废砂纸</w:t>
                  </w:r>
                </w:p>
              </w:tc>
            </w:tr>
            <w:tr w14:paraId="3EA10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42" w:type="pct"/>
                  <w:vMerge w:val="continue"/>
                  <w:noWrap w:val="0"/>
                  <w:tcMar>
                    <w:left w:w="28" w:type="dxa"/>
                    <w:right w:w="28" w:type="dxa"/>
                  </w:tcMar>
                  <w:vAlign w:val="center"/>
                </w:tcPr>
                <w:p w14:paraId="158C0844">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1A9EF572">
                  <w:pPr>
                    <w:spacing w:before="100" w:beforeAutospacing="1" w:after="100" w:afterAutospacing="1" w:line="320" w:lineRule="exact"/>
                    <w:jc w:val="center"/>
                    <w:rPr>
                      <w:rFonts w:hint="default" w:eastAsia="宋体"/>
                      <w:color w:val="auto"/>
                      <w:highlight w:val="none"/>
                      <w:lang w:val="en-US" w:eastAsia="zh-CN"/>
                    </w:rPr>
                  </w:pPr>
                  <w:r>
                    <w:rPr>
                      <w:rFonts w:hint="eastAsia"/>
                      <w:color w:val="auto"/>
                      <w:highlight w:val="none"/>
                      <w:lang w:val="en-US" w:eastAsia="zh-CN"/>
                    </w:rPr>
                    <w:t>S8</w:t>
                  </w:r>
                </w:p>
              </w:tc>
              <w:tc>
                <w:tcPr>
                  <w:tcW w:w="820" w:type="pct"/>
                  <w:noWrap w:val="0"/>
                  <w:tcMar>
                    <w:left w:w="28" w:type="dxa"/>
                    <w:right w:w="28" w:type="dxa"/>
                  </w:tcMar>
                  <w:vAlign w:val="center"/>
                </w:tcPr>
                <w:p w14:paraId="2AA5EAC1">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废液</w:t>
                  </w:r>
                </w:p>
              </w:tc>
              <w:tc>
                <w:tcPr>
                  <w:tcW w:w="1023" w:type="pct"/>
                  <w:noWrap w:val="0"/>
                  <w:tcMar>
                    <w:left w:w="28" w:type="dxa"/>
                    <w:right w:w="28" w:type="dxa"/>
                  </w:tcMar>
                  <w:vAlign w:val="center"/>
                </w:tcPr>
                <w:p w14:paraId="66489DC9">
                  <w:pPr>
                    <w:adjustRightInd w:val="0"/>
                    <w:snapToGrid w:val="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超声波清洗</w:t>
                  </w:r>
                </w:p>
              </w:tc>
              <w:tc>
                <w:tcPr>
                  <w:tcW w:w="909" w:type="pct"/>
                  <w:noWrap w:val="0"/>
                  <w:tcMar>
                    <w:left w:w="28" w:type="dxa"/>
                    <w:right w:w="28" w:type="dxa"/>
                  </w:tcMar>
                  <w:vAlign w:val="center"/>
                </w:tcPr>
                <w:p w14:paraId="626DF946">
                  <w:pPr>
                    <w:pStyle w:val="43"/>
                    <w:spacing w:before="100" w:beforeAutospacing="1" w:after="100" w:afterAutospacing="1" w:line="320" w:lineRule="exact"/>
                    <w:ind w:firstLine="0" w:firstLineChars="0"/>
                    <w:rPr>
                      <w:rFonts w:hint="eastAsia"/>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1CE42F1D">
                  <w:pPr>
                    <w:pStyle w:val="43"/>
                    <w:spacing w:before="100" w:beforeAutospacing="1" w:after="100" w:afterAutospacing="1" w:line="320" w:lineRule="exact"/>
                    <w:ind w:firstLine="0" w:firstLineChars="0"/>
                    <w:rPr>
                      <w:rFonts w:hint="eastAsia" w:cs="Times New Roman"/>
                      <w:color w:val="auto"/>
                      <w:kern w:val="0"/>
                      <w:sz w:val="21"/>
                      <w:szCs w:val="21"/>
                      <w:lang w:val="en-US" w:eastAsia="zh-CN" w:bidi="ar-SA"/>
                    </w:rPr>
                  </w:pPr>
                  <w:r>
                    <w:rPr>
                      <w:rFonts w:hint="eastAsia"/>
                      <w:color w:val="auto"/>
                      <w:szCs w:val="21"/>
                      <w:lang w:val="en-US" w:eastAsia="zh-CN" w:bidi="bo-CN"/>
                    </w:rPr>
                    <w:t>废液</w:t>
                  </w:r>
                </w:p>
              </w:tc>
            </w:tr>
            <w:tr w14:paraId="0CE06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42" w:type="pct"/>
                  <w:vMerge w:val="continue"/>
                  <w:noWrap w:val="0"/>
                  <w:tcMar>
                    <w:left w:w="28" w:type="dxa"/>
                    <w:right w:w="28" w:type="dxa"/>
                  </w:tcMar>
                  <w:vAlign w:val="center"/>
                </w:tcPr>
                <w:p w14:paraId="3CF2F735">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2360BDE5">
                  <w:pPr>
                    <w:spacing w:before="100" w:beforeAutospacing="1" w:after="100" w:afterAutospacing="1" w:line="320" w:lineRule="exact"/>
                    <w:jc w:val="center"/>
                    <w:rPr>
                      <w:rFonts w:hint="default"/>
                      <w:color w:val="auto"/>
                      <w:highlight w:val="none"/>
                      <w:lang w:val="en-US" w:eastAsia="zh-CN"/>
                    </w:rPr>
                  </w:pPr>
                  <w:r>
                    <w:rPr>
                      <w:rFonts w:hint="eastAsia"/>
                      <w:color w:val="auto"/>
                      <w:highlight w:val="none"/>
                      <w:lang w:val="en-US" w:eastAsia="zh-CN"/>
                    </w:rPr>
                    <w:t>--</w:t>
                  </w:r>
                </w:p>
              </w:tc>
              <w:tc>
                <w:tcPr>
                  <w:tcW w:w="820" w:type="pct"/>
                  <w:noWrap w:val="0"/>
                  <w:tcMar>
                    <w:left w:w="28" w:type="dxa"/>
                    <w:right w:w="28" w:type="dxa"/>
                  </w:tcMar>
                  <w:vAlign w:val="center"/>
                </w:tcPr>
                <w:p w14:paraId="4D2022F1">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熔融、打磨工序收集尘</w:t>
                  </w:r>
                </w:p>
              </w:tc>
              <w:tc>
                <w:tcPr>
                  <w:tcW w:w="1023" w:type="pct"/>
                  <w:noWrap w:val="0"/>
                  <w:tcMar>
                    <w:left w:w="28" w:type="dxa"/>
                    <w:right w:w="28" w:type="dxa"/>
                  </w:tcMar>
                  <w:vAlign w:val="center"/>
                </w:tcPr>
                <w:p w14:paraId="6D087296">
                  <w:pPr>
                    <w:adjustRightInd w:val="0"/>
                    <w:snapToGrid w:val="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熔融、打磨</w:t>
                  </w:r>
                </w:p>
              </w:tc>
              <w:tc>
                <w:tcPr>
                  <w:tcW w:w="909" w:type="pct"/>
                  <w:noWrap w:val="0"/>
                  <w:tcMar>
                    <w:left w:w="28" w:type="dxa"/>
                    <w:right w:w="28" w:type="dxa"/>
                  </w:tcMar>
                  <w:vAlign w:val="center"/>
                </w:tcPr>
                <w:p w14:paraId="3EABBE8E">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6E69ED39">
                  <w:pPr>
                    <w:pStyle w:val="43"/>
                    <w:spacing w:before="100" w:beforeAutospacing="1" w:after="100" w:afterAutospacing="1" w:line="320" w:lineRule="exact"/>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铝收集尘</w:t>
                  </w:r>
                </w:p>
              </w:tc>
            </w:tr>
            <w:tr w14:paraId="6FBC0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2" w:type="pct"/>
                  <w:vMerge w:val="continue"/>
                  <w:noWrap w:val="0"/>
                  <w:tcMar>
                    <w:left w:w="28" w:type="dxa"/>
                    <w:right w:w="28" w:type="dxa"/>
                  </w:tcMar>
                  <w:vAlign w:val="center"/>
                </w:tcPr>
                <w:p w14:paraId="636624BF">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5142BCAF">
                  <w:pPr>
                    <w:spacing w:before="100" w:beforeAutospacing="1" w:after="100" w:afterAutospacing="1" w:line="320" w:lineRule="exact"/>
                    <w:jc w:val="center"/>
                    <w:rPr>
                      <w:rFonts w:hint="default" w:eastAsia="宋体"/>
                      <w:color w:val="auto"/>
                      <w:highlight w:val="none"/>
                      <w:lang w:val="en-US" w:eastAsia="zh-CN"/>
                    </w:rPr>
                  </w:pPr>
                  <w:r>
                    <w:rPr>
                      <w:rFonts w:hint="eastAsia"/>
                      <w:color w:val="auto"/>
                      <w:highlight w:val="none"/>
                      <w:lang w:val="en-US" w:eastAsia="zh-CN"/>
                    </w:rPr>
                    <w:t>--</w:t>
                  </w:r>
                </w:p>
              </w:tc>
              <w:tc>
                <w:tcPr>
                  <w:tcW w:w="820" w:type="pct"/>
                  <w:noWrap w:val="0"/>
                  <w:tcMar>
                    <w:left w:w="28" w:type="dxa"/>
                    <w:right w:w="28" w:type="dxa"/>
                  </w:tcMar>
                  <w:vAlign w:val="center"/>
                </w:tcPr>
                <w:p w14:paraId="04B7E1A7">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废活性炭</w:t>
                  </w:r>
                </w:p>
              </w:tc>
              <w:tc>
                <w:tcPr>
                  <w:tcW w:w="1023" w:type="pct"/>
                  <w:noWrap w:val="0"/>
                  <w:tcMar>
                    <w:left w:w="28" w:type="dxa"/>
                    <w:right w:w="28" w:type="dxa"/>
                  </w:tcMar>
                  <w:vAlign w:val="center"/>
                </w:tcPr>
                <w:p w14:paraId="2123A9FF">
                  <w:pPr>
                    <w:adjustRightInd w:val="0"/>
                    <w:snapToGrid w:val="0"/>
                    <w:jc w:val="center"/>
                    <w:rPr>
                      <w:rFonts w:hint="default"/>
                      <w:color w:val="auto"/>
                      <w:lang w:val="en-US" w:eastAsia="zh-CN"/>
                    </w:rPr>
                  </w:pPr>
                  <w:r>
                    <w:rPr>
                      <w:rFonts w:hint="eastAsia"/>
                      <w:color w:val="auto"/>
                      <w:lang w:val="en-US" w:eastAsia="zh-CN"/>
                    </w:rPr>
                    <w:t>废气处理</w:t>
                  </w:r>
                </w:p>
              </w:tc>
              <w:tc>
                <w:tcPr>
                  <w:tcW w:w="909" w:type="pct"/>
                  <w:noWrap w:val="0"/>
                  <w:tcMar>
                    <w:left w:w="28" w:type="dxa"/>
                    <w:right w:w="28" w:type="dxa"/>
                  </w:tcMar>
                  <w:vAlign w:val="center"/>
                </w:tcPr>
                <w:p w14:paraId="424B0923">
                  <w:pPr>
                    <w:pStyle w:val="43"/>
                    <w:spacing w:before="100" w:beforeAutospacing="1" w:after="100" w:afterAutospacing="1" w:line="320" w:lineRule="exact"/>
                    <w:ind w:firstLine="0" w:firstLineChars="0"/>
                    <w:rPr>
                      <w:rFonts w:hint="eastAsia"/>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7349FD94">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活性炭、有机废气</w:t>
                  </w:r>
                </w:p>
              </w:tc>
            </w:tr>
            <w:tr w14:paraId="7EF45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2" w:type="pct"/>
                  <w:vMerge w:val="continue"/>
                  <w:noWrap w:val="0"/>
                  <w:tcMar>
                    <w:left w:w="28" w:type="dxa"/>
                    <w:right w:w="28" w:type="dxa"/>
                  </w:tcMar>
                  <w:vAlign w:val="center"/>
                </w:tcPr>
                <w:p w14:paraId="59585820">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6E9E3C55">
                  <w:pPr>
                    <w:spacing w:before="100" w:beforeAutospacing="1" w:after="100" w:afterAutospacing="1" w:line="320" w:lineRule="exact"/>
                    <w:jc w:val="center"/>
                    <w:rPr>
                      <w:rFonts w:hint="default"/>
                      <w:color w:val="auto"/>
                      <w:highlight w:val="none"/>
                      <w:lang w:val="en-US" w:eastAsia="zh-CN"/>
                    </w:rPr>
                  </w:pPr>
                  <w:r>
                    <w:rPr>
                      <w:rFonts w:hint="eastAsia"/>
                      <w:color w:val="auto"/>
                      <w:highlight w:val="none"/>
                      <w:lang w:val="en-US" w:eastAsia="zh-CN"/>
                    </w:rPr>
                    <w:t>--</w:t>
                  </w:r>
                </w:p>
              </w:tc>
              <w:tc>
                <w:tcPr>
                  <w:tcW w:w="820" w:type="pct"/>
                  <w:noWrap w:val="0"/>
                  <w:tcMar>
                    <w:left w:w="28" w:type="dxa"/>
                    <w:right w:w="28" w:type="dxa"/>
                  </w:tcMar>
                  <w:vAlign w:val="center"/>
                </w:tcPr>
                <w:p w14:paraId="0732F226">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废布袋</w:t>
                  </w:r>
                </w:p>
              </w:tc>
              <w:tc>
                <w:tcPr>
                  <w:tcW w:w="1023" w:type="pct"/>
                  <w:noWrap w:val="0"/>
                  <w:tcMar>
                    <w:left w:w="28" w:type="dxa"/>
                    <w:right w:w="28" w:type="dxa"/>
                  </w:tcMar>
                  <w:vAlign w:val="center"/>
                </w:tcPr>
                <w:p w14:paraId="0A9AB0AA">
                  <w:pPr>
                    <w:adjustRightInd w:val="0"/>
                    <w:snapToGrid w:val="0"/>
                    <w:jc w:val="center"/>
                    <w:rPr>
                      <w:rFonts w:hint="default"/>
                      <w:color w:val="auto"/>
                      <w:lang w:val="en-US" w:eastAsia="zh-CN"/>
                    </w:rPr>
                  </w:pPr>
                  <w:r>
                    <w:rPr>
                      <w:rFonts w:hint="eastAsia"/>
                      <w:color w:val="auto"/>
                      <w:lang w:val="en-US" w:eastAsia="zh-CN"/>
                    </w:rPr>
                    <w:t>废气处理</w:t>
                  </w:r>
                </w:p>
              </w:tc>
              <w:tc>
                <w:tcPr>
                  <w:tcW w:w="909" w:type="pct"/>
                  <w:noWrap w:val="0"/>
                  <w:tcMar>
                    <w:left w:w="28" w:type="dxa"/>
                    <w:right w:w="28" w:type="dxa"/>
                  </w:tcMar>
                  <w:vAlign w:val="center"/>
                </w:tcPr>
                <w:p w14:paraId="09949249">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一般固废</w:t>
                  </w:r>
                </w:p>
              </w:tc>
              <w:tc>
                <w:tcPr>
                  <w:tcW w:w="1312" w:type="pct"/>
                  <w:noWrap w:val="0"/>
                  <w:tcMar>
                    <w:left w:w="28" w:type="dxa"/>
                    <w:right w:w="28" w:type="dxa"/>
                  </w:tcMar>
                  <w:vAlign w:val="center"/>
                </w:tcPr>
                <w:p w14:paraId="037F442C">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废布袋</w:t>
                  </w:r>
                </w:p>
              </w:tc>
            </w:tr>
            <w:tr w14:paraId="62AD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2" w:type="pct"/>
                  <w:vMerge w:val="continue"/>
                  <w:noWrap w:val="0"/>
                  <w:tcMar>
                    <w:left w:w="28" w:type="dxa"/>
                    <w:right w:w="28" w:type="dxa"/>
                  </w:tcMar>
                  <w:vAlign w:val="center"/>
                </w:tcPr>
                <w:p w14:paraId="1FA863C2">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794C2BE7">
                  <w:pPr>
                    <w:spacing w:before="100" w:beforeAutospacing="1" w:after="100" w:afterAutospacing="1" w:line="320" w:lineRule="exact"/>
                    <w:jc w:val="center"/>
                    <w:rPr>
                      <w:rFonts w:hint="default"/>
                      <w:color w:val="auto"/>
                      <w:highlight w:val="none"/>
                      <w:lang w:val="en-US" w:eastAsia="zh-CN"/>
                    </w:rPr>
                  </w:pPr>
                  <w:r>
                    <w:rPr>
                      <w:rFonts w:hint="eastAsia"/>
                      <w:color w:val="auto"/>
                      <w:highlight w:val="none"/>
                      <w:lang w:val="en-US" w:eastAsia="zh-CN"/>
                    </w:rPr>
                    <w:t>--</w:t>
                  </w:r>
                </w:p>
              </w:tc>
              <w:tc>
                <w:tcPr>
                  <w:tcW w:w="820" w:type="pct"/>
                  <w:noWrap w:val="0"/>
                  <w:tcMar>
                    <w:left w:w="28" w:type="dxa"/>
                    <w:right w:w="28" w:type="dxa"/>
                  </w:tcMar>
                  <w:vAlign w:val="center"/>
                </w:tcPr>
                <w:p w14:paraId="3A5E6571">
                  <w:pPr>
                    <w:pStyle w:val="43"/>
                    <w:spacing w:before="100" w:beforeAutospacing="1" w:after="100" w:afterAutospacing="1" w:line="320" w:lineRule="exact"/>
                    <w:ind w:firstLine="0" w:firstLineChars="0"/>
                    <w:rPr>
                      <w:rFonts w:hint="eastAsia"/>
                      <w:color w:val="auto"/>
                      <w:lang w:val="en-US" w:eastAsia="zh-CN"/>
                    </w:rPr>
                  </w:pPr>
                  <w:r>
                    <w:rPr>
                      <w:rFonts w:hint="eastAsia"/>
                      <w:color w:val="auto"/>
                      <w:szCs w:val="21"/>
                      <w:lang w:val="en-US" w:eastAsia="zh-CN"/>
                    </w:rPr>
                    <w:t>沾染危废的</w:t>
                  </w:r>
                  <w:r>
                    <w:rPr>
                      <w:rFonts w:hint="eastAsia"/>
                      <w:color w:val="auto"/>
                      <w:szCs w:val="21"/>
                    </w:rPr>
                    <w:t>废布袋</w:t>
                  </w:r>
                </w:p>
              </w:tc>
              <w:tc>
                <w:tcPr>
                  <w:tcW w:w="1023" w:type="pct"/>
                  <w:noWrap w:val="0"/>
                  <w:tcMar>
                    <w:left w:w="28" w:type="dxa"/>
                    <w:right w:w="28" w:type="dxa"/>
                  </w:tcMar>
                  <w:vAlign w:val="center"/>
                </w:tcPr>
                <w:p w14:paraId="66B78B43">
                  <w:pPr>
                    <w:adjustRightInd w:val="0"/>
                    <w:snapToGrid w:val="0"/>
                    <w:jc w:val="center"/>
                    <w:rPr>
                      <w:rFonts w:hint="eastAsia"/>
                      <w:color w:val="auto"/>
                      <w:lang w:val="en-US" w:eastAsia="zh-CN"/>
                    </w:rPr>
                  </w:pPr>
                  <w:r>
                    <w:rPr>
                      <w:rFonts w:hint="eastAsia"/>
                      <w:color w:val="auto"/>
                      <w:lang w:val="en-US" w:eastAsia="zh-CN"/>
                    </w:rPr>
                    <w:t>废气处理</w:t>
                  </w:r>
                </w:p>
              </w:tc>
              <w:tc>
                <w:tcPr>
                  <w:tcW w:w="909" w:type="pct"/>
                  <w:noWrap w:val="0"/>
                  <w:tcMar>
                    <w:left w:w="28" w:type="dxa"/>
                    <w:right w:w="28" w:type="dxa"/>
                  </w:tcMar>
                  <w:vAlign w:val="center"/>
                </w:tcPr>
                <w:p w14:paraId="3B85387F">
                  <w:pPr>
                    <w:pStyle w:val="43"/>
                    <w:spacing w:before="100" w:beforeAutospacing="1" w:after="100" w:afterAutospacing="1" w:line="320" w:lineRule="exact"/>
                    <w:ind w:firstLine="0" w:firstLineChars="0"/>
                    <w:rPr>
                      <w:rFonts w:hint="eastAsia"/>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49DE7288">
                  <w:pPr>
                    <w:pStyle w:val="43"/>
                    <w:spacing w:before="100" w:beforeAutospacing="1" w:after="100" w:afterAutospacing="1" w:line="320" w:lineRule="exact"/>
                    <w:ind w:firstLine="0" w:firstLineChars="0"/>
                    <w:rPr>
                      <w:rFonts w:hint="eastAsia"/>
                      <w:color w:val="auto"/>
                      <w:lang w:val="en-US" w:eastAsia="zh-CN"/>
                    </w:rPr>
                  </w:pPr>
                  <w:r>
                    <w:rPr>
                      <w:rFonts w:hint="eastAsia"/>
                      <w:color w:val="auto"/>
                      <w:szCs w:val="21"/>
                      <w:lang w:val="en-US" w:eastAsia="zh-CN"/>
                    </w:rPr>
                    <w:t>沾染危废的</w:t>
                  </w:r>
                  <w:r>
                    <w:rPr>
                      <w:rFonts w:hint="eastAsia"/>
                      <w:color w:val="auto"/>
                      <w:szCs w:val="21"/>
                    </w:rPr>
                    <w:t>废布袋</w:t>
                  </w:r>
                </w:p>
              </w:tc>
            </w:tr>
            <w:tr w14:paraId="04E6C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2" w:type="pct"/>
                  <w:vMerge w:val="continue"/>
                  <w:noWrap w:val="0"/>
                  <w:tcMar>
                    <w:left w:w="28" w:type="dxa"/>
                    <w:right w:w="28" w:type="dxa"/>
                  </w:tcMar>
                  <w:vAlign w:val="center"/>
                </w:tcPr>
                <w:p w14:paraId="21EFF30E">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785AAE16">
                  <w:pPr>
                    <w:spacing w:before="100" w:beforeAutospacing="1" w:after="100" w:afterAutospacing="1" w:line="320" w:lineRule="exact"/>
                    <w:jc w:val="center"/>
                    <w:rPr>
                      <w:rFonts w:hint="default"/>
                      <w:color w:val="auto"/>
                      <w:highlight w:val="none"/>
                      <w:lang w:val="en-US" w:eastAsia="zh-CN"/>
                    </w:rPr>
                  </w:pPr>
                  <w:r>
                    <w:rPr>
                      <w:rFonts w:hint="eastAsia"/>
                      <w:color w:val="auto"/>
                      <w:highlight w:val="none"/>
                      <w:lang w:val="en-US" w:eastAsia="zh-CN"/>
                    </w:rPr>
                    <w:t>--</w:t>
                  </w:r>
                </w:p>
              </w:tc>
              <w:tc>
                <w:tcPr>
                  <w:tcW w:w="820" w:type="pct"/>
                  <w:noWrap w:val="0"/>
                  <w:tcMar>
                    <w:left w:w="28" w:type="dxa"/>
                    <w:right w:w="28" w:type="dxa"/>
                  </w:tcMar>
                  <w:vAlign w:val="center"/>
                </w:tcPr>
                <w:p w14:paraId="616DE5D2">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废润滑油</w:t>
                  </w:r>
                </w:p>
              </w:tc>
              <w:tc>
                <w:tcPr>
                  <w:tcW w:w="1023" w:type="pct"/>
                  <w:noWrap w:val="0"/>
                  <w:tcMar>
                    <w:left w:w="28" w:type="dxa"/>
                    <w:right w:w="28" w:type="dxa"/>
                  </w:tcMar>
                  <w:vAlign w:val="center"/>
                </w:tcPr>
                <w:p w14:paraId="12A9E379">
                  <w:pPr>
                    <w:adjustRightInd w:val="0"/>
                    <w:snapToGrid w:val="0"/>
                    <w:jc w:val="center"/>
                    <w:rPr>
                      <w:rFonts w:hint="default"/>
                      <w:color w:val="auto"/>
                      <w:lang w:val="en-US" w:eastAsia="zh-CN"/>
                    </w:rPr>
                  </w:pPr>
                  <w:r>
                    <w:rPr>
                      <w:rFonts w:hint="eastAsia"/>
                      <w:color w:val="auto"/>
                      <w:lang w:val="en-US" w:eastAsia="zh-CN"/>
                    </w:rPr>
                    <w:t>设备保养</w:t>
                  </w:r>
                </w:p>
              </w:tc>
              <w:tc>
                <w:tcPr>
                  <w:tcW w:w="909" w:type="pct"/>
                  <w:noWrap w:val="0"/>
                  <w:tcMar>
                    <w:left w:w="28" w:type="dxa"/>
                    <w:right w:w="28" w:type="dxa"/>
                  </w:tcMar>
                  <w:vAlign w:val="center"/>
                </w:tcPr>
                <w:p w14:paraId="77CEDE7B">
                  <w:pPr>
                    <w:spacing w:before="100" w:beforeAutospacing="1" w:after="100" w:afterAutospacing="1" w:line="320" w:lineRule="exact"/>
                    <w:ind w:firstLine="0" w:firstLineChars="0"/>
                    <w:jc w:val="center"/>
                    <w:rPr>
                      <w:rFonts w:hint="default"/>
                      <w:color w:val="auto"/>
                      <w:lang w:val="en-US" w:eastAsia="zh-CN"/>
                    </w:rPr>
                  </w:pPr>
                  <w:r>
                    <w:rPr>
                      <w:rFonts w:hint="eastAsia"/>
                      <w:color w:val="auto"/>
                      <w:lang w:val="en-US" w:eastAsia="zh-CN"/>
                    </w:rPr>
                    <w:t>危险固废</w:t>
                  </w:r>
                </w:p>
              </w:tc>
              <w:tc>
                <w:tcPr>
                  <w:tcW w:w="1312" w:type="pct"/>
                  <w:noWrap w:val="0"/>
                  <w:tcMar>
                    <w:left w:w="28" w:type="dxa"/>
                    <w:right w:w="28" w:type="dxa"/>
                  </w:tcMar>
                  <w:vAlign w:val="center"/>
                </w:tcPr>
                <w:p w14:paraId="2A452751">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润滑油</w:t>
                  </w:r>
                </w:p>
              </w:tc>
            </w:tr>
            <w:tr w14:paraId="56468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2" w:type="pct"/>
                  <w:vMerge w:val="continue"/>
                  <w:noWrap w:val="0"/>
                  <w:tcMar>
                    <w:left w:w="28" w:type="dxa"/>
                    <w:right w:w="28" w:type="dxa"/>
                  </w:tcMar>
                  <w:vAlign w:val="center"/>
                </w:tcPr>
                <w:p w14:paraId="5241EB11">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75A3BB4C">
                  <w:pPr>
                    <w:spacing w:before="100" w:beforeAutospacing="1" w:after="100" w:afterAutospacing="1" w:line="320" w:lineRule="exact"/>
                    <w:jc w:val="center"/>
                    <w:rPr>
                      <w:rFonts w:hint="default"/>
                      <w:color w:val="auto"/>
                      <w:highlight w:val="none"/>
                      <w:lang w:val="en-US" w:eastAsia="zh-CN"/>
                    </w:rPr>
                  </w:pPr>
                  <w:r>
                    <w:rPr>
                      <w:rFonts w:hint="eastAsia"/>
                      <w:color w:val="auto"/>
                      <w:highlight w:val="none"/>
                      <w:lang w:val="en-US" w:eastAsia="zh-CN"/>
                    </w:rPr>
                    <w:t>--</w:t>
                  </w:r>
                </w:p>
              </w:tc>
              <w:tc>
                <w:tcPr>
                  <w:tcW w:w="820" w:type="pct"/>
                  <w:noWrap w:val="0"/>
                  <w:tcMar>
                    <w:left w:w="28" w:type="dxa"/>
                    <w:right w:w="28" w:type="dxa"/>
                  </w:tcMar>
                  <w:vAlign w:val="center"/>
                </w:tcPr>
                <w:p w14:paraId="0EA7E854">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废收集尘</w:t>
                  </w:r>
                </w:p>
              </w:tc>
              <w:tc>
                <w:tcPr>
                  <w:tcW w:w="1023" w:type="pct"/>
                  <w:noWrap w:val="0"/>
                  <w:tcMar>
                    <w:left w:w="28" w:type="dxa"/>
                    <w:right w:w="28" w:type="dxa"/>
                  </w:tcMar>
                  <w:vAlign w:val="center"/>
                </w:tcPr>
                <w:p w14:paraId="2717CF9E">
                  <w:pPr>
                    <w:adjustRightInd w:val="0"/>
                    <w:snapToGrid w:val="0"/>
                    <w:jc w:val="center"/>
                    <w:rPr>
                      <w:rFonts w:hint="default"/>
                      <w:color w:val="auto"/>
                      <w:lang w:val="en-US" w:eastAsia="zh-CN"/>
                    </w:rPr>
                  </w:pPr>
                  <w:r>
                    <w:rPr>
                      <w:rFonts w:hint="eastAsia"/>
                      <w:color w:val="auto"/>
                      <w:lang w:val="en-US" w:eastAsia="zh-CN"/>
                    </w:rPr>
                    <w:t>废气处理</w:t>
                  </w:r>
                </w:p>
              </w:tc>
              <w:tc>
                <w:tcPr>
                  <w:tcW w:w="909" w:type="pct"/>
                  <w:noWrap w:val="0"/>
                  <w:tcMar>
                    <w:left w:w="28" w:type="dxa"/>
                    <w:right w:w="28" w:type="dxa"/>
                  </w:tcMar>
                  <w:vAlign w:val="center"/>
                </w:tcPr>
                <w:p w14:paraId="75DE0113">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一般固废</w:t>
                  </w:r>
                </w:p>
              </w:tc>
              <w:tc>
                <w:tcPr>
                  <w:tcW w:w="1312" w:type="pct"/>
                  <w:noWrap w:val="0"/>
                  <w:tcMar>
                    <w:left w:w="28" w:type="dxa"/>
                    <w:right w:w="28" w:type="dxa"/>
                  </w:tcMar>
                  <w:vAlign w:val="center"/>
                </w:tcPr>
                <w:p w14:paraId="6AD2A8F0">
                  <w:pPr>
                    <w:pStyle w:val="43"/>
                    <w:spacing w:before="100" w:beforeAutospacing="1" w:after="100" w:afterAutospacing="1" w:line="320" w:lineRule="exact"/>
                    <w:ind w:firstLine="0" w:firstLineChars="0"/>
                    <w:rPr>
                      <w:rFonts w:hint="default"/>
                      <w:color w:val="auto"/>
                      <w:lang w:val="en-US" w:eastAsia="zh-CN"/>
                    </w:rPr>
                  </w:pPr>
                  <w:r>
                    <w:rPr>
                      <w:rFonts w:hint="eastAsia"/>
                      <w:color w:val="auto"/>
                      <w:lang w:val="en-US" w:eastAsia="zh-CN"/>
                    </w:rPr>
                    <w:t>收集尘</w:t>
                  </w:r>
                </w:p>
              </w:tc>
            </w:tr>
            <w:tr w14:paraId="6DFB4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2" w:type="pct"/>
                  <w:vMerge w:val="continue"/>
                  <w:noWrap w:val="0"/>
                  <w:tcMar>
                    <w:left w:w="28" w:type="dxa"/>
                    <w:right w:w="28" w:type="dxa"/>
                  </w:tcMar>
                  <w:vAlign w:val="center"/>
                </w:tcPr>
                <w:p w14:paraId="69A70620">
                  <w:pPr>
                    <w:spacing w:before="100" w:beforeAutospacing="1" w:after="100" w:afterAutospacing="1" w:line="320" w:lineRule="exact"/>
                    <w:jc w:val="center"/>
                    <w:rPr>
                      <w:rFonts w:ascii="Times New Roman" w:hAnsi="Times New Roman"/>
                      <w:color w:val="auto"/>
                      <w:szCs w:val="21"/>
                    </w:rPr>
                  </w:pPr>
                </w:p>
              </w:tc>
              <w:tc>
                <w:tcPr>
                  <w:tcW w:w="391" w:type="pct"/>
                  <w:noWrap w:val="0"/>
                  <w:tcMar>
                    <w:left w:w="28" w:type="dxa"/>
                    <w:right w:w="28" w:type="dxa"/>
                  </w:tcMar>
                  <w:vAlign w:val="center"/>
                </w:tcPr>
                <w:p w14:paraId="4B3720E5">
                  <w:pPr>
                    <w:spacing w:before="100" w:beforeAutospacing="1" w:after="100" w:afterAutospacing="1" w:line="320" w:lineRule="exact"/>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820" w:type="pct"/>
                  <w:noWrap w:val="0"/>
                  <w:tcMar>
                    <w:left w:w="28" w:type="dxa"/>
                    <w:right w:w="28" w:type="dxa"/>
                  </w:tcMar>
                  <w:vAlign w:val="center"/>
                </w:tcPr>
                <w:p w14:paraId="1514A8E3">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生活垃圾</w:t>
                  </w:r>
                </w:p>
              </w:tc>
              <w:tc>
                <w:tcPr>
                  <w:tcW w:w="1023" w:type="pct"/>
                  <w:noWrap w:val="0"/>
                  <w:tcMar>
                    <w:left w:w="28" w:type="dxa"/>
                    <w:right w:w="28" w:type="dxa"/>
                  </w:tcMar>
                  <w:vAlign w:val="center"/>
                </w:tcPr>
                <w:p w14:paraId="19B202D8">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rPr>
                    <w:t>职工生活</w:t>
                  </w:r>
                </w:p>
              </w:tc>
              <w:tc>
                <w:tcPr>
                  <w:tcW w:w="909" w:type="pct"/>
                  <w:noWrap w:val="0"/>
                  <w:tcMar>
                    <w:left w:w="28" w:type="dxa"/>
                    <w:right w:w="28" w:type="dxa"/>
                  </w:tcMar>
                  <w:vAlign w:val="center"/>
                </w:tcPr>
                <w:p w14:paraId="181AEAF9">
                  <w:pPr>
                    <w:pStyle w:val="43"/>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一般废物</w:t>
                  </w:r>
                </w:p>
              </w:tc>
              <w:tc>
                <w:tcPr>
                  <w:tcW w:w="1312" w:type="pct"/>
                  <w:noWrap w:val="0"/>
                  <w:tcMar>
                    <w:left w:w="28" w:type="dxa"/>
                    <w:right w:w="28" w:type="dxa"/>
                  </w:tcMar>
                  <w:vAlign w:val="center"/>
                </w:tcPr>
                <w:p w14:paraId="4E9A715F">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rPr>
                    <w:t>瓜皮果屑等</w:t>
                  </w:r>
                </w:p>
              </w:tc>
            </w:tr>
            <w:tr w14:paraId="74286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34" w:type="pct"/>
                  <w:gridSpan w:val="2"/>
                  <w:noWrap w:val="0"/>
                  <w:tcMar>
                    <w:left w:w="28" w:type="dxa"/>
                    <w:right w:w="28" w:type="dxa"/>
                  </w:tcMar>
                  <w:vAlign w:val="center"/>
                </w:tcPr>
                <w:p w14:paraId="462DA745">
                  <w:pPr>
                    <w:spacing w:before="100" w:beforeAutospacing="1" w:after="100" w:afterAutospacing="1" w:line="320" w:lineRule="exact"/>
                    <w:jc w:val="center"/>
                    <w:rPr>
                      <w:rFonts w:ascii="Times New Roman" w:hAnsi="Times New Roman"/>
                      <w:color w:val="auto"/>
                      <w:szCs w:val="21"/>
                    </w:rPr>
                  </w:pPr>
                  <w:r>
                    <w:rPr>
                      <w:rFonts w:ascii="Times New Roman" w:hAnsi="Times New Roman"/>
                      <w:color w:val="auto"/>
                      <w:szCs w:val="21"/>
                    </w:rPr>
                    <w:t>噪声</w:t>
                  </w:r>
                </w:p>
              </w:tc>
              <w:tc>
                <w:tcPr>
                  <w:tcW w:w="4065" w:type="pct"/>
                  <w:gridSpan w:val="4"/>
                  <w:noWrap w:val="0"/>
                  <w:tcMar>
                    <w:left w:w="28" w:type="dxa"/>
                    <w:right w:w="28" w:type="dxa"/>
                  </w:tcMar>
                  <w:vAlign w:val="center"/>
                </w:tcPr>
                <w:p w14:paraId="6C396885">
                  <w:pPr>
                    <w:spacing w:before="100" w:beforeAutospacing="1" w:after="100" w:afterAutospacing="1" w:line="320" w:lineRule="exact"/>
                    <w:jc w:val="center"/>
                    <w:rPr>
                      <w:rFonts w:ascii="Times New Roman" w:hAnsi="Times New Roman"/>
                      <w:color w:val="auto"/>
                      <w:szCs w:val="21"/>
                    </w:rPr>
                  </w:pPr>
                  <w:r>
                    <w:rPr>
                      <w:rFonts w:ascii="Times New Roman" w:hAnsi="Times New Roman"/>
                      <w:color w:val="auto"/>
                      <w:szCs w:val="21"/>
                    </w:rPr>
                    <w:t>主要噪声源为设备运行产生的噪声</w:t>
                  </w:r>
                </w:p>
              </w:tc>
            </w:tr>
          </w:tbl>
          <w:p w14:paraId="557EA0D8">
            <w:pPr>
              <w:spacing w:line="360" w:lineRule="auto"/>
              <w:ind w:firstLine="420" w:firstLineChars="200"/>
              <w:rPr>
                <w:rStyle w:val="31"/>
                <w:rFonts w:hint="eastAsia"/>
                <w:color w:val="auto"/>
                <w:szCs w:val="21"/>
              </w:rPr>
            </w:pPr>
          </w:p>
          <w:p w14:paraId="5F773001">
            <w:pPr>
              <w:spacing w:line="360" w:lineRule="auto"/>
              <w:ind w:firstLine="420" w:firstLineChars="200"/>
              <w:rPr>
                <w:rStyle w:val="31"/>
                <w:rFonts w:hint="eastAsia"/>
                <w:color w:val="auto"/>
                <w:szCs w:val="21"/>
              </w:rPr>
            </w:pPr>
          </w:p>
          <w:p w14:paraId="35B87FE1">
            <w:pPr>
              <w:spacing w:line="360" w:lineRule="auto"/>
              <w:ind w:firstLine="420" w:firstLineChars="200"/>
              <w:rPr>
                <w:rStyle w:val="31"/>
                <w:rFonts w:hint="eastAsia"/>
                <w:color w:val="auto"/>
                <w:szCs w:val="21"/>
              </w:rPr>
            </w:pPr>
          </w:p>
          <w:p w14:paraId="0A39D224">
            <w:pPr>
              <w:spacing w:line="360" w:lineRule="auto"/>
              <w:ind w:firstLine="420" w:firstLineChars="200"/>
              <w:rPr>
                <w:rStyle w:val="31"/>
                <w:rFonts w:hint="eastAsia"/>
                <w:color w:val="auto"/>
                <w:szCs w:val="21"/>
              </w:rPr>
            </w:pPr>
          </w:p>
          <w:p w14:paraId="0F3A016D">
            <w:pPr>
              <w:spacing w:line="360" w:lineRule="auto"/>
              <w:ind w:firstLine="420" w:firstLineChars="200"/>
              <w:rPr>
                <w:rStyle w:val="31"/>
                <w:rFonts w:hint="eastAsia"/>
                <w:color w:val="auto"/>
                <w:szCs w:val="21"/>
              </w:rPr>
            </w:pPr>
          </w:p>
          <w:p w14:paraId="2D36C235">
            <w:pPr>
              <w:spacing w:line="360" w:lineRule="auto"/>
              <w:ind w:firstLine="420" w:firstLineChars="200"/>
              <w:rPr>
                <w:rStyle w:val="31"/>
                <w:rFonts w:hint="eastAsia"/>
                <w:color w:val="auto"/>
                <w:szCs w:val="21"/>
              </w:rPr>
            </w:pPr>
          </w:p>
          <w:p w14:paraId="14F03DE1">
            <w:pPr>
              <w:pStyle w:val="3"/>
              <w:rPr>
                <w:rStyle w:val="31"/>
                <w:rFonts w:hint="eastAsia"/>
                <w:color w:val="auto"/>
                <w:szCs w:val="21"/>
              </w:rPr>
            </w:pPr>
          </w:p>
          <w:p w14:paraId="42A58B24">
            <w:pPr>
              <w:rPr>
                <w:rStyle w:val="31"/>
                <w:rFonts w:hint="eastAsia"/>
                <w:color w:val="auto"/>
                <w:szCs w:val="21"/>
              </w:rPr>
            </w:pPr>
          </w:p>
          <w:p w14:paraId="28971E15">
            <w:pPr>
              <w:pStyle w:val="3"/>
              <w:rPr>
                <w:rStyle w:val="31"/>
                <w:rFonts w:hint="eastAsia"/>
                <w:color w:val="auto"/>
                <w:szCs w:val="21"/>
              </w:rPr>
            </w:pPr>
          </w:p>
          <w:p w14:paraId="09BCEEB2">
            <w:pPr>
              <w:rPr>
                <w:rFonts w:hint="eastAsia"/>
                <w:color w:val="auto"/>
              </w:rPr>
            </w:pPr>
          </w:p>
          <w:p w14:paraId="7B3B0860">
            <w:pPr>
              <w:spacing w:line="360" w:lineRule="auto"/>
              <w:ind w:firstLine="420" w:firstLineChars="200"/>
              <w:rPr>
                <w:rStyle w:val="31"/>
                <w:rFonts w:hint="eastAsia"/>
                <w:color w:val="auto"/>
                <w:szCs w:val="21"/>
              </w:rPr>
            </w:pPr>
          </w:p>
          <w:p w14:paraId="4B864D61">
            <w:pPr>
              <w:spacing w:line="360" w:lineRule="auto"/>
              <w:ind w:firstLine="420" w:firstLineChars="200"/>
              <w:rPr>
                <w:rStyle w:val="31"/>
                <w:rFonts w:hint="eastAsia"/>
                <w:color w:val="auto"/>
                <w:szCs w:val="21"/>
              </w:rPr>
            </w:pPr>
          </w:p>
          <w:p w14:paraId="2B1B3C7E">
            <w:pPr>
              <w:spacing w:line="360" w:lineRule="auto"/>
              <w:ind w:firstLine="420" w:firstLineChars="200"/>
              <w:rPr>
                <w:rStyle w:val="31"/>
                <w:rFonts w:hint="eastAsia"/>
                <w:color w:val="auto"/>
                <w:szCs w:val="21"/>
              </w:rPr>
            </w:pPr>
          </w:p>
          <w:p w14:paraId="080DD83E">
            <w:pPr>
              <w:adjustRightInd w:val="0"/>
              <w:snapToGrid w:val="0"/>
              <w:spacing w:line="320" w:lineRule="exact"/>
              <w:rPr>
                <w:rFonts w:hint="eastAsia" w:ascii="Times New Roman" w:hAnsi="Times New Roman" w:eastAsia="黑体"/>
                <w:snapToGrid w:val="0"/>
                <w:color w:val="auto"/>
                <w:sz w:val="30"/>
                <w:szCs w:val="30"/>
                <w:vertAlign w:val="baseline"/>
              </w:rPr>
            </w:pPr>
          </w:p>
        </w:tc>
      </w:tr>
      <w:tr w14:paraId="1BF0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dxa"/>
            <w:vAlign w:val="center"/>
          </w:tcPr>
          <w:p w14:paraId="0AD225F7">
            <w:pPr>
              <w:pStyle w:val="22"/>
              <w:adjustRightInd w:val="0"/>
              <w:snapToGrid w:val="0"/>
              <w:spacing w:before="0" w:beforeAutospacing="0" w:after="0" w:afterAutospacing="0" w:line="320" w:lineRule="exact"/>
              <w:jc w:val="center"/>
              <w:rPr>
                <w:rFonts w:hint="eastAsia" w:ascii="Times New Roman" w:hAnsi="Times New Roman" w:eastAsia="黑体"/>
                <w:snapToGrid w:val="0"/>
                <w:color w:val="auto"/>
                <w:sz w:val="30"/>
                <w:szCs w:val="30"/>
                <w:vertAlign w:val="baseline"/>
              </w:rPr>
            </w:pPr>
            <w:r>
              <w:rPr>
                <w:rFonts w:ascii="Times New Roman" w:hAnsi="Times New Roman"/>
                <w:bCs/>
                <w:color w:val="auto"/>
                <w:kern w:val="2"/>
                <w:sz w:val="21"/>
                <w:szCs w:val="21"/>
              </w:rPr>
              <w:t>与项目有关的原有环境污染问题</w:t>
            </w:r>
          </w:p>
        </w:tc>
        <w:tc>
          <w:tcPr>
            <w:tcW w:w="8185" w:type="dxa"/>
            <w:vAlign w:val="top"/>
          </w:tcPr>
          <w:p w14:paraId="75B65C17">
            <w:pPr>
              <w:pStyle w:val="12"/>
              <w:spacing w:line="360" w:lineRule="auto"/>
              <w:ind w:firstLine="420" w:firstLineChars="200"/>
              <w:rPr>
                <w:rFonts w:ascii="Times New Roman" w:hAnsi="Times New Roman"/>
                <w:color w:val="auto"/>
              </w:rPr>
            </w:pPr>
            <w:r>
              <w:rPr>
                <w:rFonts w:hint="eastAsia"/>
                <w:color w:val="auto"/>
              </w:rPr>
              <w:t>本项目为新建项目，租赁</w:t>
            </w:r>
            <w:r>
              <w:rPr>
                <w:rFonts w:hint="eastAsia" w:cs="Times New Roman"/>
                <w:color w:val="auto"/>
                <w:sz w:val="21"/>
                <w:szCs w:val="21"/>
                <w:lang w:val="en-US" w:eastAsia="zh-CN"/>
              </w:rPr>
              <w:t>万恒如（南通市雨霖市政园林有限公司）</w:t>
            </w:r>
            <w:r>
              <w:rPr>
                <w:rFonts w:hint="eastAsia"/>
                <w:color w:val="auto"/>
              </w:rPr>
              <w:t>闲置厂房进行生产</w:t>
            </w:r>
            <w:r>
              <w:rPr>
                <w:rFonts w:hint="eastAsia"/>
                <w:color w:val="auto"/>
                <w:lang w:eastAsia="zh-CN"/>
              </w:rPr>
              <w:t>，</w:t>
            </w:r>
            <w:r>
              <w:rPr>
                <w:rFonts w:ascii="Times New Roman" w:hAnsi="Times New Roman"/>
                <w:color w:val="auto"/>
              </w:rPr>
              <w:t>因市场行情，厂房</w:t>
            </w:r>
            <w:r>
              <w:rPr>
                <w:rFonts w:hint="eastAsia" w:ascii="Times New Roman" w:hAnsi="Times New Roman"/>
                <w:color w:val="auto"/>
                <w:lang w:val="en-US" w:eastAsia="zh-CN"/>
              </w:rPr>
              <w:t>车间</w:t>
            </w:r>
            <w:r>
              <w:rPr>
                <w:rFonts w:ascii="Times New Roman" w:hAnsi="Times New Roman"/>
                <w:color w:val="auto"/>
              </w:rPr>
              <w:t>一直闲置，根据现场踏勘，厂房内闲置机器设备已清空，不存在原有污染问题。</w:t>
            </w:r>
          </w:p>
          <w:p w14:paraId="660AD28A">
            <w:pPr>
              <w:pStyle w:val="12"/>
              <w:numPr>
                <w:ilvl w:val="0"/>
                <w:numId w:val="0"/>
              </w:numPr>
              <w:spacing w:line="360" w:lineRule="auto"/>
              <w:ind w:left="630" w:leftChars="0"/>
              <w:rPr>
                <w:rFonts w:ascii="Times New Roman" w:hAnsi="Times New Roman"/>
                <w:color w:val="auto"/>
              </w:rPr>
            </w:pPr>
            <w:r>
              <w:rPr>
                <w:rFonts w:hint="eastAsia" w:ascii="Times New Roman" w:hAnsi="Times New Roman"/>
                <w:color w:val="auto"/>
                <w:lang w:val="en-US" w:eastAsia="zh-CN"/>
              </w:rPr>
              <w:t>1、</w:t>
            </w:r>
            <w:r>
              <w:rPr>
                <w:rFonts w:ascii="Times New Roman" w:hAnsi="Times New Roman"/>
                <w:color w:val="auto"/>
              </w:rPr>
              <w:t xml:space="preserve">拟建项目租赁情况及环保责任主体 </w:t>
            </w:r>
          </w:p>
          <w:p w14:paraId="146AA395">
            <w:pPr>
              <w:pStyle w:val="12"/>
              <w:spacing w:line="360" w:lineRule="auto"/>
              <w:ind w:firstLine="420" w:firstLineChars="200"/>
              <w:rPr>
                <w:rFonts w:ascii="Times New Roman" w:hAnsi="Times New Roman"/>
                <w:color w:val="auto"/>
              </w:rPr>
            </w:pPr>
            <w:r>
              <w:rPr>
                <w:rFonts w:hint="eastAsia" w:ascii="Times New Roman" w:hAnsi="Times New Roman" w:eastAsia="宋体" w:cs="Times New Roman"/>
                <w:color w:val="auto"/>
                <w:sz w:val="21"/>
                <w:szCs w:val="21"/>
                <w:lang w:val="en-US" w:eastAsia="zh-CN"/>
              </w:rPr>
              <w:t>如皋市迪普机械科技有限公司</w:t>
            </w:r>
            <w:r>
              <w:rPr>
                <w:rFonts w:hint="eastAsia"/>
                <w:color w:val="auto"/>
              </w:rPr>
              <w:t>租</w:t>
            </w:r>
            <w:r>
              <w:rPr>
                <w:rFonts w:ascii="Times New Roman" w:hAnsi="Times New Roman"/>
                <w:color w:val="auto"/>
              </w:rPr>
              <w:t>用</w:t>
            </w:r>
            <w:r>
              <w:rPr>
                <w:rFonts w:hint="eastAsia" w:cs="Times New Roman"/>
                <w:color w:val="auto"/>
                <w:sz w:val="21"/>
                <w:szCs w:val="21"/>
                <w:lang w:val="en-US" w:eastAsia="zh-CN"/>
              </w:rPr>
              <w:t>万恒如（南通市雨霖市政园林有限公司）</w:t>
            </w:r>
            <w:r>
              <w:rPr>
                <w:rFonts w:ascii="Times New Roman" w:hAnsi="Times New Roman"/>
                <w:color w:val="auto"/>
              </w:rPr>
              <w:t xml:space="preserve">闲置厂房，公用及辅助工程需依托情况如下： </w:t>
            </w:r>
          </w:p>
          <w:p w14:paraId="4A028603">
            <w:pPr>
              <w:pStyle w:val="12"/>
              <w:numPr>
                <w:ilvl w:val="0"/>
                <w:numId w:val="6"/>
              </w:numPr>
              <w:spacing w:line="360" w:lineRule="auto"/>
              <w:ind w:firstLine="420" w:firstLineChars="200"/>
              <w:rPr>
                <w:rFonts w:ascii="Times New Roman" w:hAnsi="Times New Roman"/>
                <w:color w:val="auto"/>
              </w:rPr>
            </w:pPr>
            <w:r>
              <w:rPr>
                <w:rFonts w:ascii="Times New Roman" w:hAnsi="Times New Roman"/>
                <w:color w:val="auto"/>
              </w:rPr>
              <w:t xml:space="preserve">给排水系统 </w:t>
            </w:r>
          </w:p>
          <w:p w14:paraId="21D3E9E8">
            <w:pPr>
              <w:pStyle w:val="12"/>
              <w:spacing w:line="360" w:lineRule="auto"/>
              <w:ind w:firstLine="420" w:firstLineChars="200"/>
              <w:rPr>
                <w:rFonts w:ascii="Times New Roman" w:hAnsi="Times New Roman"/>
                <w:color w:val="auto"/>
              </w:rPr>
            </w:pPr>
            <w:r>
              <w:rPr>
                <w:rFonts w:ascii="Times New Roman" w:hAnsi="Times New Roman"/>
                <w:color w:val="auto"/>
              </w:rPr>
              <w:t>①给水系统：拟建项目新鲜用水量为</w:t>
            </w:r>
            <w:r>
              <w:rPr>
                <w:rFonts w:hint="eastAsia" w:ascii="Times New Roman" w:hAnsi="Times New Roman"/>
                <w:color w:val="auto"/>
                <w:lang w:val="en-US" w:eastAsia="zh-CN"/>
              </w:rPr>
              <w:t>663.9</w:t>
            </w:r>
            <w:r>
              <w:rPr>
                <w:rFonts w:ascii="Times New Roman" w:hAnsi="Times New Roman"/>
                <w:color w:val="auto"/>
              </w:rPr>
              <w:t>t/a，项目新鲜用水主要用于职工生活用水以及</w:t>
            </w:r>
            <w:r>
              <w:rPr>
                <w:rFonts w:hint="eastAsia" w:ascii="Times New Roman" w:hAnsi="Times New Roman"/>
                <w:color w:val="auto"/>
              </w:rPr>
              <w:t>冷却水、</w:t>
            </w:r>
            <w:r>
              <w:rPr>
                <w:rFonts w:hint="eastAsia" w:ascii="Times New Roman" w:hAnsi="Times New Roman"/>
                <w:color w:val="auto"/>
                <w:lang w:val="en-US" w:eastAsia="zh-CN"/>
              </w:rPr>
              <w:t>清洗</w:t>
            </w:r>
            <w:r>
              <w:rPr>
                <w:rFonts w:hint="default" w:ascii="Times New Roman" w:hAnsi="Times New Roman"/>
                <w:color w:val="auto"/>
                <w:lang w:val="en-US" w:eastAsia="zh-CN"/>
              </w:rPr>
              <w:t>用水</w:t>
            </w:r>
            <w:r>
              <w:rPr>
                <w:rFonts w:hint="eastAsia" w:ascii="Times New Roman" w:hAnsi="Times New Roman"/>
                <w:color w:val="auto"/>
                <w:lang w:val="en-US" w:eastAsia="zh-CN"/>
              </w:rPr>
              <w:t>、切削液配水</w:t>
            </w:r>
            <w:r>
              <w:rPr>
                <w:rFonts w:ascii="Times New Roman" w:hAnsi="Times New Roman"/>
                <w:color w:val="auto"/>
              </w:rPr>
              <w:t>，供水系统依托出租方，</w:t>
            </w:r>
            <w:r>
              <w:rPr>
                <w:rFonts w:hint="eastAsia" w:ascii="Times New Roman" w:hAnsi="Times New Roman"/>
                <w:color w:val="auto"/>
                <w:lang w:val="en-US" w:eastAsia="zh-CN"/>
              </w:rPr>
              <w:t>出租方</w:t>
            </w:r>
            <w:r>
              <w:rPr>
                <w:rFonts w:ascii="Times New Roman" w:hAnsi="Times New Roman"/>
                <w:color w:val="auto"/>
              </w:rPr>
              <w:t xml:space="preserve">有足够的供水满足本项目需求。 </w:t>
            </w:r>
          </w:p>
          <w:p w14:paraId="22EE7089">
            <w:pPr>
              <w:pStyle w:val="12"/>
              <w:spacing w:line="360" w:lineRule="auto"/>
              <w:ind w:firstLine="420" w:firstLineChars="200"/>
              <w:rPr>
                <w:rFonts w:hint="default" w:ascii="Times New Roman" w:hAnsi="Times New Roman" w:eastAsia="宋体"/>
                <w:color w:val="auto"/>
                <w:lang w:val="en-US" w:eastAsia="zh-CN"/>
              </w:rPr>
            </w:pPr>
            <w:r>
              <w:rPr>
                <w:rFonts w:ascii="Times New Roman" w:hAnsi="Times New Roman"/>
                <w:color w:val="auto"/>
              </w:rPr>
              <w:t xml:space="preserve">②排水系统 </w:t>
            </w:r>
            <w:r>
              <w:rPr>
                <w:rFonts w:hint="eastAsia" w:ascii="Times New Roman" w:hAnsi="Times New Roman"/>
                <w:color w:val="auto"/>
                <w:lang w:val="en-US" w:eastAsia="zh-CN"/>
              </w:rPr>
              <w:t xml:space="preserve">       </w:t>
            </w:r>
          </w:p>
          <w:p w14:paraId="45C834AA">
            <w:pPr>
              <w:pStyle w:val="12"/>
              <w:spacing w:line="360" w:lineRule="auto"/>
              <w:ind w:firstLine="420" w:firstLineChars="200"/>
              <w:rPr>
                <w:rFonts w:hint="default" w:ascii="Times New Roman" w:hAnsi="Times New Roman" w:eastAsia="宋体"/>
                <w:color w:val="auto"/>
                <w:lang w:val="en-US" w:eastAsia="zh-CN"/>
              </w:rPr>
            </w:pPr>
            <w:r>
              <w:rPr>
                <w:rFonts w:hint="eastAsia" w:cs="Times New Roman"/>
                <w:color w:val="auto"/>
                <w:sz w:val="21"/>
                <w:szCs w:val="21"/>
                <w:lang w:val="en-US" w:eastAsia="zh-CN"/>
              </w:rPr>
              <w:t>万恒如（南通市雨霖市政园林有限公司）所属车间</w:t>
            </w:r>
            <w:r>
              <w:rPr>
                <w:rFonts w:ascii="Times New Roman" w:hAnsi="Times New Roman"/>
                <w:color w:val="auto"/>
              </w:rPr>
              <w:t>已经实施雨污分流，厂内雨污水管网已经建成，本项目生活污水依托租赁</w:t>
            </w:r>
            <w:r>
              <w:rPr>
                <w:rFonts w:hint="eastAsia" w:ascii="Times New Roman" w:hAnsi="Times New Roman"/>
                <w:color w:val="auto"/>
                <w:lang w:val="en-US" w:eastAsia="zh-CN"/>
              </w:rPr>
              <w:t>方</w:t>
            </w:r>
            <w:r>
              <w:rPr>
                <w:rFonts w:ascii="Times New Roman" w:hAnsi="Times New Roman"/>
                <w:color w:val="auto"/>
              </w:rPr>
              <w:t>化粪池</w:t>
            </w:r>
            <w:r>
              <w:rPr>
                <w:rFonts w:hint="eastAsia" w:ascii="Times New Roman" w:hAnsi="Times New Roman"/>
                <w:color w:val="auto"/>
                <w:lang w:val="en-US" w:eastAsia="zh-CN"/>
              </w:rPr>
              <w:t>预处理后用作液态肥料</w:t>
            </w:r>
            <w:r>
              <w:rPr>
                <w:rFonts w:hint="eastAsia" w:ascii="Times New Roman" w:hAnsi="Times New Roman"/>
                <w:color w:val="auto"/>
                <w:lang w:eastAsia="zh-CN"/>
              </w:rPr>
              <w:t>，</w:t>
            </w:r>
            <w:r>
              <w:rPr>
                <w:rFonts w:hint="eastAsia" w:ascii="Times New Roman" w:hAnsi="Times New Roman"/>
                <w:color w:val="auto"/>
                <w:lang w:val="en-US" w:eastAsia="zh-CN"/>
              </w:rPr>
              <w:t>出租方暂未设置污水排口</w:t>
            </w:r>
            <w:r>
              <w:rPr>
                <w:rFonts w:ascii="Times New Roman" w:hAnsi="Times New Roman"/>
                <w:color w:val="auto"/>
              </w:rPr>
              <w:t>，</w:t>
            </w:r>
            <w:r>
              <w:rPr>
                <w:rFonts w:hint="eastAsia" w:ascii="Times New Roman" w:hAnsi="Times New Roman" w:eastAsia="宋体" w:cs="Times New Roman"/>
                <w:color w:val="auto"/>
                <w:sz w:val="21"/>
                <w:szCs w:val="21"/>
                <w:lang w:val="en-US" w:eastAsia="zh-CN"/>
              </w:rPr>
              <w:t>如皋市迪普机械科技有限公司</w:t>
            </w:r>
            <w:r>
              <w:rPr>
                <w:rFonts w:hint="eastAsia" w:ascii="Times New Roman" w:hAnsi="Times New Roman" w:eastAsia="宋体" w:cs="Times New Roman"/>
                <w:color w:val="auto"/>
                <w:kern w:val="0"/>
                <w:szCs w:val="21"/>
                <w:lang w:val="en-US" w:eastAsia="zh-CN" w:bidi="ar"/>
              </w:rPr>
              <w:t>应对排放至化粪池前的生活污水承担环保责任</w:t>
            </w:r>
            <w:r>
              <w:rPr>
                <w:rFonts w:hint="eastAsia" w:ascii="Times New Roman" w:hAnsi="Times New Roman"/>
                <w:color w:val="auto"/>
                <w:lang w:val="en-US" w:eastAsia="zh-CN"/>
              </w:rPr>
              <w:t>。</w:t>
            </w:r>
          </w:p>
          <w:p w14:paraId="38431121">
            <w:pPr>
              <w:pStyle w:val="12"/>
              <w:numPr>
                <w:ilvl w:val="0"/>
                <w:numId w:val="6"/>
              </w:numPr>
              <w:spacing w:line="360" w:lineRule="auto"/>
              <w:ind w:firstLine="420" w:firstLineChars="200"/>
              <w:rPr>
                <w:rFonts w:ascii="Times New Roman" w:hAnsi="Times New Roman"/>
                <w:color w:val="auto"/>
              </w:rPr>
            </w:pPr>
            <w:r>
              <w:rPr>
                <w:rFonts w:ascii="Times New Roman" w:hAnsi="Times New Roman"/>
                <w:color w:val="auto"/>
              </w:rPr>
              <w:t xml:space="preserve">供电系统 </w:t>
            </w:r>
          </w:p>
          <w:p w14:paraId="271BBA94">
            <w:pPr>
              <w:pStyle w:val="12"/>
              <w:spacing w:line="360" w:lineRule="auto"/>
              <w:ind w:firstLine="420" w:firstLineChars="200"/>
              <w:rPr>
                <w:rFonts w:ascii="Times New Roman" w:hAnsi="Times New Roman"/>
                <w:color w:val="auto"/>
              </w:rPr>
            </w:pPr>
            <w:r>
              <w:rPr>
                <w:rFonts w:ascii="Times New Roman" w:hAnsi="Times New Roman"/>
                <w:color w:val="auto"/>
              </w:rPr>
              <w:t>由市政电网 30kv 线路接入本项目租赁单位变压器，由租赁单位变配电间降压后 （380/220V）从配电房对各用电设备及车间供电，新建项目用电量约</w:t>
            </w:r>
            <w:r>
              <w:rPr>
                <w:rFonts w:hint="eastAsia" w:ascii="Times New Roman" w:hAnsi="Times New Roman"/>
                <w:color w:val="auto"/>
                <w:lang w:val="en-US" w:eastAsia="zh-CN"/>
              </w:rPr>
              <w:t>107</w:t>
            </w:r>
            <w:r>
              <w:rPr>
                <w:rFonts w:ascii="Times New Roman" w:hAnsi="Times New Roman"/>
                <w:color w:val="auto"/>
              </w:rPr>
              <w:t xml:space="preserve">万度，现有变压器能够满足新建项目用电需求，项目供电系统依托租赁方，可保证本项目需求。 </w:t>
            </w:r>
          </w:p>
          <w:p w14:paraId="58EEB914">
            <w:pPr>
              <w:pStyle w:val="12"/>
              <w:spacing w:line="360" w:lineRule="auto"/>
              <w:ind w:firstLine="420" w:firstLineChars="200"/>
              <w:rPr>
                <w:rFonts w:ascii="Times New Roman" w:hAnsi="Times New Roman" w:eastAsia="宋体" w:cs="Times New Roman"/>
                <w:color w:val="auto"/>
              </w:rPr>
            </w:pPr>
            <w:r>
              <w:rPr>
                <w:rFonts w:hint="eastAsia" w:ascii="Times New Roman" w:hAnsi="Times New Roman"/>
                <w:color w:val="auto"/>
                <w:lang w:val="en-US" w:eastAsia="zh-CN"/>
              </w:rPr>
              <w:t>2、</w:t>
            </w:r>
            <w:r>
              <w:rPr>
                <w:rFonts w:ascii="Times New Roman" w:hAnsi="Times New Roman"/>
                <w:color w:val="auto"/>
              </w:rPr>
              <w:t>本项目与原有项目、租赁单位依</w:t>
            </w:r>
            <w:r>
              <w:rPr>
                <w:rFonts w:ascii="Times New Roman" w:hAnsi="Times New Roman" w:eastAsia="宋体" w:cs="Times New Roman"/>
                <w:color w:val="auto"/>
              </w:rPr>
              <w:t xml:space="preserve">托关系 </w:t>
            </w:r>
          </w:p>
          <w:p w14:paraId="58F1B8D1">
            <w:pPr>
              <w:pStyle w:val="12"/>
              <w:spacing w:line="360" w:lineRule="auto"/>
              <w:ind w:firstLine="420" w:firstLineChars="200"/>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本项目租赁</w:t>
            </w:r>
            <w:r>
              <w:rPr>
                <w:rFonts w:hint="eastAsia" w:cs="Times New Roman"/>
                <w:color w:val="auto"/>
                <w:sz w:val="21"/>
                <w:szCs w:val="21"/>
                <w:lang w:val="en-US" w:eastAsia="zh-CN"/>
              </w:rPr>
              <w:t>万恒如（南通市雨霖市政园林有限公司）</w:t>
            </w:r>
            <w:r>
              <w:rPr>
                <w:rFonts w:hint="eastAsia" w:ascii="Times New Roman" w:hAnsi="Times New Roman" w:eastAsia="宋体" w:cs="Times New Roman"/>
                <w:color w:val="auto"/>
              </w:rPr>
              <w:t>闲置厂房</w:t>
            </w:r>
            <w:r>
              <w:rPr>
                <w:rFonts w:hint="eastAsia" w:ascii="Times New Roman" w:hAnsi="Times New Roman" w:eastAsia="宋体" w:cs="Times New Roman"/>
                <w:color w:val="auto"/>
                <w:lang w:val="en-US" w:eastAsia="zh-CN"/>
              </w:rPr>
              <w:t>1315m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rPr>
              <w:t>，</w:t>
            </w:r>
            <w:r>
              <w:rPr>
                <w:rFonts w:ascii="Times New Roman" w:hAnsi="Times New Roman" w:eastAsia="宋体" w:cs="Times New Roman"/>
                <w:color w:val="auto"/>
              </w:rPr>
              <w:t>新上</w:t>
            </w:r>
            <w:r>
              <w:rPr>
                <w:rFonts w:hint="eastAsia"/>
                <w:color w:val="auto"/>
              </w:rPr>
              <w:t>铝</w:t>
            </w:r>
            <w:r>
              <w:rPr>
                <w:rFonts w:hint="eastAsia"/>
                <w:color w:val="auto"/>
                <w:lang w:val="en-US" w:eastAsia="zh-CN"/>
              </w:rPr>
              <w:t>合金精密制造</w:t>
            </w:r>
            <w:r>
              <w:rPr>
                <w:rFonts w:hint="eastAsia" w:ascii="Times New Roman" w:hAnsi="Times New Roman" w:eastAsia="宋体" w:cs="Times New Roman"/>
                <w:color w:val="auto"/>
                <w:sz w:val="21"/>
                <w:szCs w:val="21"/>
              </w:rPr>
              <w:t>项目</w:t>
            </w:r>
            <w:r>
              <w:rPr>
                <w:rFonts w:ascii="Times New Roman" w:hAnsi="Times New Roman" w:eastAsia="宋体" w:cs="Times New Roman"/>
                <w:color w:val="auto"/>
              </w:rPr>
              <w:t>，租赁厂房由</w:t>
            </w:r>
            <w:r>
              <w:rPr>
                <w:rFonts w:hint="eastAsia" w:ascii="Times New Roman" w:hAnsi="Times New Roman" w:eastAsia="宋体" w:cs="Times New Roman"/>
                <w:color w:val="auto"/>
                <w:sz w:val="21"/>
                <w:szCs w:val="21"/>
                <w:lang w:val="en-US" w:eastAsia="zh-CN"/>
              </w:rPr>
              <w:t>如皋市迪普机械科技有限公司</w:t>
            </w:r>
            <w:r>
              <w:rPr>
                <w:rFonts w:ascii="Times New Roman" w:hAnsi="Times New Roman" w:eastAsia="宋体" w:cs="Times New Roman"/>
                <w:color w:val="auto"/>
              </w:rPr>
              <w:t>统一管理，与</w:t>
            </w:r>
            <w:r>
              <w:rPr>
                <w:rFonts w:hint="eastAsia" w:cs="Times New Roman"/>
                <w:color w:val="auto"/>
                <w:sz w:val="21"/>
                <w:szCs w:val="21"/>
                <w:lang w:val="en-US" w:eastAsia="zh-CN"/>
              </w:rPr>
              <w:t>万恒如（南通市雨霖市政园林有限公司）所属其他</w:t>
            </w:r>
            <w:r>
              <w:rPr>
                <w:rFonts w:hint="eastAsia" w:ascii="Times New Roman" w:hAnsi="Times New Roman" w:eastAsia="宋体" w:cs="Times New Roman"/>
                <w:color w:val="auto"/>
              </w:rPr>
              <w:t>公司</w:t>
            </w:r>
            <w:r>
              <w:rPr>
                <w:rFonts w:ascii="Times New Roman" w:hAnsi="Times New Roman" w:eastAsia="宋体" w:cs="Times New Roman"/>
                <w:color w:val="auto"/>
              </w:rPr>
              <w:t>隔为两个独立厂区。本项目供电、给水、排水依托</w:t>
            </w:r>
            <w:r>
              <w:rPr>
                <w:rFonts w:hint="eastAsia" w:cs="Times New Roman"/>
                <w:color w:val="auto"/>
                <w:sz w:val="21"/>
                <w:szCs w:val="21"/>
                <w:lang w:val="en-US" w:eastAsia="zh-CN"/>
              </w:rPr>
              <w:t>万恒如所属</w:t>
            </w:r>
            <w:r>
              <w:rPr>
                <w:rFonts w:hint="eastAsia" w:ascii="Times New Roman" w:hAnsi="Times New Roman" w:eastAsia="宋体" w:cs="Times New Roman"/>
                <w:color w:val="auto"/>
              </w:rPr>
              <w:t>公司</w:t>
            </w:r>
            <w:r>
              <w:rPr>
                <w:rFonts w:ascii="Times New Roman" w:hAnsi="Times New Roman" w:eastAsia="宋体" w:cs="Times New Roman"/>
                <w:color w:val="auto"/>
              </w:rPr>
              <w:t>已建供电、给水、排水系统的剩余能力。</w:t>
            </w:r>
          </w:p>
          <w:p w14:paraId="3FBEA830">
            <w:pPr>
              <w:pStyle w:val="37"/>
              <w:spacing w:line="360" w:lineRule="auto"/>
              <w:ind w:firstLine="482" w:firstLineChars="0"/>
              <w:rPr>
                <w:rFonts w:hint="eastAsia" w:eastAsia="宋体"/>
                <w:color w:val="auto"/>
                <w:sz w:val="21"/>
                <w:szCs w:val="21"/>
                <w:lang w:val="en-US" w:eastAsia="zh-CN"/>
              </w:rPr>
            </w:pPr>
          </w:p>
          <w:p w14:paraId="6544AA09">
            <w:pPr>
              <w:pStyle w:val="37"/>
              <w:spacing w:line="360" w:lineRule="auto"/>
              <w:ind w:firstLine="482" w:firstLineChars="0"/>
              <w:rPr>
                <w:rFonts w:hint="eastAsia" w:eastAsia="宋体"/>
                <w:color w:val="auto"/>
                <w:sz w:val="21"/>
                <w:szCs w:val="21"/>
                <w:lang w:val="en-US" w:eastAsia="zh-CN"/>
              </w:rPr>
            </w:pPr>
          </w:p>
          <w:p w14:paraId="2B7CBB31">
            <w:pPr>
              <w:pStyle w:val="37"/>
              <w:spacing w:line="360" w:lineRule="auto"/>
              <w:ind w:firstLine="482" w:firstLineChars="0"/>
              <w:rPr>
                <w:rFonts w:hint="eastAsia" w:eastAsia="宋体"/>
                <w:color w:val="auto"/>
                <w:sz w:val="21"/>
                <w:szCs w:val="21"/>
                <w:lang w:val="en-US" w:eastAsia="zh-CN"/>
              </w:rPr>
            </w:pPr>
          </w:p>
          <w:p w14:paraId="44A7EAE3">
            <w:pPr>
              <w:pStyle w:val="37"/>
              <w:spacing w:line="360" w:lineRule="auto"/>
              <w:ind w:firstLine="482" w:firstLineChars="0"/>
              <w:rPr>
                <w:rFonts w:hint="eastAsia" w:eastAsia="宋体"/>
                <w:color w:val="auto"/>
                <w:sz w:val="21"/>
                <w:szCs w:val="21"/>
                <w:lang w:val="en-US" w:eastAsia="zh-CN"/>
              </w:rPr>
            </w:pPr>
          </w:p>
          <w:p w14:paraId="6AA81FD3">
            <w:pPr>
              <w:pStyle w:val="37"/>
              <w:spacing w:line="360" w:lineRule="auto"/>
              <w:ind w:firstLine="482" w:firstLineChars="0"/>
              <w:rPr>
                <w:rFonts w:hint="eastAsia" w:eastAsia="宋体"/>
                <w:color w:val="auto"/>
                <w:sz w:val="21"/>
                <w:szCs w:val="21"/>
                <w:lang w:val="en-US" w:eastAsia="zh-CN"/>
              </w:rPr>
            </w:pPr>
          </w:p>
          <w:p w14:paraId="09238FF8">
            <w:pPr>
              <w:pStyle w:val="37"/>
              <w:spacing w:line="360" w:lineRule="auto"/>
              <w:ind w:firstLine="482" w:firstLineChars="0"/>
              <w:rPr>
                <w:rFonts w:hint="eastAsia" w:eastAsia="宋体"/>
                <w:color w:val="auto"/>
                <w:sz w:val="21"/>
                <w:szCs w:val="21"/>
                <w:lang w:val="en-US" w:eastAsia="zh-CN"/>
              </w:rPr>
            </w:pPr>
          </w:p>
          <w:p w14:paraId="4BBD6745">
            <w:pPr>
              <w:pStyle w:val="37"/>
              <w:spacing w:line="360" w:lineRule="auto"/>
              <w:ind w:firstLine="482" w:firstLineChars="0"/>
              <w:rPr>
                <w:rFonts w:hint="eastAsia" w:eastAsia="宋体"/>
                <w:color w:val="auto"/>
                <w:sz w:val="21"/>
                <w:szCs w:val="21"/>
                <w:lang w:val="en-US" w:eastAsia="zh-CN"/>
              </w:rPr>
            </w:pPr>
          </w:p>
          <w:p w14:paraId="0228CA4D">
            <w:pPr>
              <w:pStyle w:val="37"/>
              <w:spacing w:line="360" w:lineRule="auto"/>
              <w:ind w:firstLine="482" w:firstLineChars="0"/>
              <w:rPr>
                <w:rFonts w:hint="eastAsia" w:eastAsia="宋体"/>
                <w:color w:val="auto"/>
                <w:sz w:val="21"/>
                <w:szCs w:val="21"/>
                <w:lang w:val="en-US" w:eastAsia="zh-CN"/>
              </w:rPr>
            </w:pPr>
          </w:p>
          <w:p w14:paraId="4877E67D">
            <w:pPr>
              <w:pStyle w:val="37"/>
              <w:spacing w:line="360" w:lineRule="auto"/>
              <w:ind w:firstLine="482" w:firstLineChars="0"/>
              <w:rPr>
                <w:rFonts w:hint="eastAsia" w:eastAsia="宋体"/>
                <w:color w:val="auto"/>
                <w:sz w:val="21"/>
                <w:szCs w:val="21"/>
                <w:lang w:val="en-US" w:eastAsia="zh-CN"/>
              </w:rPr>
            </w:pPr>
          </w:p>
          <w:p w14:paraId="736EFA97">
            <w:pPr>
              <w:pStyle w:val="37"/>
              <w:spacing w:line="360" w:lineRule="auto"/>
              <w:ind w:firstLine="482" w:firstLineChars="0"/>
              <w:rPr>
                <w:rFonts w:hint="eastAsia" w:eastAsia="宋体"/>
                <w:color w:val="auto"/>
                <w:sz w:val="21"/>
                <w:szCs w:val="21"/>
                <w:lang w:val="en-US" w:eastAsia="zh-CN"/>
              </w:rPr>
            </w:pPr>
          </w:p>
          <w:p w14:paraId="510CA275">
            <w:pPr>
              <w:pStyle w:val="37"/>
              <w:spacing w:line="360" w:lineRule="auto"/>
              <w:ind w:firstLine="482" w:firstLineChars="0"/>
              <w:rPr>
                <w:rFonts w:hint="eastAsia" w:eastAsia="宋体"/>
                <w:color w:val="auto"/>
                <w:sz w:val="21"/>
                <w:szCs w:val="21"/>
                <w:lang w:val="en-US" w:eastAsia="zh-CN"/>
              </w:rPr>
            </w:pPr>
          </w:p>
          <w:p w14:paraId="43007B2D">
            <w:pPr>
              <w:pStyle w:val="37"/>
              <w:spacing w:line="360" w:lineRule="auto"/>
              <w:ind w:left="0" w:leftChars="0" w:firstLine="0" w:firstLineChars="0"/>
              <w:rPr>
                <w:rFonts w:hint="eastAsia" w:eastAsia="宋体"/>
                <w:color w:val="auto"/>
                <w:sz w:val="21"/>
                <w:szCs w:val="21"/>
                <w:lang w:val="en-US" w:eastAsia="zh-CN"/>
              </w:rPr>
            </w:pPr>
          </w:p>
        </w:tc>
      </w:tr>
    </w:tbl>
    <w:p w14:paraId="41AD8A13">
      <w:pPr>
        <w:pStyle w:val="22"/>
        <w:jc w:val="center"/>
        <w:outlineLvl w:val="0"/>
        <w:rPr>
          <w:rFonts w:hint="eastAsia" w:ascii="Times New Roman" w:hAnsi="Times New Roman" w:eastAsia="黑体"/>
          <w:snapToGrid w:val="0"/>
          <w:color w:val="auto"/>
          <w:sz w:val="30"/>
          <w:szCs w:val="30"/>
        </w:rPr>
        <w:sectPr>
          <w:footerReference r:id="rId7"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43E1BAFB">
      <w:pPr>
        <w:pStyle w:val="2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三、区域环境质量现状、环境保护目标及评价标准</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510"/>
      </w:tblGrid>
      <w:tr w14:paraId="2BA19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18" w:type="pct"/>
            <w:noWrap w:val="0"/>
            <w:vAlign w:val="center"/>
          </w:tcPr>
          <w:p w14:paraId="60C98C5D">
            <w:pPr>
              <w:keepNext w:val="0"/>
              <w:keepLines w:val="0"/>
              <w:pageBreakBefore w:val="0"/>
              <w:kinsoku/>
              <w:wordWrap/>
              <w:overflowPunct/>
              <w:topLinePunct w:val="0"/>
              <w:bidi w:val="0"/>
              <w:adjustRightInd w:val="0"/>
              <w:snapToGrid w:val="0"/>
              <w:spacing w:line="360" w:lineRule="auto"/>
              <w:jc w:val="center"/>
              <w:textAlignment w:val="auto"/>
              <w:rPr>
                <w:rFonts w:ascii="Times New Roman" w:hAnsi="Times New Roman" w:eastAsia="宋体"/>
                <w:color w:val="auto"/>
                <w:kern w:val="0"/>
                <w:szCs w:val="21"/>
              </w:rPr>
            </w:pPr>
            <w:r>
              <w:rPr>
                <w:rFonts w:ascii="Times New Roman" w:hAnsi="Times New Roman" w:eastAsia="宋体"/>
                <w:color w:val="auto"/>
                <w:kern w:val="0"/>
                <w:szCs w:val="21"/>
              </w:rPr>
              <w:t>区域</w:t>
            </w:r>
          </w:p>
          <w:p w14:paraId="6AA6EA09">
            <w:pPr>
              <w:keepNext w:val="0"/>
              <w:keepLines w:val="0"/>
              <w:pageBreakBefore w:val="0"/>
              <w:kinsoku/>
              <w:wordWrap/>
              <w:overflowPunct/>
              <w:topLinePunct w:val="0"/>
              <w:bidi w:val="0"/>
              <w:adjustRightInd w:val="0"/>
              <w:snapToGrid w:val="0"/>
              <w:spacing w:line="360" w:lineRule="auto"/>
              <w:jc w:val="center"/>
              <w:textAlignment w:val="auto"/>
              <w:rPr>
                <w:rFonts w:ascii="Times New Roman" w:hAnsi="Times New Roman" w:eastAsia="宋体"/>
                <w:color w:val="auto"/>
                <w:kern w:val="0"/>
                <w:szCs w:val="21"/>
              </w:rPr>
            </w:pPr>
            <w:r>
              <w:rPr>
                <w:rFonts w:ascii="Times New Roman" w:hAnsi="Times New Roman" w:eastAsia="宋体"/>
                <w:color w:val="auto"/>
                <w:kern w:val="0"/>
                <w:szCs w:val="21"/>
              </w:rPr>
              <w:t>环境</w:t>
            </w:r>
          </w:p>
          <w:p w14:paraId="2CC3C339">
            <w:pPr>
              <w:keepNext w:val="0"/>
              <w:keepLines w:val="0"/>
              <w:pageBreakBefore w:val="0"/>
              <w:kinsoku/>
              <w:wordWrap/>
              <w:overflowPunct/>
              <w:topLinePunct w:val="0"/>
              <w:bidi w:val="0"/>
              <w:adjustRightInd w:val="0"/>
              <w:snapToGrid w:val="0"/>
              <w:spacing w:line="360" w:lineRule="auto"/>
              <w:jc w:val="center"/>
              <w:textAlignment w:val="auto"/>
              <w:rPr>
                <w:rFonts w:ascii="Times New Roman" w:hAnsi="Times New Roman" w:eastAsia="宋体"/>
                <w:color w:val="auto"/>
                <w:kern w:val="0"/>
                <w:szCs w:val="21"/>
              </w:rPr>
            </w:pPr>
            <w:r>
              <w:rPr>
                <w:rFonts w:ascii="Times New Roman" w:hAnsi="Times New Roman" w:eastAsia="宋体"/>
                <w:color w:val="auto"/>
                <w:kern w:val="0"/>
                <w:szCs w:val="21"/>
              </w:rPr>
              <w:t>质量</w:t>
            </w:r>
          </w:p>
          <w:p w14:paraId="138E63B8">
            <w:pPr>
              <w:keepNext w:val="0"/>
              <w:keepLines w:val="0"/>
              <w:pageBreakBefore w:val="0"/>
              <w:kinsoku/>
              <w:wordWrap/>
              <w:overflowPunct/>
              <w:topLinePunct w:val="0"/>
              <w:bidi w:val="0"/>
              <w:adjustRightInd w:val="0"/>
              <w:snapToGrid w:val="0"/>
              <w:spacing w:line="360" w:lineRule="auto"/>
              <w:jc w:val="center"/>
              <w:textAlignment w:val="auto"/>
              <w:rPr>
                <w:rFonts w:ascii="Times New Roman" w:hAnsi="Times New Roman" w:eastAsia="宋体"/>
                <w:color w:val="auto"/>
                <w:kern w:val="0"/>
                <w:szCs w:val="21"/>
              </w:rPr>
            </w:pPr>
            <w:r>
              <w:rPr>
                <w:rFonts w:ascii="Times New Roman" w:hAnsi="Times New Roman" w:eastAsia="宋体"/>
                <w:color w:val="auto"/>
                <w:kern w:val="0"/>
                <w:szCs w:val="21"/>
              </w:rPr>
              <w:t>现状</w:t>
            </w:r>
          </w:p>
        </w:tc>
        <w:tc>
          <w:tcPr>
            <w:tcW w:w="4581" w:type="pct"/>
            <w:noWrap w:val="0"/>
            <w:vAlign w:val="center"/>
          </w:tcPr>
          <w:p w14:paraId="08F65119">
            <w:pPr>
              <w:keepNext w:val="0"/>
              <w:keepLines w:val="0"/>
              <w:pageBreakBefore w:val="0"/>
              <w:kinsoku/>
              <w:wordWrap/>
              <w:overflowPunct/>
              <w:topLinePunct w:val="0"/>
              <w:bidi w:val="0"/>
              <w:spacing w:line="360" w:lineRule="auto"/>
              <w:ind w:firstLine="422" w:firstLineChars="200"/>
              <w:textAlignment w:val="auto"/>
              <w:rPr>
                <w:rFonts w:hint="default" w:ascii="Times New Roman" w:hAnsi="Times New Roman" w:eastAsia="宋体"/>
                <w:b/>
                <w:color w:val="auto"/>
                <w:szCs w:val="21"/>
                <w:lang w:val="en-US" w:eastAsia="zh-CN"/>
              </w:rPr>
            </w:pPr>
            <w:r>
              <w:rPr>
                <w:rFonts w:hint="eastAsia" w:ascii="Times New Roman" w:hAnsi="Times New Roman" w:eastAsia="宋体"/>
                <w:b/>
                <w:color w:val="auto"/>
                <w:szCs w:val="21"/>
              </w:rPr>
              <w:t>1、</w:t>
            </w:r>
            <w:r>
              <w:rPr>
                <w:rFonts w:hint="eastAsia"/>
                <w:b/>
                <w:color w:val="auto"/>
                <w:szCs w:val="21"/>
                <w:lang w:val="en-US" w:eastAsia="zh-CN"/>
              </w:rPr>
              <w:t>大气环境</w:t>
            </w:r>
          </w:p>
          <w:p w14:paraId="6C2B63A4">
            <w:pPr>
              <w:spacing w:line="360" w:lineRule="auto"/>
              <w:ind w:firstLine="420" w:firstLineChars="200"/>
              <w:rPr>
                <w:color w:val="auto"/>
              </w:rPr>
            </w:pPr>
            <w:r>
              <w:rPr>
                <w:color w:val="auto"/>
              </w:rPr>
              <w:t>（1）环境质量达标区判定</w:t>
            </w:r>
          </w:p>
          <w:p w14:paraId="39EEC1B9">
            <w:pPr>
              <w:spacing w:line="360" w:lineRule="auto"/>
              <w:ind w:firstLine="420" w:firstLineChars="200"/>
              <w:rPr>
                <w:color w:val="auto"/>
                <w:lang w:bidi="ar"/>
              </w:rPr>
            </w:pPr>
            <w:r>
              <w:rPr>
                <w:color w:val="auto"/>
                <w:lang w:bidi="ar"/>
              </w:rPr>
              <w:t>根据《环境影响评价技术导则 大气环境》（HJ2.2-2018）中“6.2.1.1 项目所在区域达标判定，优先采用国家或地方生态环境主管部门公开发布的评价基准年环境质量公报或环境质量报告中的数据或结论。6.2.1.3 评价范围内没有环境空气质量监测网数据或公开发布的环境空气质量现状数据的，可选择符合HJ644 规定，并且与评价范围地理位置邻近，地形、气候条件相近的环境空气质量城市点或区域点监测数据。</w:t>
            </w:r>
          </w:p>
          <w:p w14:paraId="61A7657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ascii="Times New Roman" w:hAnsi="Times New Roman" w:eastAsia="宋体"/>
                <w:color w:val="auto"/>
                <w:szCs w:val="21"/>
              </w:rPr>
            </w:pPr>
            <w:r>
              <w:rPr>
                <w:rFonts w:ascii="Times New Roman" w:hAnsi="Times New Roman" w:eastAsia="宋体"/>
                <w:color w:val="auto"/>
                <w:szCs w:val="21"/>
              </w:rPr>
              <w:t>本项目所在地环境空气质量功能为二类，执行《环境空气质量标准》（GB3095-2012）表1中二级标准。</w:t>
            </w:r>
            <w:r>
              <w:rPr>
                <w:rFonts w:hint="eastAsia" w:ascii="Times New Roman" w:hAnsi="Times New Roman" w:eastAsia="宋体"/>
                <w:color w:val="auto"/>
                <w:szCs w:val="21"/>
              </w:rPr>
              <w:t>如皋</w:t>
            </w:r>
            <w:r>
              <w:rPr>
                <w:rFonts w:ascii="Times New Roman" w:hAnsi="Times New Roman" w:eastAsia="宋体"/>
                <w:color w:val="auto"/>
                <w:szCs w:val="21"/>
              </w:rPr>
              <w:t>市</w:t>
            </w:r>
            <w:r>
              <w:rPr>
                <w:rFonts w:hint="eastAsia" w:ascii="Times New Roman" w:hAnsi="Times New Roman" w:eastAsia="宋体"/>
                <w:color w:val="auto"/>
                <w:szCs w:val="21"/>
              </w:rPr>
              <w:t>202</w:t>
            </w:r>
            <w:r>
              <w:rPr>
                <w:rFonts w:hint="eastAsia"/>
                <w:color w:val="auto"/>
                <w:szCs w:val="21"/>
                <w:lang w:val="en-US" w:eastAsia="zh-CN"/>
              </w:rPr>
              <w:t>3</w:t>
            </w:r>
            <w:r>
              <w:rPr>
                <w:rFonts w:ascii="Times New Roman" w:hAnsi="Times New Roman" w:eastAsia="宋体"/>
                <w:color w:val="auto"/>
                <w:szCs w:val="21"/>
              </w:rPr>
              <w:t>年区域空气质量现状评价见表3-</w:t>
            </w:r>
            <w:r>
              <w:rPr>
                <w:rFonts w:hint="eastAsia" w:ascii="Times New Roman" w:hAnsi="Times New Roman" w:eastAsia="宋体"/>
                <w:color w:val="auto"/>
                <w:szCs w:val="21"/>
              </w:rPr>
              <w:t>1</w:t>
            </w:r>
            <w:r>
              <w:rPr>
                <w:rFonts w:ascii="Times New Roman" w:hAnsi="Times New Roman" w:eastAsia="宋体"/>
                <w:color w:val="auto"/>
                <w:szCs w:val="21"/>
              </w:rPr>
              <w:t>，数据</w:t>
            </w:r>
            <w:r>
              <w:rPr>
                <w:rFonts w:hint="eastAsia" w:ascii="Times New Roman" w:hAnsi="Times New Roman" w:eastAsia="宋体"/>
                <w:color w:val="auto"/>
                <w:szCs w:val="21"/>
              </w:rPr>
              <w:t>来源为《南通市生态环境状况公报（202</w:t>
            </w:r>
            <w:r>
              <w:rPr>
                <w:rFonts w:hint="eastAsia"/>
                <w:color w:val="auto"/>
                <w:szCs w:val="21"/>
                <w:lang w:val="en-US" w:eastAsia="zh-CN"/>
              </w:rPr>
              <w:t>3</w:t>
            </w:r>
            <w:r>
              <w:rPr>
                <w:rFonts w:hint="eastAsia" w:ascii="Times New Roman" w:hAnsi="Times New Roman" w:eastAsia="宋体"/>
                <w:color w:val="auto"/>
                <w:szCs w:val="21"/>
              </w:rPr>
              <w:t>年）》</w:t>
            </w:r>
            <w:r>
              <w:rPr>
                <w:rFonts w:ascii="Times New Roman" w:hAnsi="Times New Roman" w:eastAsia="宋体"/>
                <w:color w:val="auto"/>
                <w:szCs w:val="21"/>
              </w:rPr>
              <w:t>。</w:t>
            </w:r>
          </w:p>
          <w:p w14:paraId="469E50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b/>
                <w:bCs/>
                <w:snapToGrid w:val="0"/>
                <w:color w:val="auto"/>
                <w:kern w:val="0"/>
                <w:szCs w:val="21"/>
                <w:vertAlign w:val="superscript"/>
              </w:rPr>
            </w:pPr>
            <w:r>
              <w:rPr>
                <w:rFonts w:ascii="Times New Roman" w:hAnsi="Times New Roman" w:eastAsia="宋体"/>
                <w:b/>
                <w:bCs/>
                <w:snapToGrid w:val="0"/>
                <w:color w:val="auto"/>
                <w:kern w:val="0"/>
                <w:szCs w:val="21"/>
              </w:rPr>
              <w:t>表3-</w:t>
            </w:r>
            <w:r>
              <w:rPr>
                <w:rFonts w:hint="eastAsia" w:ascii="Times New Roman" w:hAnsi="Times New Roman" w:eastAsia="宋体"/>
                <w:b/>
                <w:bCs/>
                <w:snapToGrid w:val="0"/>
                <w:color w:val="auto"/>
                <w:kern w:val="0"/>
                <w:szCs w:val="21"/>
              </w:rPr>
              <w:t>1</w:t>
            </w:r>
            <w:r>
              <w:rPr>
                <w:rFonts w:ascii="Times New Roman" w:hAnsi="Times New Roman" w:eastAsia="宋体"/>
                <w:b/>
                <w:bCs/>
                <w:snapToGrid w:val="0"/>
                <w:color w:val="auto"/>
                <w:kern w:val="0"/>
                <w:szCs w:val="21"/>
              </w:rPr>
              <w:t xml:space="preserve">   </w:t>
            </w:r>
            <w:r>
              <w:rPr>
                <w:rFonts w:ascii="Times New Roman" w:hAnsi="Times New Roman" w:eastAsia="宋体"/>
                <w:b/>
                <w:bCs/>
                <w:color w:val="auto"/>
                <w:szCs w:val="21"/>
              </w:rPr>
              <w:t>如皋市主要空气污染物指标监测结果</w:t>
            </w:r>
          </w:p>
          <w:tbl>
            <w:tblPr>
              <w:tblStyle w:val="25"/>
              <w:tblpPr w:leftFromText="180" w:rightFromText="180" w:vertAnchor="text" w:horzAnchor="margin" w:tblpY="10"/>
              <w:tblOverlap w:val="never"/>
              <w:tblW w:w="83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816"/>
              <w:gridCol w:w="1241"/>
              <w:gridCol w:w="1422"/>
              <w:gridCol w:w="1167"/>
              <w:gridCol w:w="1201"/>
            </w:tblGrid>
            <w:tr w14:paraId="4E385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903" w:type="pct"/>
                  <w:noWrap w:val="0"/>
                  <w:vAlign w:val="center"/>
                </w:tcPr>
                <w:p w14:paraId="08090BA1">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污染物</w:t>
                  </w:r>
                </w:p>
              </w:tc>
              <w:tc>
                <w:tcPr>
                  <w:tcW w:w="1086" w:type="pct"/>
                  <w:noWrap w:val="0"/>
                  <w:vAlign w:val="center"/>
                </w:tcPr>
                <w:p w14:paraId="3E2E2B55">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年评价指标</w:t>
                  </w:r>
                </w:p>
              </w:tc>
              <w:tc>
                <w:tcPr>
                  <w:tcW w:w="742" w:type="pct"/>
                  <w:noWrap w:val="0"/>
                  <w:vAlign w:val="center"/>
                </w:tcPr>
                <w:p w14:paraId="59AA38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现状浓度/（</w:t>
                  </w:r>
                  <w:r>
                    <w:rPr>
                      <w:rFonts w:ascii="Times New Roman" w:hAnsi="Times New Roman" w:eastAsia="宋体"/>
                      <w:b/>
                      <w:color w:val="auto"/>
                    </w:rPr>
                    <w:t>μg/m</w:t>
                  </w:r>
                  <w:r>
                    <w:rPr>
                      <w:rFonts w:ascii="Times New Roman" w:hAnsi="Times New Roman" w:eastAsia="宋体"/>
                      <w:b/>
                      <w:color w:val="auto"/>
                      <w:vertAlign w:val="superscript"/>
                    </w:rPr>
                    <w:t>3</w:t>
                  </w:r>
                  <w:r>
                    <w:rPr>
                      <w:rFonts w:ascii="Times New Roman" w:hAnsi="Times New Roman" w:eastAsia="宋体"/>
                      <w:b/>
                      <w:color w:val="auto"/>
                      <w:szCs w:val="21"/>
                    </w:rPr>
                    <w:t>）</w:t>
                  </w:r>
                </w:p>
              </w:tc>
              <w:tc>
                <w:tcPr>
                  <w:tcW w:w="850" w:type="pct"/>
                  <w:noWrap w:val="0"/>
                  <w:vAlign w:val="center"/>
                </w:tcPr>
                <w:p w14:paraId="433379AC">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标准值/（</w:t>
                  </w:r>
                  <w:r>
                    <w:rPr>
                      <w:rFonts w:ascii="Times New Roman" w:hAnsi="Times New Roman" w:eastAsia="宋体"/>
                      <w:b/>
                      <w:color w:val="auto"/>
                    </w:rPr>
                    <w:t>μg/m</w:t>
                  </w:r>
                  <w:r>
                    <w:rPr>
                      <w:rFonts w:ascii="Times New Roman" w:hAnsi="Times New Roman" w:eastAsia="宋体"/>
                      <w:b/>
                      <w:color w:val="auto"/>
                      <w:vertAlign w:val="superscript"/>
                    </w:rPr>
                    <w:t>3</w:t>
                  </w:r>
                  <w:r>
                    <w:rPr>
                      <w:rFonts w:ascii="Times New Roman" w:hAnsi="Times New Roman" w:eastAsia="宋体"/>
                      <w:b/>
                      <w:color w:val="auto"/>
                    </w:rPr>
                    <w:t>）</w:t>
                  </w:r>
                </w:p>
              </w:tc>
              <w:tc>
                <w:tcPr>
                  <w:tcW w:w="698" w:type="pct"/>
                  <w:noWrap w:val="0"/>
                  <w:vAlign w:val="center"/>
                </w:tcPr>
                <w:p w14:paraId="05CBFF94">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占标率/</w:t>
                  </w:r>
                </w:p>
                <w:p w14:paraId="40242FE0">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w:t>
                  </w:r>
                </w:p>
              </w:tc>
              <w:tc>
                <w:tcPr>
                  <w:tcW w:w="718" w:type="pct"/>
                  <w:noWrap w:val="0"/>
                  <w:vAlign w:val="center"/>
                </w:tcPr>
                <w:p w14:paraId="388167EF">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b/>
                      <w:color w:val="auto"/>
                      <w:szCs w:val="21"/>
                    </w:rPr>
                  </w:pPr>
                  <w:r>
                    <w:rPr>
                      <w:rFonts w:ascii="Times New Roman" w:hAnsi="Times New Roman" w:eastAsia="宋体"/>
                      <w:b/>
                      <w:color w:val="auto"/>
                      <w:szCs w:val="21"/>
                    </w:rPr>
                    <w:t>达标情况</w:t>
                  </w:r>
                </w:p>
              </w:tc>
            </w:tr>
            <w:tr w14:paraId="37B91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903" w:type="pct"/>
                  <w:noWrap w:val="0"/>
                  <w:vAlign w:val="center"/>
                </w:tcPr>
                <w:p w14:paraId="0588EE85">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SO</w:t>
                  </w:r>
                  <w:r>
                    <w:rPr>
                      <w:rFonts w:ascii="Times New Roman" w:hAnsi="Times New Roman" w:eastAsia="宋体"/>
                      <w:color w:val="auto"/>
                      <w:szCs w:val="21"/>
                      <w:vertAlign w:val="subscript"/>
                    </w:rPr>
                    <w:t>2</w:t>
                  </w:r>
                </w:p>
              </w:tc>
              <w:tc>
                <w:tcPr>
                  <w:tcW w:w="1086" w:type="pct"/>
                  <w:noWrap w:val="0"/>
                  <w:vAlign w:val="center"/>
                </w:tcPr>
                <w:p w14:paraId="16E3E622">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年平均质量浓度</w:t>
                  </w:r>
                </w:p>
              </w:tc>
              <w:tc>
                <w:tcPr>
                  <w:tcW w:w="742" w:type="pct"/>
                  <w:noWrap w:val="0"/>
                  <w:vAlign w:val="center"/>
                </w:tcPr>
                <w:p w14:paraId="2028BC7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9</w:t>
                  </w:r>
                </w:p>
              </w:tc>
              <w:tc>
                <w:tcPr>
                  <w:tcW w:w="850" w:type="pct"/>
                  <w:noWrap w:val="0"/>
                  <w:vAlign w:val="center"/>
                </w:tcPr>
                <w:p w14:paraId="6DA3212D">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60</w:t>
                  </w:r>
                </w:p>
              </w:tc>
              <w:tc>
                <w:tcPr>
                  <w:tcW w:w="698" w:type="pct"/>
                  <w:noWrap w:val="0"/>
                  <w:vAlign w:val="center"/>
                </w:tcPr>
                <w:p w14:paraId="4C1C44E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15</w:t>
                  </w:r>
                </w:p>
              </w:tc>
              <w:tc>
                <w:tcPr>
                  <w:tcW w:w="718" w:type="pct"/>
                  <w:noWrap w:val="0"/>
                  <w:vAlign w:val="center"/>
                </w:tcPr>
                <w:p w14:paraId="4106A6F8">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达标</w:t>
                  </w:r>
                </w:p>
              </w:tc>
            </w:tr>
            <w:tr w14:paraId="4BF51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903" w:type="pct"/>
                  <w:noWrap w:val="0"/>
                  <w:vAlign w:val="center"/>
                </w:tcPr>
                <w:p w14:paraId="649CD305">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NO</w:t>
                  </w:r>
                  <w:r>
                    <w:rPr>
                      <w:rFonts w:ascii="Times New Roman" w:hAnsi="Times New Roman" w:eastAsia="宋体"/>
                      <w:color w:val="auto"/>
                      <w:szCs w:val="21"/>
                      <w:vertAlign w:val="subscript"/>
                    </w:rPr>
                    <w:t>2</w:t>
                  </w:r>
                </w:p>
              </w:tc>
              <w:tc>
                <w:tcPr>
                  <w:tcW w:w="1086" w:type="pct"/>
                  <w:noWrap w:val="0"/>
                  <w:vAlign w:val="center"/>
                </w:tcPr>
                <w:p w14:paraId="31F8FA42">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年平均质量浓度</w:t>
                  </w:r>
                </w:p>
              </w:tc>
              <w:tc>
                <w:tcPr>
                  <w:tcW w:w="742" w:type="pct"/>
                  <w:noWrap w:val="0"/>
                  <w:vAlign w:val="center"/>
                </w:tcPr>
                <w:p w14:paraId="4961CA9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22</w:t>
                  </w:r>
                </w:p>
              </w:tc>
              <w:tc>
                <w:tcPr>
                  <w:tcW w:w="850" w:type="pct"/>
                  <w:noWrap w:val="0"/>
                  <w:vAlign w:val="center"/>
                </w:tcPr>
                <w:p w14:paraId="598518EF">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40</w:t>
                  </w:r>
                </w:p>
              </w:tc>
              <w:tc>
                <w:tcPr>
                  <w:tcW w:w="698" w:type="pct"/>
                  <w:noWrap w:val="0"/>
                  <w:vAlign w:val="center"/>
                </w:tcPr>
                <w:p w14:paraId="13D7198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r>
                    <w:rPr>
                      <w:rFonts w:hint="eastAsia"/>
                      <w:color w:val="auto"/>
                      <w:szCs w:val="21"/>
                      <w:lang w:val="en-US" w:eastAsia="zh-CN"/>
                    </w:rPr>
                    <w:t>5</w:t>
                  </w:r>
                </w:p>
              </w:tc>
              <w:tc>
                <w:tcPr>
                  <w:tcW w:w="718" w:type="pct"/>
                  <w:noWrap w:val="0"/>
                  <w:vAlign w:val="center"/>
                </w:tcPr>
                <w:p w14:paraId="5A427E2E">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达标</w:t>
                  </w:r>
                </w:p>
              </w:tc>
            </w:tr>
            <w:tr w14:paraId="2C0C3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903" w:type="pct"/>
                  <w:noWrap w:val="0"/>
                  <w:vAlign w:val="center"/>
                </w:tcPr>
                <w:p w14:paraId="30DF51AE">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PM</w:t>
                  </w:r>
                  <w:r>
                    <w:rPr>
                      <w:rFonts w:ascii="Times New Roman" w:hAnsi="Times New Roman" w:eastAsia="宋体"/>
                      <w:color w:val="auto"/>
                      <w:szCs w:val="21"/>
                      <w:vertAlign w:val="subscript"/>
                    </w:rPr>
                    <w:t>10</w:t>
                  </w:r>
                </w:p>
              </w:tc>
              <w:tc>
                <w:tcPr>
                  <w:tcW w:w="1086" w:type="pct"/>
                  <w:noWrap w:val="0"/>
                  <w:vAlign w:val="center"/>
                </w:tcPr>
                <w:p w14:paraId="68384AEE">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年平均质量浓度</w:t>
                  </w:r>
                </w:p>
              </w:tc>
              <w:tc>
                <w:tcPr>
                  <w:tcW w:w="742" w:type="pct"/>
                  <w:noWrap w:val="0"/>
                  <w:vAlign w:val="center"/>
                </w:tcPr>
                <w:p w14:paraId="6A1389F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r>
                    <w:rPr>
                      <w:rFonts w:hint="eastAsia"/>
                      <w:color w:val="auto"/>
                      <w:szCs w:val="21"/>
                      <w:lang w:val="en-US" w:eastAsia="zh-CN"/>
                    </w:rPr>
                    <w:t>1</w:t>
                  </w:r>
                </w:p>
              </w:tc>
              <w:tc>
                <w:tcPr>
                  <w:tcW w:w="850" w:type="pct"/>
                  <w:noWrap w:val="0"/>
                  <w:vAlign w:val="center"/>
                </w:tcPr>
                <w:p w14:paraId="084C9142">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70</w:t>
                  </w:r>
                </w:p>
              </w:tc>
              <w:tc>
                <w:tcPr>
                  <w:tcW w:w="698" w:type="pct"/>
                  <w:noWrap w:val="0"/>
                  <w:vAlign w:val="center"/>
                </w:tcPr>
                <w:p w14:paraId="1768AD7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72.86</w:t>
                  </w:r>
                </w:p>
              </w:tc>
              <w:tc>
                <w:tcPr>
                  <w:tcW w:w="718" w:type="pct"/>
                  <w:noWrap w:val="0"/>
                  <w:vAlign w:val="center"/>
                </w:tcPr>
                <w:p w14:paraId="6C828983">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olor w:val="auto"/>
                      <w:szCs w:val="21"/>
                    </w:rPr>
                  </w:pPr>
                  <w:r>
                    <w:rPr>
                      <w:rFonts w:hint="eastAsia" w:ascii="Times New Roman" w:hAnsi="Times New Roman" w:eastAsia="宋体"/>
                      <w:color w:val="auto"/>
                      <w:szCs w:val="21"/>
                    </w:rPr>
                    <w:t>达标</w:t>
                  </w:r>
                </w:p>
              </w:tc>
            </w:tr>
            <w:tr w14:paraId="2383D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3" w:type="pct"/>
                  <w:noWrap w:val="0"/>
                  <w:vAlign w:val="center"/>
                </w:tcPr>
                <w:p w14:paraId="355C3E85">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vertAlign w:val="subscript"/>
                    </w:rPr>
                  </w:pPr>
                  <w:r>
                    <w:rPr>
                      <w:rFonts w:ascii="Times New Roman" w:hAnsi="Times New Roman" w:eastAsia="宋体"/>
                      <w:color w:val="auto"/>
                      <w:szCs w:val="21"/>
                    </w:rPr>
                    <w:t>PM</w:t>
                  </w:r>
                  <w:r>
                    <w:rPr>
                      <w:rFonts w:ascii="Times New Roman" w:hAnsi="Times New Roman" w:eastAsia="宋体"/>
                      <w:color w:val="auto"/>
                      <w:szCs w:val="21"/>
                      <w:vertAlign w:val="subscript"/>
                    </w:rPr>
                    <w:t>2.5</w:t>
                  </w:r>
                </w:p>
              </w:tc>
              <w:tc>
                <w:tcPr>
                  <w:tcW w:w="1086" w:type="pct"/>
                  <w:noWrap w:val="0"/>
                  <w:vAlign w:val="center"/>
                </w:tcPr>
                <w:p w14:paraId="57794573">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年平均质量浓度</w:t>
                  </w:r>
                </w:p>
              </w:tc>
              <w:tc>
                <w:tcPr>
                  <w:tcW w:w="742" w:type="pct"/>
                  <w:noWrap w:val="0"/>
                  <w:vAlign w:val="center"/>
                </w:tcPr>
                <w:p w14:paraId="3249176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w:t>
                  </w:r>
                  <w:r>
                    <w:rPr>
                      <w:rFonts w:hint="eastAsia"/>
                      <w:color w:val="auto"/>
                      <w:szCs w:val="21"/>
                      <w:lang w:val="en-US" w:eastAsia="zh-CN"/>
                    </w:rPr>
                    <w:t>2</w:t>
                  </w:r>
                </w:p>
              </w:tc>
              <w:tc>
                <w:tcPr>
                  <w:tcW w:w="850" w:type="pct"/>
                  <w:noWrap w:val="0"/>
                  <w:vAlign w:val="center"/>
                </w:tcPr>
                <w:p w14:paraId="5FF1DE6F">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35</w:t>
                  </w:r>
                </w:p>
              </w:tc>
              <w:tc>
                <w:tcPr>
                  <w:tcW w:w="698" w:type="pct"/>
                  <w:noWrap w:val="0"/>
                  <w:vAlign w:val="center"/>
                </w:tcPr>
                <w:p w14:paraId="7AB532B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91.43</w:t>
                  </w:r>
                </w:p>
              </w:tc>
              <w:tc>
                <w:tcPr>
                  <w:tcW w:w="718" w:type="pct"/>
                  <w:noWrap w:val="0"/>
                  <w:vAlign w:val="center"/>
                </w:tcPr>
                <w:p w14:paraId="78A07509">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达标</w:t>
                  </w:r>
                </w:p>
              </w:tc>
            </w:tr>
            <w:tr w14:paraId="7CB2E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903" w:type="pct"/>
                  <w:noWrap w:val="0"/>
                  <w:vAlign w:val="center"/>
                </w:tcPr>
                <w:p w14:paraId="0C8EF5E1">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CO（第95百分位数，单位mg/m</w:t>
                  </w:r>
                  <w:r>
                    <w:rPr>
                      <w:rFonts w:hint="eastAsia" w:ascii="Times New Roman" w:hAnsi="Times New Roman" w:eastAsia="宋体"/>
                      <w:color w:val="auto"/>
                      <w:szCs w:val="21"/>
                      <w:vertAlign w:val="superscript"/>
                    </w:rPr>
                    <w:t>3</w:t>
                  </w:r>
                  <w:r>
                    <w:rPr>
                      <w:rFonts w:hint="eastAsia" w:ascii="Times New Roman" w:hAnsi="Times New Roman" w:eastAsia="宋体"/>
                      <w:color w:val="auto"/>
                      <w:szCs w:val="21"/>
                    </w:rPr>
                    <w:t>）</w:t>
                  </w:r>
                </w:p>
              </w:tc>
              <w:tc>
                <w:tcPr>
                  <w:tcW w:w="1086" w:type="pct"/>
                  <w:noWrap w:val="0"/>
                  <w:vAlign w:val="center"/>
                </w:tcPr>
                <w:p w14:paraId="2DDFE21E">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ascii="Times New Roman" w:hAnsi="Times New Roman" w:eastAsia="宋体"/>
                      <w:color w:val="auto"/>
                      <w:szCs w:val="21"/>
                    </w:rPr>
                    <w:t>年平均质量浓度</w:t>
                  </w:r>
                </w:p>
              </w:tc>
              <w:tc>
                <w:tcPr>
                  <w:tcW w:w="742" w:type="pct"/>
                  <w:noWrap w:val="0"/>
                  <w:vAlign w:val="center"/>
                </w:tcPr>
                <w:p w14:paraId="7E510E28">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1.1mg/m</w:t>
                  </w:r>
                  <w:r>
                    <w:rPr>
                      <w:rFonts w:hint="eastAsia" w:ascii="Times New Roman" w:hAnsi="Times New Roman" w:eastAsia="宋体"/>
                      <w:color w:val="auto"/>
                      <w:szCs w:val="21"/>
                      <w:vertAlign w:val="superscript"/>
                    </w:rPr>
                    <w:t>3</w:t>
                  </w:r>
                </w:p>
              </w:tc>
              <w:tc>
                <w:tcPr>
                  <w:tcW w:w="850" w:type="pct"/>
                  <w:noWrap w:val="0"/>
                  <w:vAlign w:val="center"/>
                </w:tcPr>
                <w:p w14:paraId="713D47CB">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4mg/m</w:t>
                  </w:r>
                  <w:r>
                    <w:rPr>
                      <w:rFonts w:hint="eastAsia" w:ascii="Times New Roman" w:hAnsi="Times New Roman" w:eastAsia="宋体"/>
                      <w:color w:val="auto"/>
                      <w:szCs w:val="21"/>
                      <w:vertAlign w:val="superscript"/>
                    </w:rPr>
                    <w:t>3</w:t>
                  </w:r>
                </w:p>
              </w:tc>
              <w:tc>
                <w:tcPr>
                  <w:tcW w:w="698" w:type="pct"/>
                  <w:noWrap w:val="0"/>
                  <w:vAlign w:val="center"/>
                </w:tcPr>
                <w:p w14:paraId="697D987F">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27.5</w:t>
                  </w:r>
                </w:p>
              </w:tc>
              <w:tc>
                <w:tcPr>
                  <w:tcW w:w="718" w:type="pct"/>
                  <w:noWrap w:val="0"/>
                  <w:vAlign w:val="center"/>
                </w:tcPr>
                <w:p w14:paraId="6BBFCE6A">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达标</w:t>
                  </w:r>
                </w:p>
              </w:tc>
            </w:tr>
            <w:tr w14:paraId="0CF26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6" w:hRule="atLeast"/>
              </w:trPr>
              <w:tc>
                <w:tcPr>
                  <w:tcW w:w="903" w:type="pct"/>
                  <w:noWrap w:val="0"/>
                  <w:vAlign w:val="center"/>
                </w:tcPr>
                <w:p w14:paraId="3A5D3D3F">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O</w:t>
                  </w:r>
                  <w:r>
                    <w:rPr>
                      <w:rFonts w:hint="eastAsia" w:ascii="Times New Roman" w:hAnsi="Times New Roman" w:eastAsia="宋体"/>
                      <w:color w:val="auto"/>
                      <w:szCs w:val="21"/>
                      <w:vertAlign w:val="subscript"/>
                    </w:rPr>
                    <w:t>3</w:t>
                  </w:r>
                  <w:r>
                    <w:rPr>
                      <w:rFonts w:hint="eastAsia" w:ascii="Times New Roman" w:hAnsi="Times New Roman" w:eastAsia="宋体"/>
                      <w:color w:val="auto"/>
                      <w:szCs w:val="21"/>
                    </w:rPr>
                    <w:t>（日最大 8 小时滑动平均值第90 百分位数）</w:t>
                  </w:r>
                </w:p>
              </w:tc>
              <w:tc>
                <w:tcPr>
                  <w:tcW w:w="1086" w:type="pct"/>
                  <w:noWrap w:val="0"/>
                  <w:vAlign w:val="center"/>
                </w:tcPr>
                <w:p w14:paraId="757711E2">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olor w:val="auto"/>
                      <w:szCs w:val="21"/>
                    </w:rPr>
                  </w:pPr>
                  <w:r>
                    <w:rPr>
                      <w:rFonts w:hint="eastAsia" w:ascii="Times New Roman" w:hAnsi="Times New Roman" w:eastAsia="宋体"/>
                      <w:color w:val="auto"/>
                      <w:szCs w:val="21"/>
                    </w:rPr>
                    <w:t>日均浓度</w:t>
                  </w:r>
                </w:p>
              </w:tc>
              <w:tc>
                <w:tcPr>
                  <w:tcW w:w="742" w:type="pct"/>
                  <w:noWrap w:val="0"/>
                  <w:vAlign w:val="center"/>
                </w:tcPr>
                <w:p w14:paraId="0D27C44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w:t>
                  </w:r>
                  <w:r>
                    <w:rPr>
                      <w:rFonts w:hint="eastAsia"/>
                      <w:color w:val="auto"/>
                      <w:szCs w:val="21"/>
                      <w:lang w:val="en-US" w:eastAsia="zh-CN"/>
                    </w:rPr>
                    <w:t>69</w:t>
                  </w:r>
                </w:p>
              </w:tc>
              <w:tc>
                <w:tcPr>
                  <w:tcW w:w="850" w:type="pct"/>
                  <w:noWrap w:val="0"/>
                  <w:vAlign w:val="center"/>
                </w:tcPr>
                <w:p w14:paraId="1D9F5A13">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olor w:val="auto"/>
                      <w:szCs w:val="21"/>
                    </w:rPr>
                  </w:pPr>
                  <w:r>
                    <w:rPr>
                      <w:rFonts w:hint="eastAsia" w:ascii="Times New Roman" w:hAnsi="Times New Roman" w:eastAsia="宋体"/>
                      <w:color w:val="auto"/>
                      <w:szCs w:val="21"/>
                    </w:rPr>
                    <w:t>160</w:t>
                  </w:r>
                </w:p>
              </w:tc>
              <w:tc>
                <w:tcPr>
                  <w:tcW w:w="698" w:type="pct"/>
                  <w:noWrap w:val="0"/>
                  <w:vAlign w:val="center"/>
                </w:tcPr>
                <w:p w14:paraId="1C91D1D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w:t>
                  </w:r>
                  <w:r>
                    <w:rPr>
                      <w:rFonts w:hint="eastAsia"/>
                      <w:color w:val="auto"/>
                      <w:szCs w:val="21"/>
                      <w:lang w:val="en-US" w:eastAsia="zh-CN"/>
                    </w:rPr>
                    <w:t>5.63</w:t>
                  </w:r>
                </w:p>
              </w:tc>
              <w:tc>
                <w:tcPr>
                  <w:tcW w:w="718" w:type="pct"/>
                  <w:noWrap w:val="0"/>
                  <w:vAlign w:val="center"/>
                </w:tcPr>
                <w:p w14:paraId="29D3161B">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不达标</w:t>
                  </w:r>
                </w:p>
              </w:tc>
            </w:tr>
          </w:tbl>
          <w:p w14:paraId="0180FF84">
            <w:pPr>
              <w:keepNext w:val="0"/>
              <w:keepLines w:val="0"/>
              <w:pageBreakBefore w:val="0"/>
              <w:kinsoku/>
              <w:wordWrap/>
              <w:overflowPunct/>
              <w:topLinePunct w:val="0"/>
              <w:autoSpaceDE w:val="0"/>
              <w:autoSpaceDN w:val="0"/>
              <w:bidi w:val="0"/>
              <w:adjustRightInd w:val="0"/>
              <w:spacing w:line="360" w:lineRule="auto"/>
              <w:textAlignment w:val="auto"/>
              <w:rPr>
                <w:rFonts w:ascii="Times New Roman" w:hAnsi="Times New Roman" w:eastAsia="宋体"/>
                <w:color w:val="auto"/>
                <w:kern w:val="0"/>
                <w:sz w:val="18"/>
                <w:szCs w:val="18"/>
              </w:rPr>
            </w:pPr>
            <w:r>
              <w:rPr>
                <w:rFonts w:ascii="Times New Roman" w:hAnsi="Times New Roman" w:eastAsia="宋体"/>
                <w:color w:val="auto"/>
                <w:kern w:val="0"/>
                <w:sz w:val="18"/>
                <w:szCs w:val="18"/>
              </w:rPr>
              <w:t>注：CO单位为mg/m</w:t>
            </w:r>
            <w:r>
              <w:rPr>
                <w:rFonts w:ascii="Times New Roman" w:hAnsi="Times New Roman" w:eastAsia="宋体"/>
                <w:color w:val="auto"/>
                <w:kern w:val="0"/>
                <w:sz w:val="18"/>
                <w:szCs w:val="18"/>
                <w:vertAlign w:val="superscript"/>
              </w:rPr>
              <w:t>3</w:t>
            </w:r>
            <w:r>
              <w:rPr>
                <w:rFonts w:hint="eastAsia" w:ascii="Times New Roman" w:hAnsi="Times New Roman" w:eastAsia="宋体"/>
                <w:color w:val="auto"/>
                <w:kern w:val="0"/>
                <w:sz w:val="18"/>
                <w:szCs w:val="18"/>
              </w:rPr>
              <w:t>。</w:t>
            </w:r>
          </w:p>
          <w:p w14:paraId="164FE00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Cs w:val="21"/>
              </w:rPr>
              <w:t>根据202</w:t>
            </w:r>
            <w:r>
              <w:rPr>
                <w:rFonts w:hint="eastAsia"/>
                <w:color w:val="auto"/>
                <w:szCs w:val="21"/>
                <w:lang w:val="en-US" w:eastAsia="zh-CN"/>
              </w:rPr>
              <w:t>3</w:t>
            </w:r>
            <w:r>
              <w:rPr>
                <w:rFonts w:hint="eastAsia" w:ascii="Times New Roman" w:hAnsi="Times New Roman" w:eastAsia="宋体"/>
                <w:color w:val="auto"/>
                <w:szCs w:val="21"/>
              </w:rPr>
              <w:t>年南通市生态环境状况公报，</w:t>
            </w:r>
            <w:r>
              <w:rPr>
                <w:rFonts w:ascii="Times New Roman" w:hAnsi="Times New Roman" w:eastAsia="宋体"/>
                <w:color w:val="auto"/>
                <w:sz w:val="21"/>
                <w:szCs w:val="21"/>
              </w:rPr>
              <w:t>对照《环境空气质量标准》（GB3095-2012）</w:t>
            </w:r>
            <w:r>
              <w:rPr>
                <w:rFonts w:hint="eastAsia" w:ascii="Times New Roman" w:hAnsi="Times New Roman" w:eastAsia="宋体"/>
                <w:color w:val="auto"/>
                <w:sz w:val="21"/>
                <w:szCs w:val="21"/>
                <w:lang w:eastAsia="zh-CN"/>
              </w:rPr>
              <w:t>，除区域</w:t>
            </w:r>
            <w:r>
              <w:rPr>
                <w:rFonts w:ascii="Times New Roman" w:hAnsi="Times New Roman" w:eastAsia="宋体"/>
                <w:color w:val="auto"/>
                <w:sz w:val="21"/>
                <w:szCs w:val="21"/>
              </w:rPr>
              <w:t>O</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日最大8小时滑动平均</w:t>
            </w:r>
            <w:r>
              <w:rPr>
                <w:rFonts w:hint="eastAsia" w:ascii="Times New Roman" w:hAnsi="Times New Roman" w:eastAsia="宋体"/>
                <w:color w:val="auto"/>
                <w:sz w:val="21"/>
                <w:szCs w:val="21"/>
                <w:lang w:eastAsia="zh-CN"/>
              </w:rPr>
              <w:t>值</w:t>
            </w:r>
            <w:r>
              <w:rPr>
                <w:rFonts w:ascii="Times New Roman" w:hAnsi="Times New Roman" w:eastAsia="宋体"/>
                <w:color w:val="auto"/>
                <w:sz w:val="21"/>
                <w:szCs w:val="21"/>
              </w:rPr>
              <w:t>第90百分位</w:t>
            </w:r>
            <w:r>
              <w:rPr>
                <w:rFonts w:hint="eastAsia" w:ascii="Times New Roman" w:hAnsi="Times New Roman" w:eastAsia="宋体"/>
                <w:color w:val="auto"/>
                <w:sz w:val="21"/>
                <w:szCs w:val="21"/>
                <w:lang w:eastAsia="zh-CN"/>
              </w:rPr>
              <w:t>数</w:t>
            </w:r>
            <w:r>
              <w:rPr>
                <w:rFonts w:hint="eastAsia" w:ascii="Times New Roman" w:hAnsi="Times New Roman" w:eastAsia="宋体"/>
                <w:color w:val="auto"/>
                <w:sz w:val="21"/>
                <w:szCs w:val="21"/>
              </w:rPr>
              <w:t>质量浓度</w:t>
            </w:r>
            <w:r>
              <w:rPr>
                <w:rFonts w:hint="eastAsia" w:ascii="Times New Roman" w:hAnsi="Times New Roman" w:eastAsia="宋体"/>
                <w:color w:val="auto"/>
                <w:sz w:val="21"/>
                <w:szCs w:val="21"/>
                <w:lang w:eastAsia="zh-CN"/>
              </w:rPr>
              <w:t>超标</w:t>
            </w:r>
            <w:r>
              <w:rPr>
                <w:rFonts w:ascii="Times New Roman" w:hAnsi="Times New Roman" w:eastAsia="宋体"/>
                <w:color w:val="auto"/>
                <w:sz w:val="21"/>
                <w:szCs w:val="21"/>
              </w:rPr>
              <w:t>，其他基本项目年评价指标均达标</w:t>
            </w:r>
            <w:r>
              <w:rPr>
                <w:rFonts w:hint="eastAsia"/>
                <w:color w:val="auto"/>
                <w:sz w:val="21"/>
                <w:szCs w:val="21"/>
                <w:lang w:eastAsia="zh-CN"/>
              </w:rPr>
              <w:t>，</w:t>
            </w:r>
            <w:r>
              <w:rPr>
                <w:rFonts w:hint="eastAsia"/>
                <w:color w:val="auto"/>
                <w:sz w:val="21"/>
                <w:szCs w:val="21"/>
                <w:lang w:val="en-US" w:eastAsia="zh-CN"/>
              </w:rPr>
              <w:t>因此判定为不达标区。</w:t>
            </w:r>
          </w:p>
          <w:p w14:paraId="47970439">
            <w:pPr>
              <w:spacing w:line="360" w:lineRule="auto"/>
              <w:ind w:firstLine="480"/>
              <w:rPr>
                <w:rFonts w:hint="eastAsia"/>
                <w:color w:val="auto"/>
                <w:lang w:bidi="ar"/>
              </w:rPr>
            </w:pPr>
            <w:r>
              <w:rPr>
                <w:rFonts w:hint="eastAsia"/>
                <w:color w:val="auto"/>
                <w:lang w:bidi="ar"/>
              </w:rPr>
              <w:t>深入贯彻习近平生态文明思想和习近平总书记对江苏工作重要讲话重要指示精神，协同推进降碳、减污、扩绿、增长，南通市人民政府出台了《南通市空气质量持续改善行动计划实施方案》（通政发[2024]24号），以改善空气质量为核心，以减少重污染天气和解决人民群众身边的突出大气环境问题为重点，以降低细颗粒物(PM</w:t>
            </w:r>
            <w:r>
              <w:rPr>
                <w:rFonts w:hint="eastAsia"/>
                <w:color w:val="auto"/>
                <w:vertAlign w:val="subscript"/>
                <w:lang w:bidi="ar"/>
              </w:rPr>
              <w:t>2.5</w:t>
            </w:r>
            <w:r>
              <w:rPr>
                <w:rFonts w:hint="eastAsia"/>
                <w:color w:val="auto"/>
                <w:lang w:bidi="ar"/>
              </w:rPr>
              <w:t>)浓度为主线，大力推动氮氧化物和挥发性有机物(VOCs)减排。到2025年，全市PM</w:t>
            </w:r>
            <w:r>
              <w:rPr>
                <w:rFonts w:hint="eastAsia"/>
                <w:color w:val="auto"/>
                <w:vertAlign w:val="subscript"/>
                <w:lang w:bidi="ar"/>
              </w:rPr>
              <w:t>2.5</w:t>
            </w:r>
            <w:r>
              <w:rPr>
                <w:rFonts w:hint="eastAsia"/>
                <w:color w:val="auto"/>
                <w:lang w:bidi="ar"/>
              </w:rPr>
              <w:t>平均浓度27微克/立方米左右，氮氧化物和VOCs排放总量比2020年下降10%以上，完成国家下达的减排目标。</w:t>
            </w:r>
          </w:p>
          <w:p w14:paraId="4882835B">
            <w:pPr>
              <w:spacing w:line="360" w:lineRule="auto"/>
              <w:ind w:firstLine="420" w:firstLineChars="200"/>
              <w:rPr>
                <w:color w:val="auto"/>
              </w:rPr>
            </w:pPr>
            <w:r>
              <w:rPr>
                <w:rFonts w:hint="eastAsia" w:hAnsi="宋体"/>
                <w:color w:val="auto"/>
                <w:szCs w:val="21"/>
              </w:rPr>
              <w:t>深入贯彻习近平生态文明思想和习近平总书记对江苏工作重要讲话重要指示精神，协同推进降碳、减污、扩绿、增长，</w:t>
            </w:r>
            <w:r>
              <w:rPr>
                <w:rFonts w:hint="eastAsia" w:hAnsi="宋体"/>
                <w:color w:val="auto"/>
                <w:szCs w:val="21"/>
                <w:lang w:val="en-US" w:eastAsia="zh-CN"/>
              </w:rPr>
              <w:t>如皋市人民</w:t>
            </w:r>
            <w:r>
              <w:rPr>
                <w:rFonts w:hAnsi="宋体"/>
                <w:color w:val="auto"/>
                <w:szCs w:val="21"/>
                <w:lang w:val="en-US" w:eastAsia="zh-CN"/>
              </w:rPr>
              <w:t>政府办公</w:t>
            </w:r>
            <w:r>
              <w:rPr>
                <w:rFonts w:hint="eastAsia" w:hAnsi="宋体"/>
                <w:color w:val="auto"/>
                <w:szCs w:val="21"/>
                <w:lang w:val="en-US" w:eastAsia="zh-CN"/>
              </w:rPr>
              <w:t>室关于印发如皋市空气质量持续改善行动计划实施方案的通知（皋政办发〔2024〕69 号）</w:t>
            </w:r>
            <w:r>
              <w:rPr>
                <w:rFonts w:hint="eastAsia" w:hAnsi="宋体"/>
                <w:color w:val="auto"/>
                <w:szCs w:val="21"/>
              </w:rPr>
              <w:t>，以改善空气质量为核心，以减少重污染天气和解决人民群众身边的突出大气环境问题为重点，以降低细颗粒物(PM</w:t>
            </w:r>
            <w:r>
              <w:rPr>
                <w:rFonts w:hint="eastAsia" w:hAnsi="宋体"/>
                <w:color w:val="auto"/>
                <w:szCs w:val="21"/>
                <w:vertAlign w:val="subscript"/>
              </w:rPr>
              <w:t>2.5</w:t>
            </w:r>
            <w:r>
              <w:rPr>
                <w:rFonts w:hint="eastAsia" w:hAnsi="宋体"/>
                <w:color w:val="auto"/>
                <w:szCs w:val="21"/>
              </w:rPr>
              <w:t>)浓度为主线，大力推动氮氧化物和挥发性有机物(VOCs)减排。到2</w:t>
            </w:r>
            <w:r>
              <w:rPr>
                <w:rFonts w:hint="eastAsia"/>
                <w:color w:val="auto"/>
                <w:lang w:bidi="ar"/>
              </w:rPr>
              <w:t>025年，全市PM</w:t>
            </w:r>
            <w:r>
              <w:rPr>
                <w:rFonts w:hint="eastAsia"/>
                <w:color w:val="auto"/>
                <w:vertAlign w:val="subscript"/>
                <w:lang w:bidi="ar"/>
              </w:rPr>
              <w:t>2.5</w:t>
            </w:r>
            <w:r>
              <w:rPr>
                <w:rFonts w:hint="eastAsia"/>
                <w:color w:val="auto"/>
                <w:lang w:bidi="ar"/>
              </w:rPr>
              <w:t>平均浓度</w:t>
            </w:r>
            <w:r>
              <w:rPr>
                <w:rFonts w:hint="eastAsia"/>
                <w:color w:val="auto"/>
                <w:lang w:val="en-US" w:eastAsia="zh-CN" w:bidi="ar"/>
              </w:rPr>
              <w:t>31</w:t>
            </w:r>
            <w:r>
              <w:rPr>
                <w:rFonts w:hint="eastAsia"/>
                <w:color w:val="auto"/>
                <w:lang w:bidi="ar"/>
              </w:rPr>
              <w:t>微克/立方米左右，氮氧化物和VOCs排放总量比2020年下降10%以上，完成国家下达的减排目标</w:t>
            </w:r>
            <w:r>
              <w:rPr>
                <w:rFonts w:hint="eastAsia"/>
                <w:color w:val="auto"/>
                <w:lang w:eastAsia="zh-CN" w:bidi="ar"/>
              </w:rPr>
              <w:t>。</w:t>
            </w:r>
          </w:p>
          <w:p w14:paraId="69D79EC1">
            <w:pPr>
              <w:spacing w:line="360" w:lineRule="auto"/>
              <w:ind w:firstLine="420" w:firstLineChars="200"/>
              <w:rPr>
                <w:rFonts w:hint="eastAsia"/>
                <w:color w:val="auto"/>
                <w:sz w:val="21"/>
                <w:szCs w:val="21"/>
              </w:rPr>
            </w:pPr>
            <w:r>
              <w:rPr>
                <w:color w:val="auto"/>
                <w:sz w:val="21"/>
                <w:szCs w:val="21"/>
              </w:rPr>
              <w:t xml:space="preserve">（2）特征污染物 </w:t>
            </w:r>
          </w:p>
          <w:p w14:paraId="5D4F389A">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根据《环境影响评价技术导则大气环境》（HJ2.2-2018）中“6.3 补充监测”要求，补充监测应至少取得7d有效数据，以近20年统计的当地主导风向为轴向，在厂址及主导风向下风向5km范围内设置1～2个监测点。</w:t>
            </w:r>
          </w:p>
          <w:p w14:paraId="2B68432C">
            <w:pPr>
              <w:spacing w:line="360" w:lineRule="auto"/>
              <w:ind w:firstLine="420" w:firstLineChars="200"/>
              <w:rPr>
                <w:rFonts w:ascii="Times New Roman" w:hAnsi="Times New Roman" w:eastAsia="宋体" w:cs="Times New Roman"/>
                <w:b/>
                <w:color w:val="auto"/>
                <w:sz w:val="24"/>
                <w:szCs w:val="24"/>
              </w:rPr>
            </w:pPr>
            <w:r>
              <w:rPr>
                <w:rFonts w:ascii="Times New Roman" w:hAnsi="Times New Roman" w:eastAsia="宋体" w:cs="Times New Roman"/>
                <w:color w:val="auto"/>
                <w:sz w:val="21"/>
                <w:szCs w:val="21"/>
              </w:rPr>
              <w:t>根据评价范围和常年主导风向，本项目在</w:t>
            </w:r>
            <w:r>
              <w:rPr>
                <w:rFonts w:hint="eastAsia" w:ascii="Times New Roman" w:hAnsi="Times New Roman" w:eastAsia="宋体" w:cs="Times New Roman"/>
                <w:color w:val="auto"/>
                <w:sz w:val="21"/>
                <w:szCs w:val="21"/>
                <w:lang w:val="en-US" w:eastAsia="zh-CN"/>
              </w:rPr>
              <w:t>厂址</w:t>
            </w:r>
            <w:r>
              <w:rPr>
                <w:rFonts w:ascii="Times New Roman" w:hAnsi="Times New Roman" w:eastAsia="宋体" w:cs="Times New Roman"/>
                <w:color w:val="auto"/>
                <w:sz w:val="21"/>
                <w:szCs w:val="21"/>
              </w:rPr>
              <w:t>主导风向下风向</w:t>
            </w:r>
            <w:r>
              <w:rPr>
                <w:rFonts w:hint="eastAsia"/>
                <w:color w:val="auto"/>
                <w:sz w:val="21"/>
                <w:szCs w:val="21"/>
                <w:lang w:val="en-US" w:eastAsia="zh-CN"/>
              </w:rPr>
              <w:t>陆姚社区</w:t>
            </w:r>
            <w:r>
              <w:rPr>
                <w:rFonts w:ascii="Times New Roman" w:hAnsi="Times New Roman" w:eastAsia="宋体" w:cs="Times New Roman"/>
                <w:color w:val="auto"/>
                <w:sz w:val="21"/>
                <w:szCs w:val="21"/>
              </w:rPr>
              <w:t>设1个监测点位。监测点布设见表3</w:t>
            </w: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rPr>
              <w:t>及图3</w:t>
            </w:r>
            <w:r>
              <w:rPr>
                <w:rFonts w:hint="eastAsia" w:ascii="Times New Roman" w:hAnsi="Times New Roman" w:eastAsia="宋体" w:cs="Times New Roman"/>
                <w:color w:val="auto"/>
                <w:sz w:val="21"/>
                <w:szCs w:val="21"/>
                <w:lang w:val="en-US" w:eastAsia="zh-CN"/>
              </w:rPr>
              <w:t>-1</w:t>
            </w:r>
            <w:r>
              <w:rPr>
                <w:rFonts w:ascii="Times New Roman" w:hAnsi="Times New Roman" w:eastAsia="宋体" w:cs="Times New Roman"/>
                <w:color w:val="auto"/>
                <w:sz w:val="21"/>
                <w:szCs w:val="21"/>
              </w:rPr>
              <w:t>。</w:t>
            </w:r>
          </w:p>
          <w:p w14:paraId="26F3BBDD">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表3-2环境空气质量现状布点</w:t>
            </w:r>
          </w:p>
          <w:tbl>
            <w:tblPr>
              <w:tblStyle w:val="25"/>
              <w:tblW w:w="498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00"/>
              <w:gridCol w:w="1399"/>
              <w:gridCol w:w="933"/>
              <w:gridCol w:w="1346"/>
              <w:gridCol w:w="3884"/>
            </w:tblGrid>
            <w:tr w14:paraId="723E7E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7" w:hRule="atLeast"/>
                <w:jc w:val="center"/>
              </w:trPr>
              <w:tc>
                <w:tcPr>
                  <w:tcW w:w="424" w:type="pct"/>
                  <w:tcBorders>
                    <w:tl2br w:val="nil"/>
                    <w:tr2bl w:val="nil"/>
                  </w:tcBorders>
                  <w:vAlign w:val="center"/>
                </w:tcPr>
                <w:p w14:paraId="2AD72563">
                  <w:pPr>
                    <w:adjustRightInd w:val="0"/>
                    <w:snapToGrid w:val="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编号</w:t>
                  </w:r>
                </w:p>
              </w:tc>
              <w:tc>
                <w:tcPr>
                  <w:tcW w:w="846" w:type="pct"/>
                  <w:tcBorders>
                    <w:tl2br w:val="nil"/>
                    <w:tr2bl w:val="nil"/>
                  </w:tcBorders>
                  <w:vAlign w:val="center"/>
                </w:tcPr>
                <w:p w14:paraId="283886F9">
                  <w:pPr>
                    <w:adjustRightInd w:val="0"/>
                    <w:snapToGrid w:val="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监测点位置</w:t>
                  </w:r>
                </w:p>
              </w:tc>
              <w:tc>
                <w:tcPr>
                  <w:tcW w:w="564" w:type="pct"/>
                  <w:tcBorders>
                    <w:tl2br w:val="nil"/>
                    <w:tr2bl w:val="nil"/>
                  </w:tcBorders>
                  <w:vAlign w:val="center"/>
                </w:tcPr>
                <w:p w14:paraId="49A986E6">
                  <w:pPr>
                    <w:adjustRightInd w:val="0"/>
                    <w:snapToGrid w:val="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方位</w:t>
                  </w:r>
                </w:p>
              </w:tc>
              <w:tc>
                <w:tcPr>
                  <w:tcW w:w="814" w:type="pct"/>
                  <w:tcBorders>
                    <w:tl2br w:val="nil"/>
                    <w:tr2bl w:val="nil"/>
                  </w:tcBorders>
                  <w:vAlign w:val="center"/>
                </w:tcPr>
                <w:p w14:paraId="04384A38">
                  <w:pPr>
                    <w:adjustRightInd w:val="0"/>
                    <w:snapToGrid w:val="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距离（m）</w:t>
                  </w:r>
                </w:p>
              </w:tc>
              <w:tc>
                <w:tcPr>
                  <w:tcW w:w="2349" w:type="pct"/>
                  <w:tcBorders>
                    <w:tl2br w:val="nil"/>
                    <w:tr2bl w:val="nil"/>
                  </w:tcBorders>
                  <w:vAlign w:val="center"/>
                </w:tcPr>
                <w:p w14:paraId="4B2DC423">
                  <w:pPr>
                    <w:adjustRightInd w:val="0"/>
                    <w:snapToGrid w:val="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监测因子</w:t>
                  </w:r>
                </w:p>
              </w:tc>
            </w:tr>
            <w:tr w14:paraId="0E7073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77" w:hRule="atLeast"/>
                <w:jc w:val="center"/>
              </w:trPr>
              <w:tc>
                <w:tcPr>
                  <w:tcW w:w="424" w:type="pct"/>
                  <w:tcBorders>
                    <w:tl2br w:val="nil"/>
                    <w:tr2bl w:val="nil"/>
                  </w:tcBorders>
                  <w:vAlign w:val="center"/>
                </w:tcPr>
                <w:p w14:paraId="05F08BE3">
                  <w:pPr>
                    <w:adjustRightInd w:val="0"/>
                    <w:snapToGrid w:val="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G1</w:t>
                  </w:r>
                </w:p>
              </w:tc>
              <w:tc>
                <w:tcPr>
                  <w:tcW w:w="846" w:type="pct"/>
                  <w:tcBorders>
                    <w:tl2br w:val="nil"/>
                    <w:tr2bl w:val="nil"/>
                  </w:tcBorders>
                  <w:vAlign w:val="center"/>
                </w:tcPr>
                <w:p w14:paraId="77BC629B">
                  <w:pPr>
                    <w:widowControl/>
                    <w:jc w:val="center"/>
                    <w:rPr>
                      <w:rFonts w:hint="eastAsia"/>
                      <w:color w:val="auto"/>
                      <w:sz w:val="21"/>
                      <w:szCs w:val="21"/>
                      <w:lang w:val="en-US" w:eastAsia="zh-CN"/>
                    </w:rPr>
                  </w:pPr>
                  <w:r>
                    <w:rPr>
                      <w:rFonts w:hint="eastAsia"/>
                      <w:color w:val="auto"/>
                      <w:sz w:val="21"/>
                      <w:szCs w:val="21"/>
                      <w:lang w:val="en-US" w:eastAsia="zh-CN"/>
                    </w:rPr>
                    <w:t>项目地下风向居民</w:t>
                  </w:r>
                </w:p>
                <w:p w14:paraId="0878B0CD">
                  <w:pPr>
                    <w:widowControl/>
                    <w:jc w:val="center"/>
                    <w:rPr>
                      <w:rFonts w:ascii="Times New Roman" w:hAnsi="Times New Roman" w:eastAsia="宋体" w:cs="Times New Roman"/>
                      <w:color w:val="auto"/>
                      <w:kern w:val="0"/>
                      <w:sz w:val="21"/>
                      <w:szCs w:val="21"/>
                    </w:rPr>
                  </w:pPr>
                  <w:r>
                    <w:rPr>
                      <w:rFonts w:hint="eastAsia"/>
                      <w:color w:val="auto"/>
                      <w:sz w:val="21"/>
                      <w:szCs w:val="21"/>
                      <w:lang w:val="en-US" w:eastAsia="zh-CN"/>
                    </w:rPr>
                    <w:t>（陆姚社区）</w:t>
                  </w:r>
                </w:p>
              </w:tc>
              <w:tc>
                <w:tcPr>
                  <w:tcW w:w="564" w:type="pct"/>
                  <w:tcBorders>
                    <w:tl2br w:val="nil"/>
                    <w:tr2bl w:val="nil"/>
                  </w:tcBorders>
                  <w:vAlign w:val="center"/>
                </w:tcPr>
                <w:p w14:paraId="3877BB74">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西北侧</w:t>
                  </w:r>
                </w:p>
              </w:tc>
              <w:tc>
                <w:tcPr>
                  <w:tcW w:w="814" w:type="pct"/>
                  <w:tcBorders>
                    <w:tl2br w:val="nil"/>
                    <w:tr2bl w:val="nil"/>
                  </w:tcBorders>
                  <w:vAlign w:val="center"/>
                </w:tcPr>
                <w:p w14:paraId="58D0B23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2349" w:type="pct"/>
                  <w:tcBorders>
                    <w:tl2br w:val="nil"/>
                    <w:tr2bl w:val="nil"/>
                  </w:tcBorders>
                  <w:vAlign w:val="center"/>
                </w:tcPr>
                <w:p w14:paraId="2E0C7780">
                  <w:pPr>
                    <w:adjustRightInd w:val="0"/>
                    <w:snapToGrid w:val="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rPr>
                    <w:t>甲醛、非甲烷总烃、TSP、</w:t>
                  </w:r>
                  <w:r>
                    <w:rPr>
                      <w:rFonts w:hint="eastAsia" w:ascii="Times New Roman" w:hAnsi="Times New Roman" w:eastAsia="宋体" w:cs="Times New Roman"/>
                      <w:bCs/>
                      <w:color w:val="auto"/>
                      <w:szCs w:val="21"/>
                      <w:lang w:val="en-US" w:eastAsia="zh-CN"/>
                    </w:rPr>
                    <w:t>酚类（苯酚）</w:t>
                  </w:r>
                </w:p>
              </w:tc>
            </w:tr>
          </w:tbl>
          <w:p w14:paraId="6940C983">
            <w:pPr>
              <w:adjustRightInd w:val="0"/>
              <w:spacing w:line="360" w:lineRule="auto"/>
              <w:jc w:val="center"/>
              <w:rPr>
                <w:rFonts w:ascii="Times New Roman" w:hAnsi="Times New Roman" w:eastAsia="宋体" w:cs="Times New Roman"/>
                <w:b/>
                <w:color w:val="auto"/>
                <w:sz w:val="21"/>
                <w:szCs w:val="21"/>
              </w:rPr>
            </w:pPr>
            <w:r>
              <w:rPr>
                <w:color w:val="auto"/>
                <w:sz w:val="21"/>
                <w:szCs w:val="21"/>
              </w:rPr>
              <w:drawing>
                <wp:anchor distT="0" distB="0" distL="114300" distR="114300" simplePos="0" relativeHeight="251674624" behindDoc="0" locked="0" layoutInCell="1" allowOverlap="1">
                  <wp:simplePos x="0" y="0"/>
                  <wp:positionH relativeFrom="column">
                    <wp:posOffset>334645</wp:posOffset>
                  </wp:positionH>
                  <wp:positionV relativeFrom="paragraph">
                    <wp:posOffset>143510</wp:posOffset>
                  </wp:positionV>
                  <wp:extent cx="4801870" cy="3011170"/>
                  <wp:effectExtent l="0" t="0" r="17780" b="1778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4801870" cy="3011170"/>
                          </a:xfrm>
                          <a:prstGeom prst="rect">
                            <a:avLst/>
                          </a:prstGeom>
                          <a:noFill/>
                          <a:ln>
                            <a:noFill/>
                          </a:ln>
                        </pic:spPr>
                      </pic:pic>
                    </a:graphicData>
                  </a:graphic>
                </wp:anchor>
              </w:drawing>
            </w:r>
            <w:r>
              <w:rPr>
                <w:rFonts w:ascii="Times New Roman" w:hAnsi="Times New Roman" w:eastAsia="宋体" w:cs="Times New Roman"/>
                <w:b/>
                <w:color w:val="auto"/>
                <w:sz w:val="21"/>
                <w:szCs w:val="21"/>
              </w:rPr>
              <w:t>图3-1 大气</w:t>
            </w:r>
            <w:r>
              <w:rPr>
                <w:rFonts w:hint="eastAsia" w:ascii="Times New Roman" w:hAnsi="Times New Roman" w:eastAsia="宋体" w:cs="Times New Roman"/>
                <w:b/>
                <w:color w:val="auto"/>
                <w:sz w:val="21"/>
                <w:szCs w:val="21"/>
                <w:lang w:val="en-US" w:eastAsia="zh-CN"/>
              </w:rPr>
              <w:t>本底</w:t>
            </w:r>
            <w:r>
              <w:rPr>
                <w:rFonts w:ascii="Times New Roman" w:hAnsi="Times New Roman" w:eastAsia="宋体" w:cs="Times New Roman"/>
                <w:b/>
                <w:color w:val="auto"/>
                <w:sz w:val="21"/>
                <w:szCs w:val="21"/>
              </w:rPr>
              <w:t>监测图</w:t>
            </w:r>
          </w:p>
          <w:p w14:paraId="69E57D45">
            <w:pPr>
              <w:adjustRightInd w:val="0"/>
              <w:snapToGrid w:val="0"/>
              <w:spacing w:line="360" w:lineRule="auto"/>
              <w:ind w:firstLine="48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）执行标准</w:t>
            </w:r>
          </w:p>
          <w:p w14:paraId="3449D5A8">
            <w:pPr>
              <w:adjustRightInd w:val="0"/>
              <w:snapToGrid w:val="0"/>
              <w:spacing w:line="360" w:lineRule="auto"/>
              <w:ind w:firstLine="480"/>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TSP执行《环境空气质量标准》（GB3095-2012）中二级标准，非甲烷总烃</w:t>
            </w:r>
            <w:r>
              <w:rPr>
                <w:rFonts w:hint="eastAsia" w:ascii="Times New Roman" w:hAnsi="Times New Roman" w:eastAsia="宋体" w:cs="Times New Roman"/>
                <w:color w:val="auto"/>
                <w:sz w:val="21"/>
                <w:szCs w:val="21"/>
                <w:lang w:val="en-US" w:eastAsia="zh-CN"/>
              </w:rPr>
              <w:t>执行</w:t>
            </w:r>
            <w:r>
              <w:rPr>
                <w:rFonts w:ascii="Times New Roman" w:hAnsi="Times New Roman" w:eastAsia="宋体" w:cs="Times New Roman"/>
                <w:color w:val="auto"/>
                <w:sz w:val="21"/>
                <w:szCs w:val="21"/>
              </w:rPr>
              <w:t>《大气污染物综合排放标准详解》，甲醛执行《环境影响评价技术导则—大气环境》（HJ2.2-2018）附录D标准</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酚类（以苯酚计）</w:t>
            </w:r>
            <w:r>
              <w:rPr>
                <w:rFonts w:hint="eastAsia" w:ascii="Times New Roman" w:hAnsi="Times New Roman" w:eastAsia="宋体" w:cs="Times New Roman"/>
                <w:color w:val="auto"/>
                <w:sz w:val="21"/>
                <w:szCs w:val="21"/>
                <w:lang w:val="en-US" w:eastAsia="zh-CN"/>
              </w:rPr>
              <w:t>执行《国内外空气质量标准与基准汇编》（丁峰等，中国环境出版集团，2020年6月第1版）</w:t>
            </w:r>
            <w:r>
              <w:rPr>
                <w:rFonts w:hint="eastAsia" w:cs="Times New Roman"/>
                <w:color w:val="auto"/>
                <w:sz w:val="21"/>
                <w:szCs w:val="21"/>
                <w:lang w:val="en-US" w:eastAsia="zh-CN"/>
              </w:rPr>
              <w:t>提供的加拿大阿尔伯塔省空气质量目标值</w:t>
            </w:r>
            <w:r>
              <w:rPr>
                <w:rFonts w:hint="eastAsia" w:ascii="Times New Roman" w:hAnsi="Times New Roman" w:eastAsia="宋体" w:cs="Times New Roman"/>
                <w:color w:val="auto"/>
                <w:sz w:val="21"/>
                <w:szCs w:val="21"/>
                <w:lang w:val="en-US" w:eastAsia="zh-CN"/>
              </w:rPr>
              <w:t>。</w:t>
            </w:r>
          </w:p>
          <w:p w14:paraId="537A69E8">
            <w:pPr>
              <w:adjustRightInd w:val="0"/>
              <w:snapToGrid w:val="0"/>
              <w:spacing w:line="360" w:lineRule="auto"/>
              <w:ind w:firstLine="48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）检测方法</w:t>
            </w:r>
          </w:p>
          <w:p w14:paraId="5400F415">
            <w:pPr>
              <w:spacing w:line="460" w:lineRule="exact"/>
              <w:ind w:firstLine="48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表3-3 大气监测分析方法表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6720"/>
            </w:tblGrid>
            <w:tr w14:paraId="691D9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8" w:type="pct"/>
                  <w:tcBorders>
                    <w:tl2br w:val="nil"/>
                    <w:tr2bl w:val="nil"/>
                  </w:tcBorders>
                  <w:vAlign w:val="center"/>
                </w:tcPr>
                <w:p w14:paraId="59CD488A">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项目名称</w:t>
                  </w:r>
                </w:p>
              </w:tc>
              <w:tc>
                <w:tcPr>
                  <w:tcW w:w="4051" w:type="pct"/>
                  <w:tcBorders>
                    <w:tl2br w:val="nil"/>
                    <w:tr2bl w:val="nil"/>
                  </w:tcBorders>
                  <w:vAlign w:val="center"/>
                </w:tcPr>
                <w:p w14:paraId="419C9CEC">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方法来源</w:t>
                  </w:r>
                </w:p>
              </w:tc>
            </w:tr>
            <w:tr w14:paraId="56F78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8" w:type="pct"/>
                  <w:tcBorders>
                    <w:tl2br w:val="nil"/>
                    <w:tr2bl w:val="nil"/>
                  </w:tcBorders>
                  <w:vAlign w:val="center"/>
                </w:tcPr>
                <w:p w14:paraId="7E8B0DEF">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甲醛</w:t>
                  </w:r>
                </w:p>
              </w:tc>
              <w:tc>
                <w:tcPr>
                  <w:tcW w:w="4051" w:type="pct"/>
                  <w:tcBorders>
                    <w:tl2br w:val="nil"/>
                    <w:tr2bl w:val="nil"/>
                  </w:tcBorders>
                  <w:vAlign w:val="center"/>
                </w:tcPr>
                <w:p w14:paraId="1EBCA3CD">
                  <w:pPr>
                    <w:widowControl/>
                    <w:jc w:val="left"/>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《空气质量甲醛的测定乙酰丙酮分光光度法》GB/T15516-1995</w:t>
                  </w:r>
                </w:p>
              </w:tc>
            </w:tr>
            <w:tr w14:paraId="70AA3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8" w:type="pct"/>
                  <w:tcBorders>
                    <w:tl2br w:val="nil"/>
                    <w:tr2bl w:val="nil"/>
                  </w:tcBorders>
                  <w:vAlign w:val="center"/>
                </w:tcPr>
                <w:p w14:paraId="2316E68F">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非甲烷总烃</w:t>
                  </w:r>
                </w:p>
              </w:tc>
              <w:tc>
                <w:tcPr>
                  <w:tcW w:w="4051" w:type="pct"/>
                  <w:tcBorders>
                    <w:tl2br w:val="nil"/>
                    <w:tr2bl w:val="nil"/>
                  </w:tcBorders>
                  <w:vAlign w:val="center"/>
                </w:tcPr>
                <w:p w14:paraId="1212A17D">
                  <w:pPr>
                    <w:widowControl/>
                    <w:jc w:val="left"/>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《环境空气 总烃、甲烷和非甲烷总烃的测定 直接进样-气相色谱法》</w:t>
                  </w:r>
                </w:p>
                <w:p w14:paraId="69648565">
                  <w:pPr>
                    <w:widowControl/>
                    <w:jc w:val="left"/>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HJ604-2017</w:t>
                  </w:r>
                </w:p>
              </w:tc>
            </w:tr>
            <w:tr w14:paraId="2CFA8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8" w:type="pct"/>
                  <w:tcBorders>
                    <w:tl2br w:val="nil"/>
                    <w:tr2bl w:val="nil"/>
                  </w:tcBorders>
                  <w:vAlign w:val="center"/>
                </w:tcPr>
                <w:p w14:paraId="4F618EAB">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总悬浮颗粒物</w:t>
                  </w:r>
                </w:p>
              </w:tc>
              <w:tc>
                <w:tcPr>
                  <w:tcW w:w="4051" w:type="pct"/>
                  <w:tcBorders>
                    <w:tl2br w:val="nil"/>
                    <w:tr2bl w:val="nil"/>
                  </w:tcBorders>
                  <w:vAlign w:val="center"/>
                </w:tcPr>
                <w:p w14:paraId="1E75C9CB">
                  <w:pPr>
                    <w:widowControl/>
                    <w:jc w:val="left"/>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 xml:space="preserve">《环境空气 总悬浮颗粒物的测定 重量法》HJ 1263-2022 </w:t>
                  </w:r>
                </w:p>
              </w:tc>
            </w:tr>
            <w:tr w14:paraId="68B84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8" w:type="pct"/>
                  <w:tcBorders>
                    <w:tl2br w:val="nil"/>
                    <w:tr2bl w:val="nil"/>
                  </w:tcBorders>
                  <w:vAlign w:val="center"/>
                </w:tcPr>
                <w:p w14:paraId="167D42DE">
                  <w:pPr>
                    <w:widowControl/>
                    <w:jc w:val="center"/>
                    <w:rPr>
                      <w:rFonts w:hint="default"/>
                      <w:color w:val="auto"/>
                      <w:sz w:val="21"/>
                      <w:szCs w:val="21"/>
                      <w:lang w:val="en-US" w:eastAsia="zh-CN"/>
                    </w:rPr>
                  </w:pPr>
                  <w:r>
                    <w:rPr>
                      <w:rFonts w:hint="eastAsia"/>
                      <w:color w:val="auto"/>
                      <w:sz w:val="21"/>
                      <w:szCs w:val="21"/>
                      <w:lang w:val="en-US" w:eastAsia="zh-CN"/>
                    </w:rPr>
                    <w:t>酚类</w:t>
                  </w:r>
                </w:p>
              </w:tc>
              <w:tc>
                <w:tcPr>
                  <w:tcW w:w="4051" w:type="pct"/>
                  <w:tcBorders>
                    <w:tl2br w:val="nil"/>
                    <w:tr2bl w:val="nil"/>
                  </w:tcBorders>
                  <w:vAlign w:val="center"/>
                </w:tcPr>
                <w:p w14:paraId="6FE63106">
                  <w:pPr>
                    <w:keepNext w:val="0"/>
                    <w:keepLines w:val="0"/>
                    <w:pageBreakBefore w:val="0"/>
                    <w:widowControl/>
                    <w:suppressLineNumbers w:val="0"/>
                    <w:kinsoku/>
                    <w:wordWrap/>
                    <w:overflowPunct/>
                    <w:topLinePunct w:val="0"/>
                    <w:autoSpaceDE/>
                    <w:autoSpaceDN/>
                    <w:bidi w:val="0"/>
                    <w:spacing w:line="0" w:lineRule="atLeast"/>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《空气和废气监测分析方法》(第四版增补版)国家环境保护总局(2003年)</w:t>
                  </w:r>
                </w:p>
                <w:p w14:paraId="3DD5E43D">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both"/>
                    <w:rPr>
                      <w:rFonts w:hint="eastAsia"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color w:val="auto"/>
                      <w:kern w:val="0"/>
                      <w:szCs w:val="21"/>
                    </w:rPr>
                    <w:t>只用：6.2.4.1 4-氨基安替比林分光光度法，只测：环境空气</w:t>
                  </w:r>
                </w:p>
              </w:tc>
            </w:tr>
          </w:tbl>
          <w:p w14:paraId="219DEEE9">
            <w:pPr>
              <w:pStyle w:val="52"/>
              <w:keepNext w:val="0"/>
              <w:keepLines w:val="0"/>
              <w:pageBreakBefore w:val="0"/>
              <w:widowControl w:val="0"/>
              <w:numPr>
                <w:ilvl w:val="0"/>
                <w:numId w:val="7"/>
              </w:numPr>
              <w:kinsoku/>
              <w:wordWrap/>
              <w:overflowPunct/>
              <w:topLinePunct w:val="0"/>
              <w:autoSpaceDE/>
              <w:autoSpaceDN/>
              <w:bidi w:val="0"/>
              <w:adjustRightInd/>
              <w:snapToGrid w:val="0"/>
              <w:spacing w:beforeLines="50" w:line="360" w:lineRule="auto"/>
              <w:ind w:left="0" w:leftChars="0" w:firstLine="420" w:firstLineChars="200"/>
              <w:textAlignment w:val="auto"/>
              <w:rPr>
                <w:rFonts w:ascii="Times New Roman" w:hAnsi="Times New Roman" w:eastAsia="宋体" w:cs="Times New Roman"/>
                <w:color w:val="auto"/>
                <w:kern w:val="2"/>
                <w:sz w:val="21"/>
                <w:szCs w:val="21"/>
                <w:lang w:val="en-US" w:eastAsia="zh-CN" w:bidi="ar-SA"/>
              </w:rPr>
            </w:pPr>
            <w:r>
              <w:rPr>
                <w:rFonts w:eastAsia="宋体" w:cs="Times New Roman"/>
                <w:color w:val="auto"/>
                <w:sz w:val="21"/>
                <w:szCs w:val="21"/>
              </w:rPr>
              <w:t>监测结果与统计</w:t>
            </w:r>
            <w:r>
              <w:rPr>
                <w:rFonts w:ascii="Times New Roman" w:hAnsi="Times New Roman" w:eastAsia="宋体" w:cs="Times New Roman"/>
                <w:color w:val="auto"/>
                <w:kern w:val="2"/>
                <w:sz w:val="21"/>
                <w:szCs w:val="21"/>
                <w:lang w:val="en-US" w:eastAsia="zh-CN" w:bidi="ar-SA"/>
              </w:rPr>
              <w:t>分析</w:t>
            </w:r>
          </w:p>
          <w:p w14:paraId="6AB0B756">
            <w:pPr>
              <w:pStyle w:val="52"/>
              <w:keepNext w:val="0"/>
              <w:keepLines w:val="0"/>
              <w:pageBreakBefore w:val="0"/>
              <w:widowControl w:val="0"/>
              <w:numPr>
                <w:ilvl w:val="0"/>
                <w:numId w:val="0"/>
              </w:numPr>
              <w:kinsoku/>
              <w:wordWrap/>
              <w:overflowPunct/>
              <w:topLinePunct w:val="0"/>
              <w:autoSpaceDE/>
              <w:autoSpaceDN/>
              <w:bidi w:val="0"/>
              <w:adjustRightInd/>
              <w:snapToGrid w:val="0"/>
              <w:spacing w:beforeLines="50" w:line="360" w:lineRule="auto"/>
              <w:ind w:firstLine="420" w:firstLineChars="200"/>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委托苏州环朗环境检测技术有限公司对大气环境特征因子甲醛、非甲烷总烃、TSP进行质量现状监测，详见附件（检测报告编号：HL2410016）；委托</w:t>
            </w:r>
            <w:r>
              <w:rPr>
                <w:rFonts w:hint="default" w:ascii="Times New Roman" w:hAnsi="Times New Roman" w:eastAsia="宋体" w:cs="Times New Roman"/>
                <w:color w:val="auto"/>
                <w:kern w:val="2"/>
                <w:sz w:val="21"/>
                <w:szCs w:val="21"/>
                <w:lang w:val="en-US" w:eastAsia="zh-CN" w:bidi="ar-SA"/>
              </w:rPr>
              <w:t>江苏恒安检测技术有限公司</w:t>
            </w:r>
            <w:r>
              <w:rPr>
                <w:rFonts w:hint="eastAsia" w:ascii="Times New Roman" w:hAnsi="Times New Roman" w:eastAsia="宋体" w:cs="Times New Roman"/>
                <w:color w:val="auto"/>
                <w:kern w:val="2"/>
                <w:sz w:val="21"/>
                <w:szCs w:val="21"/>
                <w:lang w:val="en-US" w:eastAsia="zh-CN" w:bidi="ar-SA"/>
              </w:rPr>
              <w:t>对大气环境特征因子</w:t>
            </w:r>
            <w:r>
              <w:rPr>
                <w:rFonts w:hint="eastAsia" w:eastAsia="宋体" w:cs="Times New Roman"/>
                <w:color w:val="auto"/>
                <w:kern w:val="2"/>
                <w:sz w:val="21"/>
                <w:szCs w:val="21"/>
                <w:lang w:val="en-US" w:eastAsia="zh-CN" w:bidi="ar-SA"/>
              </w:rPr>
              <w:t>酚类</w:t>
            </w:r>
            <w:r>
              <w:rPr>
                <w:rFonts w:hint="eastAsia" w:ascii="Times New Roman" w:hAnsi="Times New Roman" w:eastAsia="宋体" w:cs="Times New Roman"/>
                <w:color w:val="auto"/>
                <w:kern w:val="2"/>
                <w:sz w:val="21"/>
                <w:szCs w:val="21"/>
                <w:lang w:val="en-US" w:eastAsia="zh-CN" w:bidi="ar-SA"/>
              </w:rPr>
              <w:t>进行质量现状监测，详见附件（检测报告编号：（2025）恒安（气）字第（060）号）。</w:t>
            </w:r>
            <w:r>
              <w:rPr>
                <w:rFonts w:ascii="Times New Roman" w:hAnsi="Times New Roman" w:eastAsia="宋体" w:cs="Times New Roman"/>
                <w:color w:val="auto"/>
                <w:kern w:val="2"/>
                <w:sz w:val="21"/>
                <w:szCs w:val="21"/>
                <w:lang w:val="en-US" w:eastAsia="zh-CN" w:bidi="ar-SA"/>
              </w:rPr>
              <w:t>大气环境质量现状监测数据及评价结果见下表。</w:t>
            </w:r>
          </w:p>
          <w:p w14:paraId="65CBCA32">
            <w:pPr>
              <w:spacing w:line="460" w:lineRule="exact"/>
              <w:ind w:firstLine="480"/>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表3-4</w:t>
            </w:r>
            <w:r>
              <w:rPr>
                <w:rFonts w:hint="eastAsia" w:ascii="Times New Roman" w:hAnsi="Times New Roman" w:eastAsia="宋体" w:cs="Times New Roman"/>
                <w:b/>
                <w:color w:val="auto"/>
                <w:sz w:val="21"/>
                <w:szCs w:val="21"/>
                <w:lang w:val="en-US" w:eastAsia="zh-CN"/>
              </w:rPr>
              <w:t>-1</w:t>
            </w:r>
            <w:r>
              <w:rPr>
                <w:rFonts w:ascii="Times New Roman" w:hAnsi="Times New Roman" w:eastAsia="宋体" w:cs="Times New Roman"/>
                <w:b/>
                <w:color w:val="auto"/>
                <w:sz w:val="21"/>
                <w:szCs w:val="21"/>
              </w:rPr>
              <w:t>废气监测结果一览表</w:t>
            </w:r>
          </w:p>
          <w:tbl>
            <w:tblPr>
              <w:tblStyle w:val="26"/>
              <w:tblW w:w="80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342"/>
              <w:gridCol w:w="1606"/>
              <w:gridCol w:w="1267"/>
              <w:gridCol w:w="1499"/>
              <w:gridCol w:w="1313"/>
            </w:tblGrid>
            <w:tr w14:paraId="3240E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651" w:type="pct"/>
                  <w:vMerge w:val="restart"/>
                  <w:tcBorders>
                    <w:tl2br w:val="nil"/>
                    <w:tr2bl w:val="nil"/>
                  </w:tcBorders>
                  <w:vAlign w:val="center"/>
                </w:tcPr>
                <w:p w14:paraId="410DFBAE">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测点位置</w:t>
                  </w:r>
                </w:p>
              </w:tc>
              <w:tc>
                <w:tcPr>
                  <w:tcW w:w="1824" w:type="pct"/>
                  <w:gridSpan w:val="2"/>
                  <w:vMerge w:val="restart"/>
                  <w:tcBorders>
                    <w:tl2br w:val="nil"/>
                    <w:tr2bl w:val="nil"/>
                  </w:tcBorders>
                  <w:vAlign w:val="center"/>
                </w:tcPr>
                <w:p w14:paraId="6928A3B0">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采样时间</w:t>
                  </w:r>
                </w:p>
              </w:tc>
              <w:tc>
                <w:tcPr>
                  <w:tcW w:w="2524" w:type="pct"/>
                  <w:gridSpan w:val="3"/>
                  <w:tcBorders>
                    <w:tl2br w:val="nil"/>
                    <w:tr2bl w:val="nil"/>
                  </w:tcBorders>
                  <w:vAlign w:val="center"/>
                </w:tcPr>
                <w:p w14:paraId="20FAFE8E">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检测结果</w:t>
                  </w:r>
                </w:p>
              </w:tc>
            </w:tr>
            <w:tr w14:paraId="3008D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651" w:type="pct"/>
                  <w:vMerge w:val="continue"/>
                  <w:tcBorders>
                    <w:tl2br w:val="nil"/>
                    <w:tr2bl w:val="nil"/>
                  </w:tcBorders>
                  <w:vAlign w:val="center"/>
                </w:tcPr>
                <w:p w14:paraId="7D479E76">
                  <w:pPr>
                    <w:jc w:val="center"/>
                    <w:rPr>
                      <w:rFonts w:ascii="Times New Roman" w:hAnsi="Times New Roman" w:eastAsia="宋体" w:cs="Times New Roman"/>
                      <w:color w:val="auto"/>
                      <w:sz w:val="21"/>
                      <w:szCs w:val="21"/>
                    </w:rPr>
                  </w:pPr>
                </w:p>
              </w:tc>
              <w:tc>
                <w:tcPr>
                  <w:tcW w:w="1824" w:type="pct"/>
                  <w:gridSpan w:val="2"/>
                  <w:vMerge w:val="continue"/>
                  <w:tcBorders>
                    <w:tl2br w:val="nil"/>
                    <w:tr2bl w:val="nil"/>
                  </w:tcBorders>
                  <w:vAlign w:val="center"/>
                </w:tcPr>
                <w:p w14:paraId="41DEA592">
                  <w:pPr>
                    <w:jc w:val="center"/>
                    <w:rPr>
                      <w:rFonts w:ascii="Times New Roman" w:hAnsi="Times New Roman" w:eastAsia="宋体" w:cs="Times New Roman"/>
                      <w:color w:val="auto"/>
                      <w:sz w:val="21"/>
                      <w:szCs w:val="21"/>
                    </w:rPr>
                  </w:pPr>
                </w:p>
              </w:tc>
              <w:tc>
                <w:tcPr>
                  <w:tcW w:w="784" w:type="pct"/>
                  <w:tcBorders>
                    <w:tl2br w:val="nil"/>
                    <w:tr2bl w:val="nil"/>
                  </w:tcBorders>
                  <w:vAlign w:val="center"/>
                </w:tcPr>
                <w:p w14:paraId="334AE307">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甲醛</w:t>
                  </w:r>
                </w:p>
                <w:p w14:paraId="21E47D1D">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w:t>
                  </w:r>
                  <w:r>
                    <w:rPr>
                      <w:rFonts w:ascii="Times New Roman" w:hAnsi="Times New Roman" w:eastAsia="宋体" w:cs="Times New Roman"/>
                      <w:b/>
                      <w:bCs/>
                      <w:color w:val="auto"/>
                      <w:sz w:val="21"/>
                      <w:szCs w:val="21"/>
                    </w:rPr>
                    <w:t>mg/m</w:t>
                  </w:r>
                  <w:r>
                    <w:rPr>
                      <w:rFonts w:ascii="Times New Roman" w:hAnsi="Times New Roman" w:eastAsia="宋体" w:cs="Times New Roman"/>
                      <w:b/>
                      <w:bCs/>
                      <w:color w:val="auto"/>
                      <w:sz w:val="21"/>
                      <w:szCs w:val="21"/>
                      <w:vertAlign w:val="superscript"/>
                    </w:rPr>
                    <w:t>3</w:t>
                  </w:r>
                  <w:r>
                    <w:rPr>
                      <w:rFonts w:ascii="Times New Roman" w:hAnsi="Times New Roman" w:eastAsia="宋体" w:cs="Times New Roman"/>
                      <w:b/>
                      <w:color w:val="auto"/>
                      <w:sz w:val="21"/>
                      <w:szCs w:val="21"/>
                    </w:rPr>
                    <w:t>）</w:t>
                  </w:r>
                </w:p>
              </w:tc>
              <w:tc>
                <w:tcPr>
                  <w:tcW w:w="927" w:type="pct"/>
                  <w:tcBorders>
                    <w:tl2br w:val="nil"/>
                    <w:tr2bl w:val="nil"/>
                  </w:tcBorders>
                  <w:vAlign w:val="center"/>
                </w:tcPr>
                <w:p w14:paraId="29BE3999">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非甲烷总烃（</w:t>
                  </w:r>
                  <w:r>
                    <w:rPr>
                      <w:rFonts w:ascii="Times New Roman" w:hAnsi="Times New Roman" w:eastAsia="宋体" w:cs="Times New Roman"/>
                      <w:b/>
                      <w:bCs/>
                      <w:color w:val="auto"/>
                      <w:sz w:val="21"/>
                      <w:szCs w:val="21"/>
                    </w:rPr>
                    <w:t>mg/m</w:t>
                  </w:r>
                  <w:r>
                    <w:rPr>
                      <w:rFonts w:ascii="Times New Roman" w:hAnsi="Times New Roman" w:eastAsia="宋体" w:cs="Times New Roman"/>
                      <w:b/>
                      <w:bCs/>
                      <w:color w:val="auto"/>
                      <w:sz w:val="21"/>
                      <w:szCs w:val="21"/>
                      <w:vertAlign w:val="superscript"/>
                    </w:rPr>
                    <w:t>3</w:t>
                  </w:r>
                  <w:r>
                    <w:rPr>
                      <w:rFonts w:ascii="Times New Roman" w:hAnsi="Times New Roman" w:eastAsia="宋体" w:cs="Times New Roman"/>
                      <w:b/>
                      <w:color w:val="auto"/>
                      <w:sz w:val="21"/>
                      <w:szCs w:val="21"/>
                    </w:rPr>
                    <w:t>）</w:t>
                  </w:r>
                </w:p>
              </w:tc>
              <w:tc>
                <w:tcPr>
                  <w:tcW w:w="812" w:type="pct"/>
                  <w:tcBorders>
                    <w:tl2br w:val="nil"/>
                    <w:tr2bl w:val="nil"/>
                  </w:tcBorders>
                  <w:vAlign w:val="center"/>
                </w:tcPr>
                <w:p w14:paraId="703214E0">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TSP</w:t>
                  </w:r>
                  <w:r>
                    <w:rPr>
                      <w:rFonts w:ascii="Times New Roman" w:hAnsi="Times New Roman" w:eastAsia="宋体" w:cs="Times New Roman"/>
                      <w:b/>
                      <w:color w:val="auto"/>
                      <w:sz w:val="21"/>
                      <w:szCs w:val="21"/>
                    </w:rPr>
                    <w:t>（</w:t>
                  </w:r>
                  <w:r>
                    <w:rPr>
                      <w:rFonts w:ascii="Times New Roman" w:hAnsi="Times New Roman" w:eastAsia="宋体" w:cs="Times New Roman"/>
                      <w:b/>
                      <w:bCs/>
                      <w:color w:val="auto"/>
                      <w:sz w:val="21"/>
                      <w:szCs w:val="21"/>
                    </w:rPr>
                    <w:t>mg/m</w:t>
                  </w:r>
                  <w:r>
                    <w:rPr>
                      <w:rFonts w:ascii="Times New Roman" w:hAnsi="Times New Roman" w:eastAsia="宋体" w:cs="Times New Roman"/>
                      <w:b/>
                      <w:bCs/>
                      <w:color w:val="auto"/>
                      <w:sz w:val="21"/>
                      <w:szCs w:val="21"/>
                      <w:vertAlign w:val="superscript"/>
                    </w:rPr>
                    <w:t>3</w:t>
                  </w:r>
                  <w:r>
                    <w:rPr>
                      <w:rFonts w:ascii="Times New Roman" w:hAnsi="Times New Roman" w:eastAsia="宋体" w:cs="Times New Roman"/>
                      <w:b/>
                      <w:color w:val="auto"/>
                      <w:sz w:val="21"/>
                      <w:szCs w:val="21"/>
                    </w:rPr>
                    <w:t>）</w:t>
                  </w:r>
                </w:p>
              </w:tc>
            </w:tr>
            <w:tr w14:paraId="2CDD8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restart"/>
                  <w:tcBorders>
                    <w:tl2br w:val="nil"/>
                    <w:tr2bl w:val="nil"/>
                  </w:tcBorders>
                  <w:vAlign w:val="center"/>
                </w:tcPr>
                <w:p w14:paraId="16FA349A">
                  <w:pPr>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项目地西北侧</w:t>
                  </w:r>
                  <w:r>
                    <w:rPr>
                      <w:rFonts w:hint="eastAsia" w:ascii="Times New Roman" w:hAnsi="Times New Roman" w:eastAsia="宋体" w:cs="Times New Roman"/>
                      <w:color w:val="auto"/>
                      <w:kern w:val="0"/>
                      <w:szCs w:val="21"/>
                      <w:lang w:val="en-US" w:eastAsia="zh-CN"/>
                    </w:rPr>
                    <w:t>15</w:t>
                  </w:r>
                  <w:r>
                    <w:rPr>
                      <w:rFonts w:ascii="Times New Roman" w:hAnsi="Times New Roman" w:eastAsia="宋体" w:cs="Times New Roman"/>
                      <w:color w:val="auto"/>
                      <w:kern w:val="0"/>
                      <w:szCs w:val="21"/>
                    </w:rPr>
                    <w:t>0米</w:t>
                  </w:r>
                  <w:r>
                    <w:rPr>
                      <w:rFonts w:hint="eastAsia"/>
                      <w:color w:val="auto"/>
                      <w:sz w:val="21"/>
                      <w:szCs w:val="21"/>
                      <w:lang w:val="en-US" w:eastAsia="zh-CN"/>
                    </w:rPr>
                    <w:t>陆姚社区</w:t>
                  </w:r>
                </w:p>
              </w:tc>
              <w:tc>
                <w:tcPr>
                  <w:tcW w:w="830" w:type="pct"/>
                  <w:vMerge w:val="restart"/>
                  <w:tcBorders>
                    <w:tl2br w:val="nil"/>
                    <w:tr2bl w:val="nil"/>
                  </w:tcBorders>
                  <w:vAlign w:val="center"/>
                </w:tcPr>
                <w:p w14:paraId="6C6CBBBC">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10.14</w:t>
                  </w:r>
                </w:p>
              </w:tc>
              <w:tc>
                <w:tcPr>
                  <w:tcW w:w="993" w:type="pct"/>
                  <w:tcBorders>
                    <w:tl2br w:val="nil"/>
                    <w:tr2bl w:val="nil"/>
                  </w:tcBorders>
                  <w:vAlign w:val="center"/>
                </w:tcPr>
                <w:p w14:paraId="1A81305F">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5E1D5498">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24DE0A3B">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0.44</w:t>
                  </w:r>
                </w:p>
              </w:tc>
              <w:tc>
                <w:tcPr>
                  <w:tcW w:w="812" w:type="pct"/>
                  <w:vMerge w:val="restart"/>
                  <w:tcBorders>
                    <w:tl2br w:val="nil"/>
                    <w:tr2bl w:val="nil"/>
                  </w:tcBorders>
                  <w:vAlign w:val="center"/>
                </w:tcPr>
                <w:p w14:paraId="70952B2F">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0.206</w:t>
                  </w:r>
                </w:p>
              </w:tc>
            </w:tr>
            <w:tr w14:paraId="6270E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4A3175E4">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24AA7A99">
                  <w:pPr>
                    <w:jc w:val="center"/>
                    <w:rPr>
                      <w:rFonts w:ascii="Times New Roman" w:hAnsi="Times New Roman" w:eastAsia="宋体" w:cs="Times New Roman"/>
                      <w:color w:val="auto"/>
                      <w:szCs w:val="21"/>
                    </w:rPr>
                  </w:pPr>
                </w:p>
              </w:tc>
              <w:tc>
                <w:tcPr>
                  <w:tcW w:w="993" w:type="pct"/>
                  <w:tcBorders>
                    <w:tl2br w:val="nil"/>
                    <w:tr2bl w:val="nil"/>
                  </w:tcBorders>
                  <w:vAlign w:val="center"/>
                </w:tcPr>
                <w:p w14:paraId="769B7A67">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37359DF2">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2955AA3C">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0.56</w:t>
                  </w:r>
                </w:p>
              </w:tc>
              <w:tc>
                <w:tcPr>
                  <w:tcW w:w="812" w:type="pct"/>
                  <w:vMerge w:val="continue"/>
                  <w:tcBorders>
                    <w:tl2br w:val="nil"/>
                    <w:tr2bl w:val="nil"/>
                  </w:tcBorders>
                  <w:vAlign w:val="center"/>
                </w:tcPr>
                <w:p w14:paraId="45338A92">
                  <w:pPr>
                    <w:widowControl/>
                    <w:jc w:val="center"/>
                    <w:textAlignment w:val="center"/>
                    <w:rPr>
                      <w:rFonts w:ascii="Times New Roman" w:hAnsi="Times New Roman" w:eastAsia="宋体" w:cs="Times New Roman"/>
                      <w:color w:val="auto"/>
                      <w:kern w:val="0"/>
                      <w:szCs w:val="21"/>
                    </w:rPr>
                  </w:pPr>
                </w:p>
              </w:tc>
            </w:tr>
            <w:tr w14:paraId="52A21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19DC2A3D">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6EFD1E26">
                  <w:pPr>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10.15</w:t>
                  </w:r>
                </w:p>
              </w:tc>
              <w:tc>
                <w:tcPr>
                  <w:tcW w:w="993" w:type="pct"/>
                  <w:tcBorders>
                    <w:tl2br w:val="nil"/>
                    <w:tr2bl w:val="nil"/>
                  </w:tcBorders>
                  <w:vAlign w:val="center"/>
                </w:tcPr>
                <w:p w14:paraId="47EEE5A7">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4B9E8A60">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58279C93">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0.48</w:t>
                  </w:r>
                </w:p>
              </w:tc>
              <w:tc>
                <w:tcPr>
                  <w:tcW w:w="812" w:type="pct"/>
                  <w:vMerge w:val="continue"/>
                  <w:tcBorders>
                    <w:tl2br w:val="nil"/>
                    <w:tr2bl w:val="nil"/>
                  </w:tcBorders>
                  <w:vAlign w:val="center"/>
                </w:tcPr>
                <w:p w14:paraId="21D05788">
                  <w:pPr>
                    <w:widowControl/>
                    <w:jc w:val="center"/>
                    <w:textAlignment w:val="center"/>
                    <w:rPr>
                      <w:rFonts w:ascii="Times New Roman" w:hAnsi="Times New Roman" w:eastAsia="宋体" w:cs="Times New Roman"/>
                      <w:color w:val="auto"/>
                      <w:kern w:val="0"/>
                      <w:szCs w:val="21"/>
                    </w:rPr>
                  </w:pPr>
                </w:p>
              </w:tc>
            </w:tr>
            <w:tr w14:paraId="75118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273ADDCB">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0EF187E8">
                  <w:pPr>
                    <w:jc w:val="center"/>
                    <w:rPr>
                      <w:rFonts w:ascii="Times New Roman" w:hAnsi="Times New Roman" w:eastAsia="宋体" w:cs="Times New Roman"/>
                      <w:color w:val="auto"/>
                      <w:szCs w:val="21"/>
                    </w:rPr>
                  </w:pPr>
                </w:p>
              </w:tc>
              <w:tc>
                <w:tcPr>
                  <w:tcW w:w="993" w:type="pct"/>
                  <w:tcBorders>
                    <w:tl2br w:val="nil"/>
                    <w:tr2bl w:val="nil"/>
                  </w:tcBorders>
                  <w:vAlign w:val="center"/>
                </w:tcPr>
                <w:p w14:paraId="6A22AA3C">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0401660A">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74D9999D">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0.56</w:t>
                  </w:r>
                </w:p>
              </w:tc>
              <w:tc>
                <w:tcPr>
                  <w:tcW w:w="812" w:type="pct"/>
                  <w:vMerge w:val="continue"/>
                  <w:tcBorders>
                    <w:tl2br w:val="nil"/>
                    <w:tr2bl w:val="nil"/>
                  </w:tcBorders>
                  <w:vAlign w:val="center"/>
                </w:tcPr>
                <w:p w14:paraId="403F5DCE">
                  <w:pPr>
                    <w:widowControl/>
                    <w:jc w:val="center"/>
                    <w:textAlignment w:val="center"/>
                    <w:rPr>
                      <w:rFonts w:ascii="Times New Roman" w:hAnsi="Times New Roman" w:eastAsia="宋体" w:cs="Times New Roman"/>
                      <w:color w:val="auto"/>
                      <w:kern w:val="0"/>
                      <w:szCs w:val="21"/>
                    </w:rPr>
                  </w:pPr>
                </w:p>
              </w:tc>
            </w:tr>
            <w:tr w14:paraId="74BB7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31E42CFC">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093366C5">
                  <w:pPr>
                    <w:jc w:val="center"/>
                    <w:rPr>
                      <w:rFonts w:ascii="Times New Roman" w:hAnsi="Times New Roman" w:eastAsia="宋体" w:cs="Times New Roman"/>
                      <w:color w:val="auto"/>
                      <w:szCs w:val="21"/>
                    </w:rPr>
                  </w:pPr>
                </w:p>
              </w:tc>
              <w:tc>
                <w:tcPr>
                  <w:tcW w:w="993" w:type="pct"/>
                  <w:tcBorders>
                    <w:tl2br w:val="nil"/>
                    <w:tr2bl w:val="nil"/>
                  </w:tcBorders>
                  <w:vAlign w:val="center"/>
                </w:tcPr>
                <w:p w14:paraId="3BBD9FE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第三次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0E9139B2">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293A9CAD">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0.49</w:t>
                  </w:r>
                </w:p>
              </w:tc>
              <w:tc>
                <w:tcPr>
                  <w:tcW w:w="812" w:type="pct"/>
                  <w:vMerge w:val="restart"/>
                  <w:tcBorders>
                    <w:tl2br w:val="nil"/>
                    <w:tr2bl w:val="nil"/>
                  </w:tcBorders>
                  <w:vAlign w:val="center"/>
                </w:tcPr>
                <w:p w14:paraId="06243BFA">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0.220</w:t>
                  </w:r>
                </w:p>
              </w:tc>
            </w:tr>
            <w:tr w14:paraId="423F1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2416B41C">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278038A5">
                  <w:pPr>
                    <w:jc w:val="center"/>
                    <w:rPr>
                      <w:rFonts w:ascii="Times New Roman" w:hAnsi="Times New Roman" w:eastAsia="宋体" w:cs="Times New Roman"/>
                      <w:color w:val="auto"/>
                      <w:szCs w:val="21"/>
                    </w:rPr>
                  </w:pPr>
                </w:p>
              </w:tc>
              <w:tc>
                <w:tcPr>
                  <w:tcW w:w="993" w:type="pct"/>
                  <w:tcBorders>
                    <w:tl2br w:val="nil"/>
                    <w:tr2bl w:val="nil"/>
                  </w:tcBorders>
                  <w:vAlign w:val="center"/>
                </w:tcPr>
                <w:p w14:paraId="4DBC211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第四次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7A98FA1A">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7F1522EC">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0.45</w:t>
                  </w:r>
                </w:p>
              </w:tc>
              <w:tc>
                <w:tcPr>
                  <w:tcW w:w="812" w:type="pct"/>
                  <w:vMerge w:val="continue"/>
                  <w:tcBorders>
                    <w:tl2br w:val="nil"/>
                    <w:tr2bl w:val="nil"/>
                  </w:tcBorders>
                  <w:vAlign w:val="center"/>
                </w:tcPr>
                <w:p w14:paraId="34AD0CC0">
                  <w:pPr>
                    <w:widowControl/>
                    <w:jc w:val="center"/>
                    <w:textAlignment w:val="center"/>
                    <w:rPr>
                      <w:rFonts w:ascii="Times New Roman" w:hAnsi="Times New Roman" w:eastAsia="宋体" w:cs="Times New Roman"/>
                      <w:color w:val="auto"/>
                      <w:kern w:val="0"/>
                      <w:szCs w:val="21"/>
                    </w:rPr>
                  </w:pPr>
                </w:p>
              </w:tc>
            </w:tr>
            <w:tr w14:paraId="3C25D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1E20FD1F">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42BCCBCB">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10.16</w:t>
                  </w:r>
                </w:p>
              </w:tc>
              <w:tc>
                <w:tcPr>
                  <w:tcW w:w="993" w:type="pct"/>
                  <w:tcBorders>
                    <w:tl2br w:val="nil"/>
                    <w:tr2bl w:val="nil"/>
                  </w:tcBorders>
                  <w:vAlign w:val="center"/>
                </w:tcPr>
                <w:p w14:paraId="245D4ED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528E977D">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3A85CD63">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0.31</w:t>
                  </w:r>
                </w:p>
              </w:tc>
              <w:tc>
                <w:tcPr>
                  <w:tcW w:w="812" w:type="pct"/>
                  <w:vMerge w:val="continue"/>
                  <w:tcBorders>
                    <w:tl2br w:val="nil"/>
                    <w:tr2bl w:val="nil"/>
                  </w:tcBorders>
                  <w:vAlign w:val="center"/>
                </w:tcPr>
                <w:p w14:paraId="1A19F61A">
                  <w:pPr>
                    <w:widowControl/>
                    <w:jc w:val="center"/>
                    <w:textAlignment w:val="center"/>
                    <w:rPr>
                      <w:rFonts w:ascii="Times New Roman" w:hAnsi="Times New Roman" w:eastAsia="宋体" w:cs="Times New Roman"/>
                      <w:color w:val="auto"/>
                      <w:kern w:val="0"/>
                      <w:szCs w:val="21"/>
                    </w:rPr>
                  </w:pPr>
                </w:p>
              </w:tc>
            </w:tr>
            <w:tr w14:paraId="0C0B6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7FF68AC6">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5B922FF">
                  <w:pPr>
                    <w:jc w:val="center"/>
                    <w:rPr>
                      <w:rFonts w:ascii="Times New Roman" w:hAnsi="Times New Roman" w:eastAsia="宋体" w:cs="Times New Roman"/>
                      <w:color w:val="auto"/>
                      <w:szCs w:val="21"/>
                    </w:rPr>
                  </w:pPr>
                </w:p>
              </w:tc>
              <w:tc>
                <w:tcPr>
                  <w:tcW w:w="993" w:type="pct"/>
                  <w:tcBorders>
                    <w:tl2br w:val="nil"/>
                    <w:tr2bl w:val="nil"/>
                  </w:tcBorders>
                  <w:vAlign w:val="center"/>
                </w:tcPr>
                <w:p w14:paraId="54422AC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36EDDDD0">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739A8A85">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0.23</w:t>
                  </w:r>
                </w:p>
              </w:tc>
              <w:tc>
                <w:tcPr>
                  <w:tcW w:w="812" w:type="pct"/>
                  <w:vMerge w:val="continue"/>
                  <w:tcBorders>
                    <w:tl2br w:val="nil"/>
                    <w:tr2bl w:val="nil"/>
                  </w:tcBorders>
                  <w:vAlign w:val="center"/>
                </w:tcPr>
                <w:p w14:paraId="369C6911">
                  <w:pPr>
                    <w:widowControl/>
                    <w:jc w:val="center"/>
                    <w:textAlignment w:val="center"/>
                    <w:rPr>
                      <w:rFonts w:ascii="Times New Roman" w:hAnsi="Times New Roman" w:eastAsia="宋体" w:cs="Times New Roman"/>
                      <w:color w:val="auto"/>
                      <w:kern w:val="0"/>
                      <w:szCs w:val="21"/>
                    </w:rPr>
                  </w:pPr>
                </w:p>
              </w:tc>
            </w:tr>
            <w:tr w14:paraId="163F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6B5E0BAE">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77518A0">
                  <w:pPr>
                    <w:jc w:val="center"/>
                    <w:rPr>
                      <w:rFonts w:ascii="Times New Roman" w:hAnsi="Times New Roman" w:eastAsia="宋体" w:cs="Times New Roman"/>
                      <w:color w:val="auto"/>
                      <w:szCs w:val="21"/>
                    </w:rPr>
                  </w:pPr>
                </w:p>
              </w:tc>
              <w:tc>
                <w:tcPr>
                  <w:tcW w:w="993" w:type="pct"/>
                  <w:tcBorders>
                    <w:tl2br w:val="nil"/>
                    <w:tr2bl w:val="nil"/>
                  </w:tcBorders>
                  <w:vAlign w:val="center"/>
                </w:tcPr>
                <w:p w14:paraId="2E45855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第三次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293BBF6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34E29AFF">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0.23</w:t>
                  </w:r>
                </w:p>
              </w:tc>
              <w:tc>
                <w:tcPr>
                  <w:tcW w:w="812" w:type="pct"/>
                  <w:vMerge w:val="restart"/>
                  <w:tcBorders>
                    <w:tl2br w:val="nil"/>
                    <w:tr2bl w:val="nil"/>
                  </w:tcBorders>
                  <w:vAlign w:val="center"/>
                </w:tcPr>
                <w:p w14:paraId="7CABD8A4">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0.229</w:t>
                  </w:r>
                </w:p>
              </w:tc>
            </w:tr>
            <w:tr w14:paraId="2EDCC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04CA2537">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64A3290">
                  <w:pPr>
                    <w:jc w:val="center"/>
                    <w:rPr>
                      <w:rFonts w:ascii="Times New Roman" w:hAnsi="Times New Roman" w:eastAsia="宋体" w:cs="Times New Roman"/>
                      <w:color w:val="auto"/>
                      <w:szCs w:val="21"/>
                    </w:rPr>
                  </w:pPr>
                </w:p>
              </w:tc>
              <w:tc>
                <w:tcPr>
                  <w:tcW w:w="993" w:type="pct"/>
                  <w:tcBorders>
                    <w:tl2br w:val="nil"/>
                    <w:tr2bl w:val="nil"/>
                  </w:tcBorders>
                  <w:vAlign w:val="center"/>
                </w:tcPr>
                <w:p w14:paraId="6C486DE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第四次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5D760591">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7D66346C">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0.20</w:t>
                  </w:r>
                </w:p>
              </w:tc>
              <w:tc>
                <w:tcPr>
                  <w:tcW w:w="812" w:type="pct"/>
                  <w:vMerge w:val="continue"/>
                  <w:tcBorders>
                    <w:tl2br w:val="nil"/>
                    <w:tr2bl w:val="nil"/>
                  </w:tcBorders>
                  <w:vAlign w:val="center"/>
                </w:tcPr>
                <w:p w14:paraId="1502800E">
                  <w:pPr>
                    <w:widowControl/>
                    <w:jc w:val="center"/>
                    <w:textAlignment w:val="center"/>
                    <w:rPr>
                      <w:rFonts w:ascii="Times New Roman" w:hAnsi="Times New Roman" w:eastAsia="宋体" w:cs="Times New Roman"/>
                      <w:color w:val="auto"/>
                      <w:kern w:val="0"/>
                      <w:szCs w:val="21"/>
                    </w:rPr>
                  </w:pPr>
                </w:p>
              </w:tc>
            </w:tr>
            <w:tr w14:paraId="5A9E4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1414A839">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44330E64">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10.17</w:t>
                  </w:r>
                </w:p>
              </w:tc>
              <w:tc>
                <w:tcPr>
                  <w:tcW w:w="993" w:type="pct"/>
                  <w:tcBorders>
                    <w:tl2br w:val="nil"/>
                    <w:tr2bl w:val="nil"/>
                  </w:tcBorders>
                  <w:vAlign w:val="center"/>
                </w:tcPr>
                <w:p w14:paraId="7ABA5D9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300E802F">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0A790A1B">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0.41</w:t>
                  </w:r>
                </w:p>
              </w:tc>
              <w:tc>
                <w:tcPr>
                  <w:tcW w:w="812" w:type="pct"/>
                  <w:vMerge w:val="continue"/>
                  <w:tcBorders>
                    <w:tl2br w:val="nil"/>
                    <w:tr2bl w:val="nil"/>
                  </w:tcBorders>
                  <w:vAlign w:val="center"/>
                </w:tcPr>
                <w:p w14:paraId="1C727C9D">
                  <w:pPr>
                    <w:widowControl/>
                    <w:jc w:val="center"/>
                    <w:textAlignment w:val="center"/>
                    <w:rPr>
                      <w:rFonts w:ascii="Times New Roman" w:hAnsi="Times New Roman" w:eastAsia="宋体" w:cs="Times New Roman"/>
                      <w:color w:val="auto"/>
                      <w:szCs w:val="21"/>
                    </w:rPr>
                  </w:pPr>
                </w:p>
              </w:tc>
            </w:tr>
            <w:tr w14:paraId="22EB9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1D824851">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4B8AB82D">
                  <w:pPr>
                    <w:jc w:val="center"/>
                    <w:rPr>
                      <w:rFonts w:ascii="Times New Roman" w:hAnsi="Times New Roman" w:eastAsia="宋体" w:cs="Times New Roman"/>
                      <w:color w:val="auto"/>
                      <w:szCs w:val="21"/>
                    </w:rPr>
                  </w:pPr>
                </w:p>
              </w:tc>
              <w:tc>
                <w:tcPr>
                  <w:tcW w:w="993" w:type="pct"/>
                  <w:tcBorders>
                    <w:tl2br w:val="nil"/>
                    <w:tr2bl w:val="nil"/>
                  </w:tcBorders>
                  <w:vAlign w:val="center"/>
                </w:tcPr>
                <w:p w14:paraId="7CC8942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775400E1">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05C4B005">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0.39</w:t>
                  </w:r>
                </w:p>
              </w:tc>
              <w:tc>
                <w:tcPr>
                  <w:tcW w:w="812" w:type="pct"/>
                  <w:vMerge w:val="continue"/>
                  <w:tcBorders>
                    <w:tl2br w:val="nil"/>
                    <w:tr2bl w:val="nil"/>
                  </w:tcBorders>
                  <w:vAlign w:val="center"/>
                </w:tcPr>
                <w:p w14:paraId="4ACE0FE3">
                  <w:pPr>
                    <w:widowControl/>
                    <w:jc w:val="center"/>
                    <w:textAlignment w:val="center"/>
                    <w:rPr>
                      <w:rFonts w:ascii="Times New Roman" w:hAnsi="Times New Roman" w:eastAsia="宋体" w:cs="Times New Roman"/>
                      <w:color w:val="auto"/>
                      <w:kern w:val="0"/>
                      <w:szCs w:val="21"/>
                    </w:rPr>
                  </w:pPr>
                </w:p>
              </w:tc>
            </w:tr>
            <w:tr w14:paraId="41D50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0D90B985">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360A1E94">
                  <w:pPr>
                    <w:jc w:val="center"/>
                    <w:rPr>
                      <w:rFonts w:ascii="Times New Roman" w:hAnsi="Times New Roman" w:eastAsia="宋体" w:cs="Times New Roman"/>
                      <w:color w:val="auto"/>
                      <w:szCs w:val="21"/>
                    </w:rPr>
                  </w:pPr>
                </w:p>
              </w:tc>
              <w:tc>
                <w:tcPr>
                  <w:tcW w:w="993" w:type="pct"/>
                  <w:tcBorders>
                    <w:tl2br w:val="nil"/>
                    <w:tr2bl w:val="nil"/>
                  </w:tcBorders>
                  <w:vAlign w:val="center"/>
                </w:tcPr>
                <w:p w14:paraId="29F1953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第三次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1EEC0CF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00E7827E">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0.41</w:t>
                  </w:r>
                </w:p>
              </w:tc>
              <w:tc>
                <w:tcPr>
                  <w:tcW w:w="812" w:type="pct"/>
                  <w:vMerge w:val="restart"/>
                  <w:tcBorders>
                    <w:tl2br w:val="nil"/>
                    <w:tr2bl w:val="nil"/>
                  </w:tcBorders>
                  <w:vAlign w:val="center"/>
                </w:tcPr>
                <w:p w14:paraId="4C96500A">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0.207</w:t>
                  </w:r>
                </w:p>
              </w:tc>
            </w:tr>
            <w:tr w14:paraId="2A9FF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5CD13222">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6C031C6F">
                  <w:pPr>
                    <w:jc w:val="center"/>
                    <w:rPr>
                      <w:rFonts w:ascii="Times New Roman" w:hAnsi="Times New Roman" w:eastAsia="宋体" w:cs="Times New Roman"/>
                      <w:color w:val="auto"/>
                      <w:szCs w:val="21"/>
                    </w:rPr>
                  </w:pPr>
                </w:p>
              </w:tc>
              <w:tc>
                <w:tcPr>
                  <w:tcW w:w="993" w:type="pct"/>
                  <w:tcBorders>
                    <w:tl2br w:val="nil"/>
                    <w:tr2bl w:val="nil"/>
                  </w:tcBorders>
                  <w:vAlign w:val="center"/>
                </w:tcPr>
                <w:p w14:paraId="48CE69D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第四次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06DFB54C">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1EFD1FCE">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0.48</w:t>
                  </w:r>
                </w:p>
              </w:tc>
              <w:tc>
                <w:tcPr>
                  <w:tcW w:w="812" w:type="pct"/>
                  <w:vMerge w:val="continue"/>
                  <w:tcBorders>
                    <w:tl2br w:val="nil"/>
                    <w:tr2bl w:val="nil"/>
                  </w:tcBorders>
                  <w:vAlign w:val="center"/>
                </w:tcPr>
                <w:p w14:paraId="5DB7B563">
                  <w:pPr>
                    <w:widowControl/>
                    <w:jc w:val="center"/>
                    <w:textAlignment w:val="center"/>
                    <w:rPr>
                      <w:rFonts w:ascii="Times New Roman" w:hAnsi="Times New Roman" w:eastAsia="宋体" w:cs="Times New Roman"/>
                      <w:color w:val="auto"/>
                      <w:kern w:val="0"/>
                      <w:szCs w:val="21"/>
                    </w:rPr>
                  </w:pPr>
                </w:p>
              </w:tc>
            </w:tr>
            <w:tr w14:paraId="6C811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3C53A475">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103A50F8">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10.18</w:t>
                  </w:r>
                </w:p>
              </w:tc>
              <w:tc>
                <w:tcPr>
                  <w:tcW w:w="993" w:type="pct"/>
                  <w:tcBorders>
                    <w:tl2br w:val="nil"/>
                    <w:tr2bl w:val="nil"/>
                  </w:tcBorders>
                  <w:vAlign w:val="center"/>
                </w:tcPr>
                <w:p w14:paraId="7127D46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263D0C06">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368BDABB">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0.08</w:t>
                  </w:r>
                </w:p>
              </w:tc>
              <w:tc>
                <w:tcPr>
                  <w:tcW w:w="812" w:type="pct"/>
                  <w:vMerge w:val="continue"/>
                  <w:tcBorders>
                    <w:tl2br w:val="nil"/>
                    <w:tr2bl w:val="nil"/>
                  </w:tcBorders>
                  <w:vAlign w:val="center"/>
                </w:tcPr>
                <w:p w14:paraId="32F1CDF6">
                  <w:pPr>
                    <w:widowControl/>
                    <w:jc w:val="center"/>
                    <w:textAlignment w:val="center"/>
                    <w:rPr>
                      <w:rFonts w:ascii="Times New Roman" w:hAnsi="Times New Roman" w:eastAsia="宋体" w:cs="Times New Roman"/>
                      <w:color w:val="auto"/>
                      <w:kern w:val="0"/>
                      <w:szCs w:val="21"/>
                    </w:rPr>
                  </w:pPr>
                </w:p>
              </w:tc>
            </w:tr>
            <w:tr w14:paraId="214A3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7DE645EF">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0E07F248">
                  <w:pPr>
                    <w:jc w:val="center"/>
                    <w:rPr>
                      <w:rFonts w:ascii="Times New Roman" w:hAnsi="Times New Roman" w:eastAsia="宋体" w:cs="Times New Roman"/>
                      <w:color w:val="auto"/>
                      <w:szCs w:val="21"/>
                    </w:rPr>
                  </w:pPr>
                </w:p>
              </w:tc>
              <w:tc>
                <w:tcPr>
                  <w:tcW w:w="993" w:type="pct"/>
                  <w:tcBorders>
                    <w:tl2br w:val="nil"/>
                    <w:tr2bl w:val="nil"/>
                  </w:tcBorders>
                  <w:vAlign w:val="center"/>
                </w:tcPr>
                <w:p w14:paraId="68583C5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470486DA">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08037678">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0.14</w:t>
                  </w:r>
                </w:p>
              </w:tc>
              <w:tc>
                <w:tcPr>
                  <w:tcW w:w="812" w:type="pct"/>
                  <w:vMerge w:val="continue"/>
                  <w:tcBorders>
                    <w:tl2br w:val="nil"/>
                    <w:tr2bl w:val="nil"/>
                  </w:tcBorders>
                  <w:vAlign w:val="center"/>
                </w:tcPr>
                <w:p w14:paraId="213F1DA2">
                  <w:pPr>
                    <w:widowControl/>
                    <w:jc w:val="center"/>
                    <w:textAlignment w:val="center"/>
                    <w:rPr>
                      <w:rFonts w:ascii="Times New Roman" w:hAnsi="Times New Roman" w:eastAsia="宋体" w:cs="Times New Roman"/>
                      <w:color w:val="auto"/>
                      <w:kern w:val="0"/>
                      <w:szCs w:val="21"/>
                    </w:rPr>
                  </w:pPr>
                </w:p>
              </w:tc>
            </w:tr>
            <w:tr w14:paraId="590C2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74490AF6">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A10CB82">
                  <w:pPr>
                    <w:jc w:val="center"/>
                    <w:rPr>
                      <w:rFonts w:ascii="Times New Roman" w:hAnsi="Times New Roman" w:eastAsia="宋体" w:cs="Times New Roman"/>
                      <w:color w:val="auto"/>
                      <w:szCs w:val="21"/>
                    </w:rPr>
                  </w:pPr>
                </w:p>
              </w:tc>
              <w:tc>
                <w:tcPr>
                  <w:tcW w:w="993" w:type="pct"/>
                  <w:tcBorders>
                    <w:tl2br w:val="nil"/>
                    <w:tr2bl w:val="nil"/>
                  </w:tcBorders>
                  <w:vAlign w:val="center"/>
                </w:tcPr>
                <w:p w14:paraId="0875158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第三次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55E1A484">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24E234B0">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0.09</w:t>
                  </w:r>
                </w:p>
              </w:tc>
              <w:tc>
                <w:tcPr>
                  <w:tcW w:w="812" w:type="pct"/>
                  <w:vMerge w:val="restart"/>
                  <w:tcBorders>
                    <w:tl2br w:val="nil"/>
                    <w:tr2bl w:val="nil"/>
                  </w:tcBorders>
                  <w:vAlign w:val="center"/>
                </w:tcPr>
                <w:p w14:paraId="5DBAA0C7">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0.232</w:t>
                  </w:r>
                </w:p>
              </w:tc>
            </w:tr>
            <w:tr w14:paraId="70FAE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0AAB26FA">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33A3F26B">
                  <w:pPr>
                    <w:jc w:val="center"/>
                    <w:rPr>
                      <w:rFonts w:ascii="Times New Roman" w:hAnsi="Times New Roman" w:eastAsia="宋体" w:cs="Times New Roman"/>
                      <w:color w:val="auto"/>
                      <w:szCs w:val="21"/>
                    </w:rPr>
                  </w:pPr>
                </w:p>
              </w:tc>
              <w:tc>
                <w:tcPr>
                  <w:tcW w:w="993" w:type="pct"/>
                  <w:tcBorders>
                    <w:tl2br w:val="nil"/>
                    <w:tr2bl w:val="nil"/>
                  </w:tcBorders>
                  <w:vAlign w:val="center"/>
                </w:tcPr>
                <w:p w14:paraId="382C470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第四次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5D38CFCE">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12219CC8">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0.09</w:t>
                  </w:r>
                </w:p>
              </w:tc>
              <w:tc>
                <w:tcPr>
                  <w:tcW w:w="812" w:type="pct"/>
                  <w:vMerge w:val="continue"/>
                  <w:tcBorders>
                    <w:tl2br w:val="nil"/>
                    <w:tr2bl w:val="nil"/>
                  </w:tcBorders>
                  <w:vAlign w:val="center"/>
                </w:tcPr>
                <w:p w14:paraId="51C88D33">
                  <w:pPr>
                    <w:widowControl/>
                    <w:jc w:val="center"/>
                    <w:textAlignment w:val="center"/>
                    <w:rPr>
                      <w:rFonts w:ascii="Times New Roman" w:hAnsi="Times New Roman" w:eastAsia="宋体" w:cs="Times New Roman"/>
                      <w:color w:val="auto"/>
                      <w:kern w:val="0"/>
                      <w:szCs w:val="21"/>
                    </w:rPr>
                  </w:pPr>
                </w:p>
              </w:tc>
            </w:tr>
            <w:tr w14:paraId="6057A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550E6683">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1AB2D9D4">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10.19</w:t>
                  </w:r>
                </w:p>
              </w:tc>
              <w:tc>
                <w:tcPr>
                  <w:tcW w:w="993" w:type="pct"/>
                  <w:tcBorders>
                    <w:tl2br w:val="nil"/>
                    <w:tr2bl w:val="nil"/>
                  </w:tcBorders>
                  <w:vAlign w:val="center"/>
                </w:tcPr>
                <w:p w14:paraId="762BB70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4D570F9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5A745BBF">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0.17</w:t>
                  </w:r>
                </w:p>
              </w:tc>
              <w:tc>
                <w:tcPr>
                  <w:tcW w:w="812" w:type="pct"/>
                  <w:vMerge w:val="continue"/>
                  <w:tcBorders>
                    <w:tl2br w:val="nil"/>
                    <w:tr2bl w:val="nil"/>
                  </w:tcBorders>
                  <w:vAlign w:val="center"/>
                </w:tcPr>
                <w:p w14:paraId="6F93A0C4">
                  <w:pPr>
                    <w:widowControl/>
                    <w:jc w:val="center"/>
                    <w:textAlignment w:val="center"/>
                    <w:rPr>
                      <w:rFonts w:ascii="Times New Roman" w:hAnsi="Times New Roman" w:eastAsia="宋体" w:cs="Times New Roman"/>
                      <w:color w:val="auto"/>
                      <w:kern w:val="0"/>
                      <w:szCs w:val="21"/>
                    </w:rPr>
                  </w:pPr>
                </w:p>
              </w:tc>
            </w:tr>
            <w:tr w14:paraId="159A1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7C0E4313">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E8A6691">
                  <w:pPr>
                    <w:jc w:val="center"/>
                    <w:rPr>
                      <w:rFonts w:ascii="Times New Roman" w:hAnsi="Times New Roman" w:eastAsia="宋体" w:cs="Times New Roman"/>
                      <w:color w:val="auto"/>
                      <w:szCs w:val="21"/>
                    </w:rPr>
                  </w:pPr>
                </w:p>
              </w:tc>
              <w:tc>
                <w:tcPr>
                  <w:tcW w:w="993" w:type="pct"/>
                  <w:tcBorders>
                    <w:tl2br w:val="nil"/>
                    <w:tr2bl w:val="nil"/>
                  </w:tcBorders>
                  <w:vAlign w:val="center"/>
                </w:tcPr>
                <w:p w14:paraId="17A95D1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4FEEED86">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6DE43A49">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0.15</w:t>
                  </w:r>
                </w:p>
              </w:tc>
              <w:tc>
                <w:tcPr>
                  <w:tcW w:w="812" w:type="pct"/>
                  <w:vMerge w:val="continue"/>
                  <w:tcBorders>
                    <w:tl2br w:val="nil"/>
                    <w:tr2bl w:val="nil"/>
                  </w:tcBorders>
                  <w:vAlign w:val="center"/>
                </w:tcPr>
                <w:p w14:paraId="16BF2EB8">
                  <w:pPr>
                    <w:widowControl/>
                    <w:jc w:val="center"/>
                    <w:textAlignment w:val="center"/>
                    <w:rPr>
                      <w:rFonts w:ascii="Times New Roman" w:hAnsi="Times New Roman" w:eastAsia="宋体" w:cs="Times New Roman"/>
                      <w:color w:val="auto"/>
                      <w:kern w:val="0"/>
                      <w:szCs w:val="21"/>
                    </w:rPr>
                  </w:pPr>
                </w:p>
              </w:tc>
            </w:tr>
            <w:tr w14:paraId="4FCA4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1C5DAA23">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784E2A3E">
                  <w:pPr>
                    <w:jc w:val="center"/>
                    <w:rPr>
                      <w:rFonts w:ascii="Times New Roman" w:hAnsi="Times New Roman" w:eastAsia="宋体" w:cs="Times New Roman"/>
                      <w:color w:val="auto"/>
                      <w:szCs w:val="21"/>
                    </w:rPr>
                  </w:pPr>
                </w:p>
              </w:tc>
              <w:tc>
                <w:tcPr>
                  <w:tcW w:w="993" w:type="pct"/>
                  <w:tcBorders>
                    <w:tl2br w:val="nil"/>
                    <w:tr2bl w:val="nil"/>
                  </w:tcBorders>
                  <w:vAlign w:val="center"/>
                </w:tcPr>
                <w:p w14:paraId="53175BE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第三次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777C2209">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6236ED66">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0.08</w:t>
                  </w:r>
                </w:p>
              </w:tc>
              <w:tc>
                <w:tcPr>
                  <w:tcW w:w="812" w:type="pct"/>
                  <w:vMerge w:val="restart"/>
                  <w:tcBorders>
                    <w:tl2br w:val="nil"/>
                    <w:tr2bl w:val="nil"/>
                  </w:tcBorders>
                  <w:vAlign w:val="center"/>
                </w:tcPr>
                <w:p w14:paraId="0493E1FD">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0.205</w:t>
                  </w:r>
                </w:p>
              </w:tc>
            </w:tr>
            <w:tr w14:paraId="1EB24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66EF1179">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E93AEFA">
                  <w:pPr>
                    <w:jc w:val="center"/>
                    <w:rPr>
                      <w:rFonts w:ascii="Times New Roman" w:hAnsi="Times New Roman" w:eastAsia="宋体" w:cs="Times New Roman"/>
                      <w:color w:val="auto"/>
                      <w:szCs w:val="21"/>
                    </w:rPr>
                  </w:pPr>
                </w:p>
              </w:tc>
              <w:tc>
                <w:tcPr>
                  <w:tcW w:w="993" w:type="pct"/>
                  <w:tcBorders>
                    <w:tl2br w:val="nil"/>
                    <w:tr2bl w:val="nil"/>
                  </w:tcBorders>
                  <w:vAlign w:val="center"/>
                </w:tcPr>
                <w:p w14:paraId="3234582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第四次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2155FF09">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5B715E9F">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0.09</w:t>
                  </w:r>
                </w:p>
              </w:tc>
              <w:tc>
                <w:tcPr>
                  <w:tcW w:w="812" w:type="pct"/>
                  <w:vMerge w:val="continue"/>
                  <w:tcBorders>
                    <w:tl2br w:val="nil"/>
                    <w:tr2bl w:val="nil"/>
                  </w:tcBorders>
                  <w:vAlign w:val="center"/>
                </w:tcPr>
                <w:p w14:paraId="43A0EDE7">
                  <w:pPr>
                    <w:widowControl/>
                    <w:jc w:val="center"/>
                    <w:textAlignment w:val="center"/>
                    <w:rPr>
                      <w:rFonts w:ascii="Times New Roman" w:hAnsi="Times New Roman" w:eastAsia="宋体" w:cs="Times New Roman"/>
                      <w:color w:val="auto"/>
                      <w:kern w:val="0"/>
                      <w:szCs w:val="21"/>
                    </w:rPr>
                  </w:pPr>
                </w:p>
              </w:tc>
            </w:tr>
            <w:tr w14:paraId="3163F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47A6C824">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613E66A9">
                  <w:pPr>
                    <w:jc w:val="center"/>
                    <w:rPr>
                      <w:rFonts w:hint="default" w:ascii="Times New Roman" w:hAnsi="Times New Roman" w:eastAsia="宋体" w:cs="Times New Roman"/>
                      <w:color w:val="auto"/>
                      <w:szCs w:val="21"/>
                      <w:lang w:val="en-US"/>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10.20</w:t>
                  </w:r>
                </w:p>
              </w:tc>
              <w:tc>
                <w:tcPr>
                  <w:tcW w:w="993" w:type="pct"/>
                  <w:tcBorders>
                    <w:tl2br w:val="nil"/>
                    <w:tr2bl w:val="nil"/>
                  </w:tcBorders>
                  <w:vAlign w:val="center"/>
                </w:tcPr>
                <w:p w14:paraId="51D414F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2BC3BC8F">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3A207EA6">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0.09</w:t>
                  </w:r>
                </w:p>
              </w:tc>
              <w:tc>
                <w:tcPr>
                  <w:tcW w:w="812" w:type="pct"/>
                  <w:vMerge w:val="continue"/>
                  <w:tcBorders>
                    <w:tl2br w:val="nil"/>
                    <w:tr2bl w:val="nil"/>
                  </w:tcBorders>
                  <w:vAlign w:val="center"/>
                </w:tcPr>
                <w:p w14:paraId="04F20DB4">
                  <w:pPr>
                    <w:widowControl/>
                    <w:jc w:val="center"/>
                    <w:textAlignment w:val="center"/>
                    <w:rPr>
                      <w:rFonts w:ascii="Times New Roman" w:hAnsi="Times New Roman" w:eastAsia="宋体" w:cs="Times New Roman"/>
                      <w:color w:val="auto"/>
                      <w:kern w:val="0"/>
                      <w:szCs w:val="21"/>
                    </w:rPr>
                  </w:pPr>
                </w:p>
              </w:tc>
            </w:tr>
            <w:tr w14:paraId="14CAA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24E26A1D">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7D8E33E4">
                  <w:pPr>
                    <w:jc w:val="center"/>
                    <w:rPr>
                      <w:rFonts w:ascii="Times New Roman" w:hAnsi="Times New Roman" w:eastAsia="宋体" w:cs="Times New Roman"/>
                      <w:color w:val="auto"/>
                      <w:szCs w:val="21"/>
                    </w:rPr>
                  </w:pPr>
                </w:p>
              </w:tc>
              <w:tc>
                <w:tcPr>
                  <w:tcW w:w="993" w:type="pct"/>
                  <w:tcBorders>
                    <w:tl2br w:val="nil"/>
                    <w:tr2bl w:val="nil"/>
                  </w:tcBorders>
                  <w:vAlign w:val="center"/>
                </w:tcPr>
                <w:p w14:paraId="31780D0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16E25027">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7A72D388">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0.09</w:t>
                  </w:r>
                </w:p>
              </w:tc>
              <w:tc>
                <w:tcPr>
                  <w:tcW w:w="812" w:type="pct"/>
                  <w:vMerge w:val="continue"/>
                  <w:tcBorders>
                    <w:tl2br w:val="nil"/>
                    <w:tr2bl w:val="nil"/>
                  </w:tcBorders>
                  <w:vAlign w:val="center"/>
                </w:tcPr>
                <w:p w14:paraId="38D06A8C">
                  <w:pPr>
                    <w:widowControl/>
                    <w:jc w:val="center"/>
                    <w:textAlignment w:val="center"/>
                    <w:rPr>
                      <w:rFonts w:ascii="Times New Roman" w:hAnsi="Times New Roman" w:eastAsia="宋体" w:cs="Times New Roman"/>
                      <w:color w:val="auto"/>
                      <w:kern w:val="0"/>
                      <w:szCs w:val="21"/>
                    </w:rPr>
                  </w:pPr>
                </w:p>
              </w:tc>
            </w:tr>
            <w:tr w14:paraId="4E9A5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5FAF191A">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8CE1FE0">
                  <w:pPr>
                    <w:jc w:val="center"/>
                    <w:rPr>
                      <w:rFonts w:ascii="Times New Roman" w:hAnsi="Times New Roman" w:eastAsia="宋体" w:cs="Times New Roman"/>
                      <w:color w:val="auto"/>
                      <w:szCs w:val="21"/>
                    </w:rPr>
                  </w:pPr>
                </w:p>
              </w:tc>
              <w:tc>
                <w:tcPr>
                  <w:tcW w:w="993" w:type="pct"/>
                  <w:tcBorders>
                    <w:tl2br w:val="nil"/>
                    <w:tr2bl w:val="nil"/>
                  </w:tcBorders>
                  <w:vAlign w:val="center"/>
                </w:tcPr>
                <w:p w14:paraId="2BE6FEF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第三次</w:t>
                  </w:r>
                  <w:r>
                    <w:rPr>
                      <w:rFonts w:hint="eastAsia" w:ascii="Times New Roman" w:hAnsi="Times New Roman" w:eastAsia="宋体" w:cs="Times New Roman"/>
                      <w:color w:val="auto"/>
                      <w:szCs w:val="21"/>
                      <w:lang w:val="en-US" w:eastAsia="zh-CN"/>
                    </w:rPr>
                    <w:t>14:00</w:t>
                  </w:r>
                </w:p>
              </w:tc>
              <w:tc>
                <w:tcPr>
                  <w:tcW w:w="784" w:type="pct"/>
                  <w:tcBorders>
                    <w:tl2br w:val="nil"/>
                    <w:tr2bl w:val="nil"/>
                  </w:tcBorders>
                  <w:vAlign w:val="center"/>
                </w:tcPr>
                <w:p w14:paraId="1F5085C6">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6943C9B8">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0.10</w:t>
                  </w:r>
                </w:p>
              </w:tc>
              <w:tc>
                <w:tcPr>
                  <w:tcW w:w="812" w:type="pct"/>
                  <w:vMerge w:val="restart"/>
                  <w:tcBorders>
                    <w:tl2br w:val="nil"/>
                    <w:tr2bl w:val="nil"/>
                  </w:tcBorders>
                  <w:vAlign w:val="center"/>
                </w:tcPr>
                <w:p w14:paraId="2DA6478D">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0.228</w:t>
                  </w:r>
                </w:p>
              </w:tc>
            </w:tr>
            <w:tr w14:paraId="142A8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14DA3CA2">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59859E10">
                  <w:pPr>
                    <w:jc w:val="center"/>
                    <w:rPr>
                      <w:rFonts w:ascii="Times New Roman" w:hAnsi="Times New Roman" w:eastAsia="宋体" w:cs="Times New Roman"/>
                      <w:color w:val="auto"/>
                      <w:szCs w:val="21"/>
                    </w:rPr>
                  </w:pPr>
                </w:p>
              </w:tc>
              <w:tc>
                <w:tcPr>
                  <w:tcW w:w="993" w:type="pct"/>
                  <w:tcBorders>
                    <w:tl2br w:val="nil"/>
                    <w:tr2bl w:val="nil"/>
                  </w:tcBorders>
                  <w:vAlign w:val="center"/>
                </w:tcPr>
                <w:p w14:paraId="3002313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第四次</w:t>
                  </w:r>
                  <w:r>
                    <w:rPr>
                      <w:rFonts w:hint="eastAsia" w:ascii="Times New Roman" w:hAnsi="Times New Roman" w:eastAsia="宋体" w:cs="Times New Roman"/>
                      <w:color w:val="auto"/>
                      <w:szCs w:val="21"/>
                      <w:lang w:val="en-US" w:eastAsia="zh-CN"/>
                    </w:rPr>
                    <w:t>20:00</w:t>
                  </w:r>
                </w:p>
              </w:tc>
              <w:tc>
                <w:tcPr>
                  <w:tcW w:w="784" w:type="pct"/>
                  <w:tcBorders>
                    <w:tl2br w:val="nil"/>
                    <w:tr2bl w:val="nil"/>
                  </w:tcBorders>
                  <w:vAlign w:val="center"/>
                </w:tcPr>
                <w:p w14:paraId="20898C05">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0B226899">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0.08</w:t>
                  </w:r>
                </w:p>
              </w:tc>
              <w:tc>
                <w:tcPr>
                  <w:tcW w:w="812" w:type="pct"/>
                  <w:vMerge w:val="continue"/>
                  <w:tcBorders>
                    <w:tl2br w:val="nil"/>
                    <w:tr2bl w:val="nil"/>
                  </w:tcBorders>
                  <w:vAlign w:val="center"/>
                </w:tcPr>
                <w:p w14:paraId="19925B65">
                  <w:pPr>
                    <w:widowControl/>
                    <w:jc w:val="center"/>
                    <w:textAlignment w:val="center"/>
                    <w:rPr>
                      <w:rFonts w:ascii="Times New Roman" w:hAnsi="Times New Roman" w:eastAsia="宋体" w:cs="Times New Roman"/>
                      <w:color w:val="auto"/>
                      <w:szCs w:val="21"/>
                    </w:rPr>
                  </w:pPr>
                </w:p>
              </w:tc>
            </w:tr>
            <w:tr w14:paraId="3785D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vMerge w:val="continue"/>
                  <w:tcBorders>
                    <w:tl2br w:val="nil"/>
                    <w:tr2bl w:val="nil"/>
                  </w:tcBorders>
                  <w:vAlign w:val="center"/>
                </w:tcPr>
                <w:p w14:paraId="4620F925">
                  <w:pPr>
                    <w:jc w:val="center"/>
                    <w:rPr>
                      <w:rFonts w:ascii="Times New Roman" w:hAnsi="Times New Roman" w:eastAsia="宋体" w:cs="Times New Roman"/>
                      <w:color w:val="auto"/>
                      <w:szCs w:val="21"/>
                    </w:rPr>
                  </w:pPr>
                </w:p>
              </w:tc>
              <w:tc>
                <w:tcPr>
                  <w:tcW w:w="830" w:type="pct"/>
                  <w:vMerge w:val="restart"/>
                  <w:tcBorders>
                    <w:tl2br w:val="nil"/>
                    <w:tr2bl w:val="nil"/>
                  </w:tcBorders>
                  <w:vAlign w:val="center"/>
                </w:tcPr>
                <w:p w14:paraId="32E2FD6A">
                  <w:pPr>
                    <w:jc w:val="center"/>
                    <w:rPr>
                      <w:rFonts w:hint="default" w:ascii="Times New Roman" w:hAnsi="Times New Roman" w:eastAsia="宋体" w:cs="Times New Roman"/>
                      <w:color w:val="auto"/>
                      <w:szCs w:val="21"/>
                      <w:lang w:val="en-US"/>
                    </w:rPr>
                  </w:pPr>
                  <w:r>
                    <w:rPr>
                      <w:rFonts w:ascii="Times New Roman" w:hAnsi="Times New Roman" w:eastAsia="宋体" w:cs="Times New Roman"/>
                      <w:color w:val="auto"/>
                      <w:szCs w:val="21"/>
                    </w:rPr>
                    <w:t>2024.</w:t>
                  </w:r>
                  <w:r>
                    <w:rPr>
                      <w:rFonts w:hint="eastAsia" w:ascii="Times New Roman" w:hAnsi="Times New Roman" w:eastAsia="宋体" w:cs="Times New Roman"/>
                      <w:color w:val="auto"/>
                      <w:szCs w:val="21"/>
                      <w:lang w:val="en-US" w:eastAsia="zh-CN"/>
                    </w:rPr>
                    <w:t>10.21</w:t>
                  </w:r>
                </w:p>
              </w:tc>
              <w:tc>
                <w:tcPr>
                  <w:tcW w:w="993" w:type="pct"/>
                  <w:tcBorders>
                    <w:tl2br w:val="nil"/>
                    <w:tr2bl w:val="nil"/>
                  </w:tcBorders>
                  <w:vAlign w:val="center"/>
                </w:tcPr>
                <w:p w14:paraId="2C7BD22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第一次</w:t>
                  </w:r>
                  <w:r>
                    <w:rPr>
                      <w:rFonts w:hint="eastAsia" w:ascii="Times New Roman" w:hAnsi="Times New Roman" w:eastAsia="宋体" w:cs="Times New Roman"/>
                      <w:color w:val="auto"/>
                      <w:szCs w:val="21"/>
                      <w:lang w:val="en-US" w:eastAsia="zh-CN"/>
                    </w:rPr>
                    <w:t>2:00</w:t>
                  </w:r>
                </w:p>
              </w:tc>
              <w:tc>
                <w:tcPr>
                  <w:tcW w:w="784" w:type="pct"/>
                  <w:tcBorders>
                    <w:tl2br w:val="nil"/>
                    <w:tr2bl w:val="nil"/>
                  </w:tcBorders>
                  <w:vAlign w:val="center"/>
                </w:tcPr>
                <w:p w14:paraId="3FDAE48F">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5135C40F">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0.71</w:t>
                  </w:r>
                </w:p>
              </w:tc>
              <w:tc>
                <w:tcPr>
                  <w:tcW w:w="812" w:type="pct"/>
                  <w:vMerge w:val="continue"/>
                  <w:tcBorders>
                    <w:tl2br w:val="nil"/>
                    <w:tr2bl w:val="nil"/>
                  </w:tcBorders>
                  <w:vAlign w:val="center"/>
                </w:tcPr>
                <w:p w14:paraId="58EA786D">
                  <w:pPr>
                    <w:widowControl/>
                    <w:jc w:val="center"/>
                    <w:textAlignment w:val="center"/>
                    <w:rPr>
                      <w:rFonts w:ascii="Times New Roman" w:hAnsi="Times New Roman" w:eastAsia="宋体" w:cs="Times New Roman"/>
                      <w:color w:val="auto"/>
                      <w:szCs w:val="21"/>
                    </w:rPr>
                  </w:pPr>
                </w:p>
              </w:tc>
            </w:tr>
            <w:tr w14:paraId="023DC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51" w:type="pct"/>
                  <w:vMerge w:val="continue"/>
                  <w:tcBorders>
                    <w:tl2br w:val="nil"/>
                    <w:tr2bl w:val="nil"/>
                  </w:tcBorders>
                  <w:vAlign w:val="center"/>
                </w:tcPr>
                <w:p w14:paraId="164A2049">
                  <w:pPr>
                    <w:jc w:val="center"/>
                    <w:rPr>
                      <w:rFonts w:ascii="Times New Roman" w:hAnsi="Times New Roman" w:eastAsia="宋体" w:cs="Times New Roman"/>
                      <w:color w:val="auto"/>
                      <w:szCs w:val="21"/>
                    </w:rPr>
                  </w:pPr>
                </w:p>
              </w:tc>
              <w:tc>
                <w:tcPr>
                  <w:tcW w:w="830" w:type="pct"/>
                  <w:vMerge w:val="continue"/>
                  <w:tcBorders>
                    <w:tl2br w:val="nil"/>
                    <w:tr2bl w:val="nil"/>
                  </w:tcBorders>
                  <w:vAlign w:val="center"/>
                </w:tcPr>
                <w:p w14:paraId="434830A2">
                  <w:pPr>
                    <w:jc w:val="center"/>
                    <w:rPr>
                      <w:rFonts w:ascii="Times New Roman" w:hAnsi="Times New Roman" w:eastAsia="宋体" w:cs="Times New Roman"/>
                      <w:color w:val="auto"/>
                      <w:szCs w:val="21"/>
                    </w:rPr>
                  </w:pPr>
                </w:p>
              </w:tc>
              <w:tc>
                <w:tcPr>
                  <w:tcW w:w="993" w:type="pct"/>
                  <w:tcBorders>
                    <w:tl2br w:val="nil"/>
                    <w:tr2bl w:val="nil"/>
                  </w:tcBorders>
                  <w:vAlign w:val="center"/>
                </w:tcPr>
                <w:p w14:paraId="3E330B2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第二次</w:t>
                  </w:r>
                  <w:r>
                    <w:rPr>
                      <w:rFonts w:hint="eastAsia" w:ascii="Times New Roman" w:hAnsi="Times New Roman" w:eastAsia="宋体" w:cs="Times New Roman"/>
                      <w:color w:val="auto"/>
                      <w:szCs w:val="21"/>
                      <w:lang w:val="en-US" w:eastAsia="zh-CN"/>
                    </w:rPr>
                    <w:t>8:00</w:t>
                  </w:r>
                </w:p>
              </w:tc>
              <w:tc>
                <w:tcPr>
                  <w:tcW w:w="784" w:type="pct"/>
                  <w:tcBorders>
                    <w:tl2br w:val="nil"/>
                    <w:tr2bl w:val="nil"/>
                  </w:tcBorders>
                  <w:vAlign w:val="center"/>
                </w:tcPr>
                <w:p w14:paraId="0C8F3F0E">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c>
                <w:tcPr>
                  <w:tcW w:w="927" w:type="pct"/>
                  <w:tcBorders>
                    <w:tl2br w:val="nil"/>
                    <w:tr2bl w:val="nil"/>
                  </w:tcBorders>
                  <w:vAlign w:val="center"/>
                </w:tcPr>
                <w:p w14:paraId="2BB7A650">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w:t>
                  </w:r>
                </w:p>
              </w:tc>
              <w:tc>
                <w:tcPr>
                  <w:tcW w:w="812" w:type="pct"/>
                  <w:vMerge w:val="continue"/>
                  <w:tcBorders>
                    <w:tl2br w:val="nil"/>
                    <w:tr2bl w:val="nil"/>
                  </w:tcBorders>
                  <w:vAlign w:val="center"/>
                </w:tcPr>
                <w:p w14:paraId="1325CD70">
                  <w:pPr>
                    <w:widowControl/>
                    <w:jc w:val="center"/>
                    <w:textAlignment w:val="center"/>
                    <w:rPr>
                      <w:rFonts w:ascii="Times New Roman" w:hAnsi="Times New Roman" w:eastAsia="宋体" w:cs="Times New Roman"/>
                      <w:color w:val="auto"/>
                      <w:szCs w:val="21"/>
                    </w:rPr>
                  </w:pPr>
                </w:p>
              </w:tc>
            </w:tr>
          </w:tbl>
          <w:p w14:paraId="37DD1233">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注：表中</w:t>
            </w:r>
            <w:r>
              <w:rPr>
                <w:rFonts w:ascii="Times New Roman" w:hAnsi="Times New Roman" w:eastAsia="宋体" w:cs="Times New Roman"/>
                <w:color w:val="auto"/>
                <w:kern w:val="0"/>
                <w:szCs w:val="21"/>
              </w:rPr>
              <w:t>ND</w:t>
            </w:r>
            <w:r>
              <w:rPr>
                <w:rFonts w:hint="eastAsia" w:ascii="Times New Roman" w:hAnsi="Times New Roman" w:eastAsia="宋体" w:cs="Times New Roman"/>
                <w:color w:val="auto"/>
                <w:kern w:val="0"/>
                <w:szCs w:val="21"/>
              </w:rPr>
              <w:t>表示检测值低于其检出限；甲醛的检出限为0.</w:t>
            </w:r>
            <w:r>
              <w:rPr>
                <w:rFonts w:hint="eastAsia" w:ascii="Times New Roman" w:hAnsi="Times New Roman" w:eastAsia="宋体" w:cs="Times New Roman"/>
                <w:color w:val="auto"/>
                <w:kern w:val="0"/>
                <w:szCs w:val="21"/>
                <w:lang w:val="en-US" w:eastAsia="zh-CN"/>
              </w:rPr>
              <w:t>04</w:t>
            </w:r>
            <w:r>
              <w:rPr>
                <w:rFonts w:ascii="Times New Roman" w:hAnsi="Times New Roman" w:eastAsia="宋体" w:cs="Times New Roman"/>
                <w:color w:val="auto"/>
                <w:kern w:val="0"/>
                <w:szCs w:val="21"/>
              </w:rPr>
              <w:t>mg/m</w:t>
            </w:r>
            <w:r>
              <w:rPr>
                <w:rFonts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监测时间为2024年10月14日下午开始，到2024年10月21日上午结束，监测时长为整七天。</w:t>
            </w:r>
          </w:p>
          <w:p w14:paraId="3BED0062">
            <w:pPr>
              <w:spacing w:line="460" w:lineRule="exact"/>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表3-4</w:t>
            </w:r>
            <w:r>
              <w:rPr>
                <w:rFonts w:hint="eastAsia" w:ascii="Times New Roman" w:hAnsi="Times New Roman" w:eastAsia="宋体" w:cs="Times New Roman"/>
                <w:b/>
                <w:color w:val="auto"/>
                <w:sz w:val="21"/>
                <w:szCs w:val="21"/>
                <w:lang w:val="en-US" w:eastAsia="zh-CN"/>
              </w:rPr>
              <w:t>-2</w:t>
            </w:r>
            <w:r>
              <w:rPr>
                <w:rFonts w:ascii="Times New Roman" w:hAnsi="Times New Roman" w:eastAsia="宋体" w:cs="Times New Roman"/>
                <w:b/>
                <w:color w:val="auto"/>
                <w:sz w:val="21"/>
                <w:szCs w:val="21"/>
              </w:rPr>
              <w:t>废气监测结果一览表</w:t>
            </w:r>
          </w:p>
          <w:tbl>
            <w:tblPr>
              <w:tblStyle w:val="26"/>
              <w:tblW w:w="83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2075"/>
              <w:gridCol w:w="2484"/>
              <w:gridCol w:w="2154"/>
            </w:tblGrid>
            <w:tr w14:paraId="0BD75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blHeader/>
                <w:jc w:val="center"/>
              </w:trPr>
              <w:tc>
                <w:tcPr>
                  <w:tcW w:w="974" w:type="pct"/>
                  <w:vMerge w:val="restart"/>
                  <w:tcBorders>
                    <w:tl2br w:val="nil"/>
                    <w:tr2bl w:val="nil"/>
                  </w:tcBorders>
                  <w:vAlign w:val="center"/>
                </w:tcPr>
                <w:p w14:paraId="6E41BC3D">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测点位置</w:t>
                  </w:r>
                </w:p>
              </w:tc>
              <w:tc>
                <w:tcPr>
                  <w:tcW w:w="2733" w:type="pct"/>
                  <w:gridSpan w:val="2"/>
                  <w:vMerge w:val="restart"/>
                  <w:tcBorders>
                    <w:tl2br w:val="nil"/>
                    <w:tr2bl w:val="nil"/>
                  </w:tcBorders>
                  <w:vAlign w:val="center"/>
                </w:tcPr>
                <w:p w14:paraId="0A251665">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采样时间</w:t>
                  </w:r>
                </w:p>
              </w:tc>
              <w:tc>
                <w:tcPr>
                  <w:tcW w:w="1291" w:type="pct"/>
                  <w:tcBorders>
                    <w:tl2br w:val="nil"/>
                    <w:tr2bl w:val="nil"/>
                  </w:tcBorders>
                  <w:vAlign w:val="center"/>
                </w:tcPr>
                <w:p w14:paraId="1F0222BE">
                  <w:pPr>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检测结果</w:t>
                  </w:r>
                </w:p>
              </w:tc>
            </w:tr>
            <w:tr w14:paraId="3F988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blHeader/>
                <w:jc w:val="center"/>
              </w:trPr>
              <w:tc>
                <w:tcPr>
                  <w:tcW w:w="974" w:type="pct"/>
                  <w:vMerge w:val="continue"/>
                  <w:tcBorders>
                    <w:tl2br w:val="nil"/>
                    <w:tr2bl w:val="nil"/>
                  </w:tcBorders>
                  <w:vAlign w:val="center"/>
                </w:tcPr>
                <w:p w14:paraId="2DF79CA7">
                  <w:pPr>
                    <w:jc w:val="center"/>
                    <w:rPr>
                      <w:rFonts w:ascii="Times New Roman" w:hAnsi="Times New Roman" w:eastAsia="宋体" w:cs="Times New Roman"/>
                      <w:color w:val="auto"/>
                      <w:sz w:val="21"/>
                      <w:szCs w:val="21"/>
                    </w:rPr>
                  </w:pPr>
                </w:p>
              </w:tc>
              <w:tc>
                <w:tcPr>
                  <w:tcW w:w="2733" w:type="pct"/>
                  <w:gridSpan w:val="2"/>
                  <w:vMerge w:val="continue"/>
                  <w:tcBorders>
                    <w:tl2br w:val="nil"/>
                    <w:tr2bl w:val="nil"/>
                  </w:tcBorders>
                  <w:vAlign w:val="center"/>
                </w:tcPr>
                <w:p w14:paraId="30BDC825">
                  <w:pPr>
                    <w:jc w:val="center"/>
                    <w:rPr>
                      <w:rFonts w:ascii="Times New Roman" w:hAnsi="Times New Roman" w:eastAsia="宋体" w:cs="Times New Roman"/>
                      <w:color w:val="auto"/>
                      <w:sz w:val="21"/>
                      <w:szCs w:val="21"/>
                    </w:rPr>
                  </w:pPr>
                </w:p>
              </w:tc>
              <w:tc>
                <w:tcPr>
                  <w:tcW w:w="1291" w:type="pct"/>
                  <w:tcBorders>
                    <w:tl2br w:val="nil"/>
                    <w:tr2bl w:val="nil"/>
                  </w:tcBorders>
                  <w:vAlign w:val="center"/>
                </w:tcPr>
                <w:p w14:paraId="3A0F9F6E">
                  <w:pPr>
                    <w:jc w:val="center"/>
                    <w:rPr>
                      <w:rFonts w:ascii="Times New Roman" w:hAnsi="Times New Roman" w:eastAsia="宋体" w:cs="Times New Roman"/>
                      <w:b/>
                      <w:color w:val="auto"/>
                      <w:sz w:val="21"/>
                      <w:szCs w:val="21"/>
                    </w:rPr>
                  </w:pPr>
                  <w:r>
                    <w:rPr>
                      <w:rFonts w:hint="eastAsia" w:cs="Times New Roman"/>
                      <w:b/>
                      <w:color w:val="auto"/>
                      <w:sz w:val="21"/>
                      <w:szCs w:val="21"/>
                      <w:lang w:val="en-US" w:eastAsia="zh-CN"/>
                    </w:rPr>
                    <w:t>酚类</w:t>
                  </w:r>
                  <w:r>
                    <w:rPr>
                      <w:rFonts w:ascii="Times New Roman" w:hAnsi="Times New Roman" w:eastAsia="宋体" w:cs="Times New Roman"/>
                      <w:b/>
                      <w:color w:val="auto"/>
                      <w:sz w:val="21"/>
                      <w:szCs w:val="21"/>
                    </w:rPr>
                    <w:t>（</w:t>
                  </w:r>
                  <w:r>
                    <w:rPr>
                      <w:rFonts w:ascii="Times New Roman" w:hAnsi="Times New Roman" w:eastAsia="宋体" w:cs="Times New Roman"/>
                      <w:b/>
                      <w:bCs/>
                      <w:color w:val="auto"/>
                      <w:sz w:val="21"/>
                      <w:szCs w:val="21"/>
                    </w:rPr>
                    <w:t>mg/m</w:t>
                  </w:r>
                  <w:r>
                    <w:rPr>
                      <w:rFonts w:ascii="Times New Roman" w:hAnsi="Times New Roman" w:eastAsia="宋体" w:cs="Times New Roman"/>
                      <w:b/>
                      <w:bCs/>
                      <w:color w:val="auto"/>
                      <w:sz w:val="21"/>
                      <w:szCs w:val="21"/>
                      <w:vertAlign w:val="superscript"/>
                    </w:rPr>
                    <w:t>3</w:t>
                  </w:r>
                  <w:r>
                    <w:rPr>
                      <w:rFonts w:ascii="Times New Roman" w:hAnsi="Times New Roman" w:eastAsia="宋体" w:cs="Times New Roman"/>
                      <w:b/>
                      <w:color w:val="auto"/>
                      <w:sz w:val="21"/>
                      <w:szCs w:val="21"/>
                    </w:rPr>
                    <w:t>）</w:t>
                  </w:r>
                </w:p>
              </w:tc>
            </w:tr>
            <w:tr w14:paraId="52133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restart"/>
                  <w:tcBorders>
                    <w:tl2br w:val="nil"/>
                    <w:tr2bl w:val="nil"/>
                  </w:tcBorders>
                  <w:vAlign w:val="center"/>
                </w:tcPr>
                <w:p w14:paraId="3E20A116">
                  <w:pPr>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项目地西北侧</w:t>
                  </w:r>
                  <w:r>
                    <w:rPr>
                      <w:rFonts w:hint="eastAsia" w:ascii="Times New Roman" w:hAnsi="Times New Roman" w:eastAsia="宋体" w:cs="Times New Roman"/>
                      <w:color w:val="auto"/>
                      <w:kern w:val="0"/>
                      <w:szCs w:val="21"/>
                      <w:lang w:val="en-US" w:eastAsia="zh-CN"/>
                    </w:rPr>
                    <w:t>15</w:t>
                  </w:r>
                  <w:r>
                    <w:rPr>
                      <w:rFonts w:ascii="Times New Roman" w:hAnsi="Times New Roman" w:eastAsia="宋体" w:cs="Times New Roman"/>
                      <w:color w:val="auto"/>
                      <w:kern w:val="0"/>
                      <w:szCs w:val="21"/>
                    </w:rPr>
                    <w:t>0米</w:t>
                  </w:r>
                  <w:r>
                    <w:rPr>
                      <w:rFonts w:hint="eastAsia"/>
                      <w:color w:val="auto"/>
                      <w:sz w:val="21"/>
                      <w:szCs w:val="21"/>
                      <w:lang w:val="en-US" w:eastAsia="zh-CN"/>
                    </w:rPr>
                    <w:t>陆姚社区</w:t>
                  </w:r>
                </w:p>
              </w:tc>
              <w:tc>
                <w:tcPr>
                  <w:tcW w:w="1244" w:type="pct"/>
                  <w:vMerge w:val="restart"/>
                  <w:tcBorders>
                    <w:tl2br w:val="nil"/>
                    <w:tr2bl w:val="nil"/>
                  </w:tcBorders>
                  <w:vAlign w:val="center"/>
                </w:tcPr>
                <w:p w14:paraId="7F701094">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5.02.17</w:t>
                  </w:r>
                </w:p>
              </w:tc>
              <w:tc>
                <w:tcPr>
                  <w:tcW w:w="2484" w:type="dxa"/>
                  <w:tcBorders>
                    <w:tl2br w:val="nil"/>
                    <w:tr2bl w:val="nil"/>
                  </w:tcBorders>
                  <w:vAlign w:val="center"/>
                </w:tcPr>
                <w:p w14:paraId="0039BB7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1464DA39">
                  <w:pPr>
                    <w:widowControl/>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r>
            <w:tr w14:paraId="0FE01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43B52555">
                  <w:pPr>
                    <w:jc w:val="center"/>
                    <w:rPr>
                      <w:rFonts w:ascii="Times New Roman" w:hAnsi="Times New Roman" w:eastAsia="宋体" w:cs="Times New Roman"/>
                      <w:color w:val="auto"/>
                      <w:kern w:val="0"/>
                      <w:szCs w:val="21"/>
                    </w:rPr>
                  </w:pPr>
                </w:p>
              </w:tc>
              <w:tc>
                <w:tcPr>
                  <w:tcW w:w="1244" w:type="pct"/>
                  <w:vMerge w:val="continue"/>
                  <w:tcBorders>
                    <w:tl2br w:val="nil"/>
                    <w:tr2bl w:val="nil"/>
                  </w:tcBorders>
                  <w:vAlign w:val="center"/>
                </w:tcPr>
                <w:p w14:paraId="6DA13007">
                  <w:pPr>
                    <w:jc w:val="center"/>
                    <w:rPr>
                      <w:rFonts w:ascii="Times New Roman" w:hAnsi="Times New Roman" w:eastAsia="宋体" w:cs="Times New Roman"/>
                      <w:color w:val="auto"/>
                      <w:szCs w:val="21"/>
                    </w:rPr>
                  </w:pPr>
                </w:p>
              </w:tc>
              <w:tc>
                <w:tcPr>
                  <w:tcW w:w="2484" w:type="dxa"/>
                  <w:tcBorders>
                    <w:tl2br w:val="nil"/>
                    <w:tr2bl w:val="nil"/>
                  </w:tcBorders>
                  <w:vAlign w:val="center"/>
                </w:tcPr>
                <w:p w14:paraId="182A5ED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5ECCE4EB">
                  <w:pPr>
                    <w:widowControl/>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r>
            <w:tr w14:paraId="03920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24FF9039">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68955FF5">
                  <w:pPr>
                    <w:jc w:val="center"/>
                    <w:rPr>
                      <w:rFonts w:hint="default" w:ascii="Times New Roman" w:hAnsi="Times New Roman" w:eastAsia="宋体" w:cs="Times New Roman"/>
                      <w:color w:val="auto"/>
                      <w:szCs w:val="21"/>
                      <w:lang w:val="en-US" w:eastAsia="zh-CN"/>
                    </w:rPr>
                  </w:pPr>
                </w:p>
              </w:tc>
              <w:tc>
                <w:tcPr>
                  <w:tcW w:w="2484" w:type="dxa"/>
                  <w:tcBorders>
                    <w:tl2br w:val="nil"/>
                    <w:tr2bl w:val="nil"/>
                  </w:tcBorders>
                  <w:vAlign w:val="center"/>
                </w:tcPr>
                <w:p w14:paraId="1CE8EB1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2AB21A9B">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r>
            <w:tr w14:paraId="59535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23E8DB91">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623CEC57">
                  <w:pPr>
                    <w:jc w:val="center"/>
                    <w:rPr>
                      <w:rFonts w:ascii="Times New Roman" w:hAnsi="Times New Roman" w:eastAsia="宋体" w:cs="Times New Roman"/>
                      <w:color w:val="auto"/>
                      <w:szCs w:val="21"/>
                    </w:rPr>
                  </w:pPr>
                </w:p>
              </w:tc>
              <w:tc>
                <w:tcPr>
                  <w:tcW w:w="2484" w:type="dxa"/>
                  <w:tcBorders>
                    <w:tl2br w:val="nil"/>
                    <w:tr2bl w:val="nil"/>
                  </w:tcBorders>
                  <w:vAlign w:val="center"/>
                </w:tcPr>
                <w:p w14:paraId="71955C0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60883D7A">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1AD01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421489CB">
                  <w:pPr>
                    <w:jc w:val="center"/>
                    <w:rPr>
                      <w:rFonts w:ascii="Times New Roman" w:hAnsi="Times New Roman" w:eastAsia="宋体" w:cs="Times New Roman"/>
                      <w:color w:val="auto"/>
                      <w:szCs w:val="21"/>
                    </w:rPr>
                  </w:pPr>
                </w:p>
              </w:tc>
              <w:tc>
                <w:tcPr>
                  <w:tcW w:w="1244" w:type="pct"/>
                  <w:vMerge w:val="restart"/>
                  <w:tcBorders>
                    <w:tl2br w:val="nil"/>
                    <w:tr2bl w:val="nil"/>
                  </w:tcBorders>
                  <w:vAlign w:val="center"/>
                </w:tcPr>
                <w:p w14:paraId="4462E61F">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5.02.18</w:t>
                  </w:r>
                </w:p>
              </w:tc>
              <w:tc>
                <w:tcPr>
                  <w:tcW w:w="2484" w:type="dxa"/>
                  <w:tcBorders>
                    <w:tl2br w:val="nil"/>
                    <w:tr2bl w:val="nil"/>
                  </w:tcBorders>
                  <w:vAlign w:val="center"/>
                </w:tcPr>
                <w:p w14:paraId="330295C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3201252B">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7B7E4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3B7CBA86">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151ACDBA">
                  <w:pPr>
                    <w:jc w:val="center"/>
                    <w:rPr>
                      <w:rFonts w:ascii="Times New Roman" w:hAnsi="Times New Roman" w:eastAsia="宋体" w:cs="Times New Roman"/>
                      <w:color w:val="auto"/>
                      <w:szCs w:val="21"/>
                    </w:rPr>
                  </w:pPr>
                </w:p>
              </w:tc>
              <w:tc>
                <w:tcPr>
                  <w:tcW w:w="2484" w:type="dxa"/>
                  <w:tcBorders>
                    <w:tl2br w:val="nil"/>
                    <w:tr2bl w:val="nil"/>
                  </w:tcBorders>
                  <w:vAlign w:val="center"/>
                </w:tcPr>
                <w:p w14:paraId="6F94FEE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3704657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10E6B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653A30FE">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5A1A8105">
                  <w:pPr>
                    <w:jc w:val="center"/>
                    <w:rPr>
                      <w:rFonts w:ascii="Times New Roman" w:hAnsi="Times New Roman" w:eastAsia="宋体" w:cs="Times New Roman"/>
                      <w:color w:val="auto"/>
                      <w:szCs w:val="21"/>
                    </w:rPr>
                  </w:pPr>
                </w:p>
              </w:tc>
              <w:tc>
                <w:tcPr>
                  <w:tcW w:w="2484" w:type="dxa"/>
                  <w:tcBorders>
                    <w:tl2br w:val="nil"/>
                    <w:tr2bl w:val="nil"/>
                  </w:tcBorders>
                  <w:vAlign w:val="center"/>
                </w:tcPr>
                <w:p w14:paraId="6189751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33524BB5">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70555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55802065">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317AFF66">
                  <w:pPr>
                    <w:jc w:val="center"/>
                    <w:rPr>
                      <w:rFonts w:ascii="Times New Roman" w:hAnsi="Times New Roman" w:eastAsia="宋体" w:cs="Times New Roman"/>
                      <w:color w:val="auto"/>
                      <w:szCs w:val="21"/>
                    </w:rPr>
                  </w:pPr>
                </w:p>
              </w:tc>
              <w:tc>
                <w:tcPr>
                  <w:tcW w:w="2484" w:type="dxa"/>
                  <w:tcBorders>
                    <w:tl2br w:val="nil"/>
                    <w:tr2bl w:val="nil"/>
                  </w:tcBorders>
                  <w:vAlign w:val="center"/>
                </w:tcPr>
                <w:p w14:paraId="4A8832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26D69730">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201D4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714EF113">
                  <w:pPr>
                    <w:jc w:val="center"/>
                    <w:rPr>
                      <w:rFonts w:ascii="Times New Roman" w:hAnsi="Times New Roman" w:eastAsia="宋体" w:cs="Times New Roman"/>
                      <w:color w:val="auto"/>
                      <w:szCs w:val="21"/>
                    </w:rPr>
                  </w:pPr>
                </w:p>
              </w:tc>
              <w:tc>
                <w:tcPr>
                  <w:tcW w:w="1244" w:type="pct"/>
                  <w:vMerge w:val="restart"/>
                  <w:tcBorders>
                    <w:tl2br w:val="nil"/>
                    <w:tr2bl w:val="nil"/>
                  </w:tcBorders>
                  <w:vAlign w:val="center"/>
                </w:tcPr>
                <w:p w14:paraId="7F307C8C">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5.02.19</w:t>
                  </w:r>
                </w:p>
              </w:tc>
              <w:tc>
                <w:tcPr>
                  <w:tcW w:w="2484" w:type="dxa"/>
                  <w:tcBorders>
                    <w:tl2br w:val="nil"/>
                    <w:tr2bl w:val="nil"/>
                  </w:tcBorders>
                  <w:vAlign w:val="center"/>
                </w:tcPr>
                <w:p w14:paraId="1FD1677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551AEFB2">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4B7C4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101DBF52">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3FCCD1E9">
                  <w:pPr>
                    <w:jc w:val="center"/>
                    <w:rPr>
                      <w:rFonts w:ascii="Times New Roman" w:hAnsi="Times New Roman" w:eastAsia="宋体" w:cs="Times New Roman"/>
                      <w:color w:val="auto"/>
                      <w:szCs w:val="21"/>
                    </w:rPr>
                  </w:pPr>
                </w:p>
              </w:tc>
              <w:tc>
                <w:tcPr>
                  <w:tcW w:w="2484" w:type="dxa"/>
                  <w:tcBorders>
                    <w:tl2br w:val="nil"/>
                    <w:tr2bl w:val="nil"/>
                  </w:tcBorders>
                  <w:vAlign w:val="center"/>
                </w:tcPr>
                <w:p w14:paraId="77CB131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61690B3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41B84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792E6E68">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7F501A14">
                  <w:pPr>
                    <w:jc w:val="center"/>
                    <w:rPr>
                      <w:rFonts w:ascii="Times New Roman" w:hAnsi="Times New Roman" w:eastAsia="宋体" w:cs="Times New Roman"/>
                      <w:color w:val="auto"/>
                      <w:szCs w:val="21"/>
                    </w:rPr>
                  </w:pPr>
                </w:p>
              </w:tc>
              <w:tc>
                <w:tcPr>
                  <w:tcW w:w="2484" w:type="dxa"/>
                  <w:tcBorders>
                    <w:tl2br w:val="nil"/>
                    <w:tr2bl w:val="nil"/>
                  </w:tcBorders>
                  <w:vAlign w:val="center"/>
                </w:tcPr>
                <w:p w14:paraId="1AE366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1B38ADD6">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1C90E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1360D06B">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227E3749">
                  <w:pPr>
                    <w:jc w:val="center"/>
                    <w:rPr>
                      <w:rFonts w:ascii="Times New Roman" w:hAnsi="Times New Roman" w:eastAsia="宋体" w:cs="Times New Roman"/>
                      <w:color w:val="auto"/>
                      <w:szCs w:val="21"/>
                    </w:rPr>
                  </w:pPr>
                </w:p>
              </w:tc>
              <w:tc>
                <w:tcPr>
                  <w:tcW w:w="2484" w:type="dxa"/>
                  <w:tcBorders>
                    <w:tl2br w:val="nil"/>
                    <w:tr2bl w:val="nil"/>
                  </w:tcBorders>
                  <w:vAlign w:val="center"/>
                </w:tcPr>
                <w:p w14:paraId="3ACE8BC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01CE1821">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035BE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476220A1">
                  <w:pPr>
                    <w:jc w:val="center"/>
                    <w:rPr>
                      <w:rFonts w:ascii="Times New Roman" w:hAnsi="Times New Roman" w:eastAsia="宋体" w:cs="Times New Roman"/>
                      <w:color w:val="auto"/>
                      <w:szCs w:val="21"/>
                    </w:rPr>
                  </w:pPr>
                </w:p>
              </w:tc>
              <w:tc>
                <w:tcPr>
                  <w:tcW w:w="1244" w:type="pct"/>
                  <w:vMerge w:val="restart"/>
                  <w:tcBorders>
                    <w:tl2br w:val="nil"/>
                    <w:tr2bl w:val="nil"/>
                  </w:tcBorders>
                  <w:vAlign w:val="center"/>
                </w:tcPr>
                <w:p w14:paraId="3C359157">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5.02.20</w:t>
                  </w:r>
                </w:p>
              </w:tc>
              <w:tc>
                <w:tcPr>
                  <w:tcW w:w="2484" w:type="dxa"/>
                  <w:tcBorders>
                    <w:tl2br w:val="nil"/>
                    <w:tr2bl w:val="nil"/>
                  </w:tcBorders>
                  <w:vAlign w:val="center"/>
                </w:tcPr>
                <w:p w14:paraId="482A809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12855113">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26583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6BF73845">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4DA065E3">
                  <w:pPr>
                    <w:jc w:val="center"/>
                    <w:rPr>
                      <w:rFonts w:ascii="Times New Roman" w:hAnsi="Times New Roman" w:eastAsia="宋体" w:cs="Times New Roman"/>
                      <w:color w:val="auto"/>
                      <w:szCs w:val="21"/>
                    </w:rPr>
                  </w:pPr>
                </w:p>
              </w:tc>
              <w:tc>
                <w:tcPr>
                  <w:tcW w:w="2484" w:type="dxa"/>
                  <w:tcBorders>
                    <w:tl2br w:val="nil"/>
                    <w:tr2bl w:val="nil"/>
                  </w:tcBorders>
                  <w:vAlign w:val="center"/>
                </w:tcPr>
                <w:p w14:paraId="6958317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5DF64AC6">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13CB1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385E9D11">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51950C41">
                  <w:pPr>
                    <w:jc w:val="center"/>
                    <w:rPr>
                      <w:rFonts w:ascii="Times New Roman" w:hAnsi="Times New Roman" w:eastAsia="宋体" w:cs="Times New Roman"/>
                      <w:color w:val="auto"/>
                      <w:szCs w:val="21"/>
                    </w:rPr>
                  </w:pPr>
                </w:p>
              </w:tc>
              <w:tc>
                <w:tcPr>
                  <w:tcW w:w="2484" w:type="dxa"/>
                  <w:tcBorders>
                    <w:tl2br w:val="nil"/>
                    <w:tr2bl w:val="nil"/>
                  </w:tcBorders>
                  <w:vAlign w:val="center"/>
                </w:tcPr>
                <w:p w14:paraId="2322FB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2732CE79">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2AFD9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40E394B0">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6094580B">
                  <w:pPr>
                    <w:jc w:val="center"/>
                    <w:rPr>
                      <w:rFonts w:ascii="Times New Roman" w:hAnsi="Times New Roman" w:eastAsia="宋体" w:cs="Times New Roman"/>
                      <w:color w:val="auto"/>
                      <w:szCs w:val="21"/>
                    </w:rPr>
                  </w:pPr>
                </w:p>
              </w:tc>
              <w:tc>
                <w:tcPr>
                  <w:tcW w:w="2484" w:type="dxa"/>
                  <w:tcBorders>
                    <w:tl2br w:val="nil"/>
                    <w:tr2bl w:val="nil"/>
                  </w:tcBorders>
                  <w:vAlign w:val="center"/>
                </w:tcPr>
                <w:p w14:paraId="6B9BA75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5849E752">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555D5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1B79E0CC">
                  <w:pPr>
                    <w:jc w:val="center"/>
                    <w:rPr>
                      <w:rFonts w:ascii="Times New Roman" w:hAnsi="Times New Roman" w:eastAsia="宋体" w:cs="Times New Roman"/>
                      <w:color w:val="auto"/>
                      <w:szCs w:val="21"/>
                    </w:rPr>
                  </w:pPr>
                </w:p>
              </w:tc>
              <w:tc>
                <w:tcPr>
                  <w:tcW w:w="1244" w:type="pct"/>
                  <w:vMerge w:val="restart"/>
                  <w:tcBorders>
                    <w:tl2br w:val="nil"/>
                    <w:tr2bl w:val="nil"/>
                  </w:tcBorders>
                  <w:vAlign w:val="center"/>
                </w:tcPr>
                <w:p w14:paraId="6496BB8D">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5.02.21</w:t>
                  </w:r>
                </w:p>
              </w:tc>
              <w:tc>
                <w:tcPr>
                  <w:tcW w:w="2484" w:type="dxa"/>
                  <w:tcBorders>
                    <w:tl2br w:val="nil"/>
                    <w:tr2bl w:val="nil"/>
                  </w:tcBorders>
                  <w:vAlign w:val="center"/>
                </w:tcPr>
                <w:p w14:paraId="24C4B35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2AE30FBD">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646C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2BE11083">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46E189B7">
                  <w:pPr>
                    <w:jc w:val="center"/>
                    <w:rPr>
                      <w:rFonts w:ascii="Times New Roman" w:hAnsi="Times New Roman" w:eastAsia="宋体" w:cs="Times New Roman"/>
                      <w:color w:val="auto"/>
                      <w:szCs w:val="21"/>
                    </w:rPr>
                  </w:pPr>
                </w:p>
              </w:tc>
              <w:tc>
                <w:tcPr>
                  <w:tcW w:w="2484" w:type="dxa"/>
                  <w:tcBorders>
                    <w:tl2br w:val="nil"/>
                    <w:tr2bl w:val="nil"/>
                  </w:tcBorders>
                  <w:vAlign w:val="center"/>
                </w:tcPr>
                <w:p w14:paraId="5F399CE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003E8061">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53457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19D6A71F">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0F110F61">
                  <w:pPr>
                    <w:jc w:val="center"/>
                    <w:rPr>
                      <w:rFonts w:ascii="Times New Roman" w:hAnsi="Times New Roman" w:eastAsia="宋体" w:cs="Times New Roman"/>
                      <w:color w:val="auto"/>
                      <w:szCs w:val="21"/>
                    </w:rPr>
                  </w:pPr>
                </w:p>
              </w:tc>
              <w:tc>
                <w:tcPr>
                  <w:tcW w:w="2484" w:type="dxa"/>
                  <w:tcBorders>
                    <w:tl2br w:val="nil"/>
                    <w:tr2bl w:val="nil"/>
                  </w:tcBorders>
                  <w:vAlign w:val="center"/>
                </w:tcPr>
                <w:p w14:paraId="3C791B3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0F492EE4">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3DBD2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14661D94">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00CFFF81">
                  <w:pPr>
                    <w:jc w:val="center"/>
                    <w:rPr>
                      <w:rFonts w:ascii="Times New Roman" w:hAnsi="Times New Roman" w:eastAsia="宋体" w:cs="Times New Roman"/>
                      <w:color w:val="auto"/>
                      <w:szCs w:val="21"/>
                    </w:rPr>
                  </w:pPr>
                </w:p>
              </w:tc>
              <w:tc>
                <w:tcPr>
                  <w:tcW w:w="2484" w:type="dxa"/>
                  <w:tcBorders>
                    <w:tl2br w:val="nil"/>
                    <w:tr2bl w:val="nil"/>
                  </w:tcBorders>
                  <w:vAlign w:val="center"/>
                </w:tcPr>
                <w:p w14:paraId="47CBC9B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1ABDEDA5">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56BB5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74" w:type="pct"/>
                  <w:vMerge w:val="continue"/>
                  <w:tcBorders>
                    <w:tl2br w:val="nil"/>
                    <w:tr2bl w:val="nil"/>
                  </w:tcBorders>
                  <w:vAlign w:val="center"/>
                </w:tcPr>
                <w:p w14:paraId="6999BB12">
                  <w:pPr>
                    <w:jc w:val="center"/>
                    <w:rPr>
                      <w:rFonts w:ascii="Times New Roman" w:hAnsi="Times New Roman" w:eastAsia="宋体" w:cs="Times New Roman"/>
                      <w:color w:val="auto"/>
                      <w:szCs w:val="21"/>
                    </w:rPr>
                  </w:pPr>
                </w:p>
              </w:tc>
              <w:tc>
                <w:tcPr>
                  <w:tcW w:w="1244" w:type="pct"/>
                  <w:vMerge w:val="restart"/>
                  <w:tcBorders>
                    <w:tl2br w:val="nil"/>
                    <w:tr2bl w:val="nil"/>
                  </w:tcBorders>
                  <w:vAlign w:val="center"/>
                </w:tcPr>
                <w:p w14:paraId="416F9F4A">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5.02.22</w:t>
                  </w:r>
                </w:p>
              </w:tc>
              <w:tc>
                <w:tcPr>
                  <w:tcW w:w="2484" w:type="dxa"/>
                  <w:tcBorders>
                    <w:tl2br w:val="nil"/>
                    <w:tr2bl w:val="nil"/>
                  </w:tcBorders>
                  <w:vAlign w:val="center"/>
                </w:tcPr>
                <w:p w14:paraId="3083C12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2DC497B3">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54308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00B7965B">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7CD3FC8C">
                  <w:pPr>
                    <w:jc w:val="center"/>
                    <w:rPr>
                      <w:rFonts w:ascii="Times New Roman" w:hAnsi="Times New Roman" w:eastAsia="宋体" w:cs="Times New Roman"/>
                      <w:color w:val="auto"/>
                      <w:szCs w:val="21"/>
                    </w:rPr>
                  </w:pPr>
                </w:p>
              </w:tc>
              <w:tc>
                <w:tcPr>
                  <w:tcW w:w="2484" w:type="dxa"/>
                  <w:tcBorders>
                    <w:tl2br w:val="nil"/>
                    <w:tr2bl w:val="nil"/>
                  </w:tcBorders>
                  <w:vAlign w:val="center"/>
                </w:tcPr>
                <w:p w14:paraId="08555E0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2CC4A71C">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7B602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5BE02BB0">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27C71FF0">
                  <w:pPr>
                    <w:jc w:val="center"/>
                    <w:rPr>
                      <w:rFonts w:ascii="Times New Roman" w:hAnsi="Times New Roman" w:eastAsia="宋体" w:cs="Times New Roman"/>
                      <w:color w:val="auto"/>
                      <w:szCs w:val="21"/>
                    </w:rPr>
                  </w:pPr>
                </w:p>
              </w:tc>
              <w:tc>
                <w:tcPr>
                  <w:tcW w:w="2484" w:type="dxa"/>
                  <w:tcBorders>
                    <w:tl2br w:val="nil"/>
                    <w:tr2bl w:val="nil"/>
                  </w:tcBorders>
                  <w:vAlign w:val="center"/>
                </w:tcPr>
                <w:p w14:paraId="0F7FCAA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0EDDA420">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23C43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2604FCEE">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25A350C3">
                  <w:pPr>
                    <w:jc w:val="center"/>
                    <w:rPr>
                      <w:rFonts w:ascii="Times New Roman" w:hAnsi="Times New Roman" w:eastAsia="宋体" w:cs="Times New Roman"/>
                      <w:color w:val="auto"/>
                      <w:szCs w:val="21"/>
                    </w:rPr>
                  </w:pPr>
                </w:p>
              </w:tc>
              <w:tc>
                <w:tcPr>
                  <w:tcW w:w="2484" w:type="dxa"/>
                  <w:tcBorders>
                    <w:tl2br w:val="nil"/>
                    <w:tr2bl w:val="nil"/>
                  </w:tcBorders>
                  <w:vAlign w:val="center"/>
                </w:tcPr>
                <w:p w14:paraId="38D97E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5EC21DBC">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545BB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68B933CF">
                  <w:pPr>
                    <w:jc w:val="center"/>
                    <w:rPr>
                      <w:rFonts w:ascii="Times New Roman" w:hAnsi="Times New Roman" w:eastAsia="宋体" w:cs="Times New Roman"/>
                      <w:color w:val="auto"/>
                      <w:szCs w:val="21"/>
                    </w:rPr>
                  </w:pPr>
                </w:p>
              </w:tc>
              <w:tc>
                <w:tcPr>
                  <w:tcW w:w="1244" w:type="pct"/>
                  <w:vMerge w:val="restart"/>
                  <w:tcBorders>
                    <w:tl2br w:val="nil"/>
                    <w:tr2bl w:val="nil"/>
                  </w:tcBorders>
                  <w:vAlign w:val="center"/>
                </w:tcPr>
                <w:p w14:paraId="6F81CA57">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5.02.23</w:t>
                  </w:r>
                </w:p>
              </w:tc>
              <w:tc>
                <w:tcPr>
                  <w:tcW w:w="2484" w:type="dxa"/>
                  <w:tcBorders>
                    <w:tl2br w:val="nil"/>
                    <w:tr2bl w:val="nil"/>
                  </w:tcBorders>
                  <w:vAlign w:val="center"/>
                </w:tcPr>
                <w:p w14:paraId="4F26776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02:00~02:50</w:t>
                  </w:r>
                </w:p>
              </w:tc>
              <w:tc>
                <w:tcPr>
                  <w:tcW w:w="1291" w:type="pct"/>
                  <w:tcBorders>
                    <w:tl2br w:val="nil"/>
                    <w:tr2bl w:val="nil"/>
                  </w:tcBorders>
                  <w:vAlign w:val="center"/>
                </w:tcPr>
                <w:p w14:paraId="427F976D">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06194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4B2CB791">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288F4EC6">
                  <w:pPr>
                    <w:jc w:val="center"/>
                    <w:rPr>
                      <w:rFonts w:ascii="Times New Roman" w:hAnsi="Times New Roman" w:eastAsia="宋体" w:cs="Times New Roman"/>
                      <w:color w:val="auto"/>
                      <w:szCs w:val="21"/>
                    </w:rPr>
                  </w:pPr>
                </w:p>
              </w:tc>
              <w:tc>
                <w:tcPr>
                  <w:tcW w:w="2484" w:type="dxa"/>
                  <w:tcBorders>
                    <w:tl2br w:val="nil"/>
                    <w:tr2bl w:val="nil"/>
                  </w:tcBorders>
                  <w:vAlign w:val="center"/>
                </w:tcPr>
                <w:p w14:paraId="236261E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08:00~8:50</w:t>
                  </w:r>
                </w:p>
              </w:tc>
              <w:tc>
                <w:tcPr>
                  <w:tcW w:w="1291" w:type="pct"/>
                  <w:tcBorders>
                    <w:tl2br w:val="nil"/>
                    <w:tr2bl w:val="nil"/>
                  </w:tcBorders>
                  <w:vAlign w:val="center"/>
                </w:tcPr>
                <w:p w14:paraId="2927DC5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588E5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4" w:type="pct"/>
                  <w:vMerge w:val="continue"/>
                  <w:tcBorders>
                    <w:tl2br w:val="nil"/>
                    <w:tr2bl w:val="nil"/>
                  </w:tcBorders>
                  <w:vAlign w:val="center"/>
                </w:tcPr>
                <w:p w14:paraId="571D4875">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56740184">
                  <w:pPr>
                    <w:jc w:val="center"/>
                    <w:rPr>
                      <w:rFonts w:ascii="Times New Roman" w:hAnsi="Times New Roman" w:eastAsia="宋体" w:cs="Times New Roman"/>
                      <w:color w:val="auto"/>
                      <w:szCs w:val="21"/>
                    </w:rPr>
                  </w:pPr>
                </w:p>
              </w:tc>
              <w:tc>
                <w:tcPr>
                  <w:tcW w:w="2484" w:type="dxa"/>
                  <w:tcBorders>
                    <w:tl2br w:val="nil"/>
                    <w:tr2bl w:val="nil"/>
                  </w:tcBorders>
                  <w:vAlign w:val="center"/>
                </w:tcPr>
                <w:p w14:paraId="3C15B42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14:00~14:50</w:t>
                  </w:r>
                </w:p>
              </w:tc>
              <w:tc>
                <w:tcPr>
                  <w:tcW w:w="1291" w:type="pct"/>
                  <w:tcBorders>
                    <w:tl2br w:val="nil"/>
                    <w:tr2bl w:val="nil"/>
                  </w:tcBorders>
                  <w:vAlign w:val="center"/>
                </w:tcPr>
                <w:p w14:paraId="76E8585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r w14:paraId="24B5D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74" w:type="pct"/>
                  <w:vMerge w:val="continue"/>
                  <w:tcBorders>
                    <w:tl2br w:val="nil"/>
                    <w:tr2bl w:val="nil"/>
                  </w:tcBorders>
                  <w:vAlign w:val="center"/>
                </w:tcPr>
                <w:p w14:paraId="097EC785">
                  <w:pPr>
                    <w:jc w:val="center"/>
                    <w:rPr>
                      <w:rFonts w:ascii="Times New Roman" w:hAnsi="Times New Roman" w:eastAsia="宋体" w:cs="Times New Roman"/>
                      <w:color w:val="auto"/>
                      <w:szCs w:val="21"/>
                    </w:rPr>
                  </w:pPr>
                </w:p>
              </w:tc>
              <w:tc>
                <w:tcPr>
                  <w:tcW w:w="1244" w:type="pct"/>
                  <w:vMerge w:val="continue"/>
                  <w:tcBorders>
                    <w:tl2br w:val="nil"/>
                    <w:tr2bl w:val="nil"/>
                  </w:tcBorders>
                  <w:vAlign w:val="center"/>
                </w:tcPr>
                <w:p w14:paraId="1828E31B">
                  <w:pPr>
                    <w:jc w:val="center"/>
                    <w:rPr>
                      <w:rFonts w:ascii="Times New Roman" w:hAnsi="Times New Roman" w:eastAsia="宋体" w:cs="Times New Roman"/>
                      <w:color w:val="auto"/>
                      <w:szCs w:val="21"/>
                    </w:rPr>
                  </w:pPr>
                </w:p>
              </w:tc>
              <w:tc>
                <w:tcPr>
                  <w:tcW w:w="2484" w:type="dxa"/>
                  <w:tcBorders>
                    <w:tl2br w:val="nil"/>
                    <w:tr2bl w:val="nil"/>
                  </w:tcBorders>
                  <w:vAlign w:val="center"/>
                </w:tcPr>
                <w:p w14:paraId="1209A6C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20:00~20:50</w:t>
                  </w:r>
                </w:p>
              </w:tc>
              <w:tc>
                <w:tcPr>
                  <w:tcW w:w="1291" w:type="pct"/>
                  <w:tcBorders>
                    <w:tl2br w:val="nil"/>
                    <w:tr2bl w:val="nil"/>
                  </w:tcBorders>
                  <w:vAlign w:val="center"/>
                </w:tcPr>
                <w:p w14:paraId="002A8483">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ND</w:t>
                  </w:r>
                </w:p>
              </w:tc>
            </w:tr>
          </w:tbl>
          <w:p w14:paraId="76ACA29A">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注：表中</w:t>
            </w:r>
            <w:r>
              <w:rPr>
                <w:rFonts w:ascii="Times New Roman" w:hAnsi="Times New Roman" w:eastAsia="宋体" w:cs="Times New Roman"/>
                <w:color w:val="auto"/>
                <w:kern w:val="0"/>
                <w:szCs w:val="21"/>
              </w:rPr>
              <w:t>ND</w:t>
            </w:r>
            <w:r>
              <w:rPr>
                <w:rFonts w:hint="eastAsia" w:ascii="Times New Roman" w:hAnsi="Times New Roman" w:eastAsia="宋体" w:cs="Times New Roman"/>
                <w:color w:val="auto"/>
                <w:kern w:val="0"/>
                <w:szCs w:val="21"/>
              </w:rPr>
              <w:t>表示检测值低于其检出限；</w:t>
            </w:r>
            <w:r>
              <w:rPr>
                <w:rFonts w:hint="eastAsia" w:cs="Times New Roman"/>
                <w:color w:val="auto"/>
                <w:kern w:val="0"/>
                <w:szCs w:val="21"/>
                <w:lang w:val="en-US" w:eastAsia="zh-CN"/>
              </w:rPr>
              <w:t>酚类</w:t>
            </w:r>
            <w:r>
              <w:rPr>
                <w:rFonts w:hint="eastAsia" w:ascii="Times New Roman" w:hAnsi="Times New Roman" w:eastAsia="宋体" w:cs="Times New Roman"/>
                <w:color w:val="auto"/>
                <w:kern w:val="0"/>
                <w:szCs w:val="21"/>
              </w:rPr>
              <w:t>的检出限为0.</w:t>
            </w:r>
            <w:r>
              <w:rPr>
                <w:rFonts w:hint="eastAsia" w:ascii="Times New Roman" w:hAnsi="Times New Roman" w:eastAsia="宋体" w:cs="Times New Roman"/>
                <w:color w:val="auto"/>
                <w:kern w:val="0"/>
                <w:szCs w:val="21"/>
                <w:lang w:val="en-US" w:eastAsia="zh-CN"/>
              </w:rPr>
              <w:t>01</w:t>
            </w:r>
            <w:r>
              <w:rPr>
                <w:rFonts w:ascii="Times New Roman" w:hAnsi="Times New Roman" w:eastAsia="宋体" w:cs="Times New Roman"/>
                <w:color w:val="auto"/>
                <w:kern w:val="0"/>
                <w:szCs w:val="21"/>
              </w:rPr>
              <w:t>mg/m</w:t>
            </w:r>
            <w:r>
              <w:rPr>
                <w:rFonts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监测时间为2025年2月17日凌晨开始，到2025年02月23日夜间结束，监测时长为整七天。</w:t>
            </w:r>
          </w:p>
          <w:p w14:paraId="4B1480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宋体" w:cs="Times New Roman"/>
                <w:b/>
                <w:color w:val="auto"/>
                <w:sz w:val="21"/>
                <w:szCs w:val="21"/>
              </w:rPr>
            </w:pPr>
          </w:p>
          <w:p w14:paraId="5C66C8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rPr>
            </w:pPr>
          </w:p>
          <w:p w14:paraId="5E1B55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rPr>
            </w:pPr>
          </w:p>
          <w:p w14:paraId="7EEEB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rPr>
            </w:pPr>
          </w:p>
          <w:p w14:paraId="638F0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rPr>
            </w:pPr>
          </w:p>
          <w:p w14:paraId="735C3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rPr>
            </w:pPr>
          </w:p>
          <w:p w14:paraId="672E3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表3-5评价区域空气质量指标现状统计值和标准指数</w:t>
            </w:r>
          </w:p>
          <w:tbl>
            <w:tblPr>
              <w:tblStyle w:val="25"/>
              <w:tblW w:w="845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785"/>
              <w:gridCol w:w="1237"/>
              <w:gridCol w:w="1101"/>
              <w:gridCol w:w="1245"/>
              <w:gridCol w:w="1185"/>
              <w:gridCol w:w="1018"/>
              <w:gridCol w:w="706"/>
              <w:gridCol w:w="537"/>
              <w:gridCol w:w="642"/>
            </w:tblGrid>
            <w:tr w14:paraId="3D627E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7" w:hRule="atLeast"/>
                <w:jc w:val="center"/>
              </w:trPr>
              <w:tc>
                <w:tcPr>
                  <w:tcW w:w="464" w:type="pct"/>
                  <w:tcBorders>
                    <w:tl2br w:val="nil"/>
                    <w:tr2bl w:val="nil"/>
                  </w:tcBorders>
                  <w:vAlign w:val="center"/>
                </w:tcPr>
                <w:p w14:paraId="79C16B32">
                  <w:pPr>
                    <w:pStyle w:val="83"/>
                    <w:rPr>
                      <w:rFonts w:eastAsia="宋体" w:cs="Times New Roman"/>
                      <w:b/>
                      <w:color w:val="auto"/>
                      <w:sz w:val="21"/>
                      <w:szCs w:val="21"/>
                    </w:rPr>
                  </w:pPr>
                  <w:r>
                    <w:rPr>
                      <w:rFonts w:eastAsia="宋体" w:cs="Times New Roman"/>
                      <w:b/>
                      <w:color w:val="auto"/>
                      <w:sz w:val="21"/>
                      <w:szCs w:val="21"/>
                    </w:rPr>
                    <w:t>监测</w:t>
                  </w:r>
                </w:p>
                <w:p w14:paraId="18829BE6">
                  <w:pPr>
                    <w:pStyle w:val="83"/>
                    <w:rPr>
                      <w:rFonts w:eastAsia="宋体" w:cs="Times New Roman"/>
                      <w:b/>
                      <w:color w:val="auto"/>
                      <w:sz w:val="21"/>
                      <w:szCs w:val="21"/>
                    </w:rPr>
                  </w:pPr>
                  <w:r>
                    <w:rPr>
                      <w:rFonts w:eastAsia="宋体" w:cs="Times New Roman"/>
                      <w:b/>
                      <w:color w:val="auto"/>
                      <w:sz w:val="21"/>
                      <w:szCs w:val="21"/>
                    </w:rPr>
                    <w:t>点位</w:t>
                  </w:r>
                </w:p>
              </w:tc>
              <w:tc>
                <w:tcPr>
                  <w:tcW w:w="731" w:type="pct"/>
                  <w:tcBorders>
                    <w:tl2br w:val="nil"/>
                    <w:tr2bl w:val="nil"/>
                  </w:tcBorders>
                  <w:vAlign w:val="center"/>
                </w:tcPr>
                <w:p w14:paraId="6C8D25B9">
                  <w:pPr>
                    <w:pStyle w:val="83"/>
                    <w:rPr>
                      <w:rFonts w:eastAsia="宋体" w:cs="Times New Roman"/>
                      <w:b/>
                      <w:color w:val="auto"/>
                      <w:sz w:val="21"/>
                      <w:szCs w:val="21"/>
                    </w:rPr>
                  </w:pPr>
                  <w:r>
                    <w:rPr>
                      <w:rFonts w:eastAsia="宋体" w:cs="Times New Roman"/>
                      <w:b/>
                      <w:color w:val="auto"/>
                      <w:sz w:val="21"/>
                      <w:szCs w:val="21"/>
                    </w:rPr>
                    <w:t>监测</w:t>
                  </w:r>
                </w:p>
                <w:p w14:paraId="0753E577">
                  <w:pPr>
                    <w:pStyle w:val="83"/>
                    <w:rPr>
                      <w:rFonts w:eastAsia="宋体" w:cs="Times New Roman"/>
                      <w:b/>
                      <w:color w:val="auto"/>
                      <w:sz w:val="21"/>
                      <w:szCs w:val="21"/>
                    </w:rPr>
                  </w:pPr>
                  <w:r>
                    <w:rPr>
                      <w:rFonts w:eastAsia="宋体" w:cs="Times New Roman"/>
                      <w:b/>
                      <w:color w:val="auto"/>
                      <w:sz w:val="21"/>
                      <w:szCs w:val="21"/>
                    </w:rPr>
                    <w:t>项目</w:t>
                  </w:r>
                </w:p>
              </w:tc>
              <w:tc>
                <w:tcPr>
                  <w:tcW w:w="651" w:type="pct"/>
                  <w:tcBorders>
                    <w:tl2br w:val="nil"/>
                    <w:tr2bl w:val="nil"/>
                  </w:tcBorders>
                  <w:vAlign w:val="center"/>
                </w:tcPr>
                <w:p w14:paraId="5F4BE82B">
                  <w:pPr>
                    <w:pStyle w:val="83"/>
                    <w:rPr>
                      <w:rFonts w:eastAsia="宋体" w:cs="Times New Roman"/>
                      <w:b/>
                      <w:color w:val="auto"/>
                      <w:sz w:val="21"/>
                      <w:szCs w:val="21"/>
                    </w:rPr>
                  </w:pPr>
                  <w:r>
                    <w:rPr>
                      <w:rFonts w:eastAsia="宋体" w:cs="Times New Roman"/>
                      <w:b/>
                      <w:color w:val="auto"/>
                      <w:sz w:val="21"/>
                      <w:szCs w:val="21"/>
                    </w:rPr>
                    <w:t>取值类型</w:t>
                  </w:r>
                </w:p>
              </w:tc>
              <w:tc>
                <w:tcPr>
                  <w:tcW w:w="736" w:type="pct"/>
                  <w:tcBorders>
                    <w:tl2br w:val="nil"/>
                    <w:tr2bl w:val="nil"/>
                  </w:tcBorders>
                  <w:vAlign w:val="center"/>
                </w:tcPr>
                <w:p w14:paraId="4DFBD554">
                  <w:pPr>
                    <w:pStyle w:val="83"/>
                    <w:rPr>
                      <w:rFonts w:eastAsia="宋体" w:cs="Times New Roman"/>
                      <w:b/>
                      <w:color w:val="auto"/>
                      <w:sz w:val="21"/>
                      <w:szCs w:val="21"/>
                    </w:rPr>
                  </w:pPr>
                  <w:r>
                    <w:rPr>
                      <w:rFonts w:eastAsia="宋体" w:cs="Times New Roman"/>
                      <w:b/>
                      <w:color w:val="auto"/>
                      <w:sz w:val="21"/>
                      <w:szCs w:val="21"/>
                    </w:rPr>
                    <w:t>浓度范围（mg/m</w:t>
                  </w:r>
                  <w:r>
                    <w:rPr>
                      <w:rFonts w:eastAsia="宋体" w:cs="Times New Roman"/>
                      <w:b/>
                      <w:color w:val="auto"/>
                      <w:sz w:val="21"/>
                      <w:szCs w:val="21"/>
                      <w:vertAlign w:val="superscript"/>
                    </w:rPr>
                    <w:t>3</w:t>
                  </w:r>
                  <w:r>
                    <w:rPr>
                      <w:rFonts w:eastAsia="宋体" w:cs="Times New Roman"/>
                      <w:b/>
                      <w:color w:val="auto"/>
                      <w:sz w:val="21"/>
                      <w:szCs w:val="21"/>
                    </w:rPr>
                    <w:t>）</w:t>
                  </w:r>
                </w:p>
              </w:tc>
              <w:tc>
                <w:tcPr>
                  <w:tcW w:w="700" w:type="pct"/>
                  <w:tcBorders>
                    <w:tl2br w:val="nil"/>
                    <w:tr2bl w:val="nil"/>
                  </w:tcBorders>
                  <w:vAlign w:val="center"/>
                </w:tcPr>
                <w:p w14:paraId="433EC799">
                  <w:pPr>
                    <w:pStyle w:val="83"/>
                    <w:rPr>
                      <w:rFonts w:eastAsia="宋体" w:cs="Times New Roman"/>
                      <w:b/>
                      <w:color w:val="auto"/>
                      <w:sz w:val="21"/>
                      <w:szCs w:val="21"/>
                    </w:rPr>
                  </w:pPr>
                  <w:r>
                    <w:rPr>
                      <w:rFonts w:eastAsia="宋体" w:cs="Times New Roman"/>
                      <w:b/>
                      <w:color w:val="auto"/>
                      <w:sz w:val="21"/>
                      <w:szCs w:val="21"/>
                    </w:rPr>
                    <w:t>标准值（mg/m</w:t>
                  </w:r>
                  <w:r>
                    <w:rPr>
                      <w:rFonts w:eastAsia="宋体" w:cs="Times New Roman"/>
                      <w:b/>
                      <w:color w:val="auto"/>
                      <w:sz w:val="21"/>
                      <w:szCs w:val="21"/>
                      <w:vertAlign w:val="superscript"/>
                    </w:rPr>
                    <w:t>3</w:t>
                  </w:r>
                  <w:r>
                    <w:rPr>
                      <w:rFonts w:eastAsia="宋体" w:cs="Times New Roman"/>
                      <w:b/>
                      <w:color w:val="auto"/>
                      <w:sz w:val="21"/>
                      <w:szCs w:val="21"/>
                    </w:rPr>
                    <w:t>）</w:t>
                  </w:r>
                </w:p>
              </w:tc>
              <w:tc>
                <w:tcPr>
                  <w:tcW w:w="601" w:type="pct"/>
                  <w:tcBorders>
                    <w:tl2br w:val="nil"/>
                    <w:tr2bl w:val="nil"/>
                  </w:tcBorders>
                  <w:vAlign w:val="center"/>
                </w:tcPr>
                <w:p w14:paraId="52F3FDD8">
                  <w:pPr>
                    <w:pStyle w:val="83"/>
                    <w:rPr>
                      <w:rFonts w:eastAsia="宋体" w:cs="Times New Roman"/>
                      <w:b/>
                      <w:color w:val="auto"/>
                      <w:sz w:val="21"/>
                      <w:szCs w:val="21"/>
                    </w:rPr>
                  </w:pPr>
                  <w:r>
                    <w:rPr>
                      <w:rFonts w:eastAsia="宋体" w:cs="Times New Roman"/>
                      <w:b/>
                      <w:color w:val="auto"/>
                      <w:sz w:val="21"/>
                      <w:szCs w:val="21"/>
                    </w:rPr>
                    <w:t>最大浓度占标率/%</w:t>
                  </w:r>
                </w:p>
              </w:tc>
              <w:tc>
                <w:tcPr>
                  <w:tcW w:w="417" w:type="pct"/>
                  <w:tcBorders>
                    <w:tl2br w:val="nil"/>
                    <w:tr2bl w:val="nil"/>
                  </w:tcBorders>
                  <w:vAlign w:val="center"/>
                </w:tcPr>
                <w:p w14:paraId="6ED4E9E3">
                  <w:pPr>
                    <w:pStyle w:val="83"/>
                    <w:rPr>
                      <w:rFonts w:eastAsia="宋体" w:cs="Times New Roman"/>
                      <w:b/>
                      <w:color w:val="auto"/>
                      <w:sz w:val="21"/>
                      <w:szCs w:val="21"/>
                    </w:rPr>
                  </w:pPr>
                  <w:r>
                    <w:rPr>
                      <w:rFonts w:eastAsia="宋体" w:cs="Times New Roman"/>
                      <w:b/>
                      <w:color w:val="auto"/>
                      <w:sz w:val="21"/>
                      <w:szCs w:val="21"/>
                    </w:rPr>
                    <w:t>超标率（%）</w:t>
                  </w:r>
                </w:p>
              </w:tc>
              <w:tc>
                <w:tcPr>
                  <w:tcW w:w="317" w:type="pct"/>
                  <w:tcBorders>
                    <w:tl2br w:val="nil"/>
                    <w:tr2bl w:val="nil"/>
                  </w:tcBorders>
                  <w:vAlign w:val="center"/>
                </w:tcPr>
                <w:p w14:paraId="6E3F8332">
                  <w:pPr>
                    <w:pStyle w:val="83"/>
                    <w:rPr>
                      <w:rFonts w:eastAsia="宋体" w:cs="Times New Roman"/>
                      <w:b/>
                      <w:color w:val="auto"/>
                      <w:sz w:val="21"/>
                      <w:szCs w:val="21"/>
                    </w:rPr>
                  </w:pPr>
                  <w:r>
                    <w:rPr>
                      <w:rFonts w:eastAsia="宋体" w:cs="Times New Roman"/>
                      <w:b/>
                      <w:color w:val="auto"/>
                      <w:sz w:val="21"/>
                      <w:szCs w:val="21"/>
                    </w:rPr>
                    <w:t>超标倍数</w:t>
                  </w:r>
                </w:p>
              </w:tc>
              <w:tc>
                <w:tcPr>
                  <w:tcW w:w="379" w:type="pct"/>
                  <w:tcBorders>
                    <w:tl2br w:val="nil"/>
                    <w:tr2bl w:val="nil"/>
                  </w:tcBorders>
                  <w:vAlign w:val="center"/>
                </w:tcPr>
                <w:p w14:paraId="237B18C6">
                  <w:pPr>
                    <w:pStyle w:val="83"/>
                    <w:rPr>
                      <w:rFonts w:eastAsia="宋体" w:cs="Times New Roman"/>
                      <w:b/>
                      <w:color w:val="auto"/>
                      <w:sz w:val="21"/>
                      <w:szCs w:val="21"/>
                    </w:rPr>
                  </w:pPr>
                  <w:r>
                    <w:rPr>
                      <w:rFonts w:eastAsia="宋体" w:cs="Times New Roman"/>
                      <w:b/>
                      <w:color w:val="auto"/>
                      <w:sz w:val="21"/>
                      <w:szCs w:val="21"/>
                    </w:rPr>
                    <w:t>达标</w:t>
                  </w:r>
                </w:p>
                <w:p w14:paraId="1872327E">
                  <w:pPr>
                    <w:pStyle w:val="83"/>
                    <w:rPr>
                      <w:rFonts w:eastAsia="宋体" w:cs="Times New Roman"/>
                      <w:b/>
                      <w:color w:val="auto"/>
                      <w:sz w:val="21"/>
                      <w:szCs w:val="21"/>
                    </w:rPr>
                  </w:pPr>
                  <w:r>
                    <w:rPr>
                      <w:rFonts w:eastAsia="宋体" w:cs="Times New Roman"/>
                      <w:b/>
                      <w:color w:val="auto"/>
                      <w:sz w:val="21"/>
                      <w:szCs w:val="21"/>
                    </w:rPr>
                    <w:t>情况</w:t>
                  </w:r>
                </w:p>
              </w:tc>
            </w:tr>
            <w:tr w14:paraId="712E56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jc w:val="center"/>
              </w:trPr>
              <w:tc>
                <w:tcPr>
                  <w:tcW w:w="464" w:type="pct"/>
                  <w:vMerge w:val="restart"/>
                  <w:tcBorders>
                    <w:tl2br w:val="nil"/>
                    <w:tr2bl w:val="nil"/>
                  </w:tcBorders>
                  <w:vAlign w:val="center"/>
                </w:tcPr>
                <w:p w14:paraId="13E33634">
                  <w:pPr>
                    <w:widowControl/>
                    <w:jc w:val="center"/>
                    <w:rPr>
                      <w:rFonts w:hint="eastAsia"/>
                      <w:color w:val="auto"/>
                      <w:sz w:val="21"/>
                      <w:szCs w:val="21"/>
                      <w:lang w:val="en-US" w:eastAsia="zh-CN"/>
                    </w:rPr>
                  </w:pPr>
                  <w:r>
                    <w:rPr>
                      <w:rFonts w:hint="eastAsia"/>
                      <w:color w:val="auto"/>
                      <w:sz w:val="21"/>
                      <w:szCs w:val="21"/>
                      <w:lang w:val="en-US" w:eastAsia="zh-CN"/>
                    </w:rPr>
                    <w:t>项目地下风向居民</w:t>
                  </w:r>
                </w:p>
                <w:p w14:paraId="2D0987C2">
                  <w:pPr>
                    <w:adjustRightInd w:val="0"/>
                    <w:snapToGrid w:val="0"/>
                    <w:jc w:val="center"/>
                    <w:rPr>
                      <w:rFonts w:hint="eastAsia" w:ascii="Times New Roman" w:hAnsi="Times New Roman" w:eastAsia="宋体" w:cs="Times New Roman"/>
                      <w:color w:val="auto"/>
                      <w:sz w:val="21"/>
                      <w:szCs w:val="21"/>
                      <w:lang w:eastAsia="zh-CN"/>
                    </w:rPr>
                  </w:pPr>
                  <w:r>
                    <w:rPr>
                      <w:rFonts w:hint="eastAsia"/>
                      <w:color w:val="auto"/>
                      <w:sz w:val="21"/>
                      <w:szCs w:val="21"/>
                      <w:lang w:val="en-US" w:eastAsia="zh-CN"/>
                    </w:rPr>
                    <w:t>（陆姚社区）</w:t>
                  </w:r>
                </w:p>
              </w:tc>
              <w:tc>
                <w:tcPr>
                  <w:tcW w:w="731" w:type="pct"/>
                  <w:tcBorders>
                    <w:tl2br w:val="nil"/>
                    <w:tr2bl w:val="nil"/>
                  </w:tcBorders>
                  <w:vAlign w:val="center"/>
                </w:tcPr>
                <w:p w14:paraId="38A24721">
                  <w:pPr>
                    <w:pStyle w:val="83"/>
                    <w:rPr>
                      <w:rFonts w:eastAsia="宋体" w:cs="Times New Roman"/>
                      <w:color w:val="auto"/>
                      <w:sz w:val="21"/>
                      <w:szCs w:val="21"/>
                    </w:rPr>
                  </w:pPr>
                  <w:r>
                    <w:rPr>
                      <w:rFonts w:eastAsia="宋体" w:cs="Times New Roman"/>
                      <w:color w:val="auto"/>
                      <w:sz w:val="21"/>
                      <w:szCs w:val="21"/>
                    </w:rPr>
                    <w:t>甲醛</w:t>
                  </w:r>
                </w:p>
              </w:tc>
              <w:tc>
                <w:tcPr>
                  <w:tcW w:w="651" w:type="pct"/>
                  <w:tcBorders>
                    <w:tl2br w:val="nil"/>
                    <w:tr2bl w:val="nil"/>
                  </w:tcBorders>
                  <w:vAlign w:val="center"/>
                </w:tcPr>
                <w:p w14:paraId="659B99CC">
                  <w:pPr>
                    <w:pStyle w:val="83"/>
                    <w:rPr>
                      <w:rFonts w:eastAsia="宋体" w:cs="Times New Roman"/>
                      <w:color w:val="auto"/>
                      <w:sz w:val="21"/>
                      <w:szCs w:val="21"/>
                    </w:rPr>
                  </w:pPr>
                  <w:r>
                    <w:rPr>
                      <w:rFonts w:eastAsia="宋体" w:cs="Times New Roman"/>
                      <w:color w:val="auto"/>
                      <w:sz w:val="21"/>
                      <w:szCs w:val="21"/>
                    </w:rPr>
                    <w:t>小时值</w:t>
                  </w:r>
                </w:p>
              </w:tc>
              <w:tc>
                <w:tcPr>
                  <w:tcW w:w="736" w:type="pct"/>
                  <w:tcBorders>
                    <w:tl2br w:val="nil"/>
                    <w:tr2bl w:val="nil"/>
                  </w:tcBorders>
                  <w:vAlign w:val="center"/>
                </w:tcPr>
                <w:p w14:paraId="1CEE8437">
                  <w:pPr>
                    <w:pStyle w:val="83"/>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0.02</w:t>
                  </w:r>
                </w:p>
              </w:tc>
              <w:tc>
                <w:tcPr>
                  <w:tcW w:w="700" w:type="pct"/>
                  <w:tcBorders>
                    <w:tl2br w:val="nil"/>
                    <w:tr2bl w:val="nil"/>
                  </w:tcBorders>
                  <w:vAlign w:val="center"/>
                </w:tcPr>
                <w:p w14:paraId="4BC5C5EC">
                  <w:pPr>
                    <w:pStyle w:val="83"/>
                    <w:rPr>
                      <w:rFonts w:hint="eastAsia" w:eastAsia="宋体" w:cs="Times New Roman"/>
                      <w:color w:val="auto"/>
                      <w:sz w:val="21"/>
                      <w:szCs w:val="21"/>
                      <w:lang w:val="en-US" w:eastAsia="zh-CN"/>
                    </w:rPr>
                  </w:pPr>
                  <w:r>
                    <w:rPr>
                      <w:rFonts w:eastAsia="宋体" w:cs="Times New Roman"/>
                      <w:color w:val="auto"/>
                      <w:sz w:val="21"/>
                      <w:szCs w:val="21"/>
                    </w:rPr>
                    <w:t>0.0</w:t>
                  </w:r>
                  <w:r>
                    <w:rPr>
                      <w:rFonts w:hint="eastAsia" w:eastAsia="宋体" w:cs="Times New Roman"/>
                      <w:color w:val="auto"/>
                      <w:sz w:val="21"/>
                      <w:szCs w:val="21"/>
                      <w:lang w:val="en-US" w:eastAsia="zh-CN"/>
                    </w:rPr>
                    <w:t>5</w:t>
                  </w:r>
                </w:p>
              </w:tc>
              <w:tc>
                <w:tcPr>
                  <w:tcW w:w="601" w:type="pct"/>
                  <w:tcBorders>
                    <w:tl2br w:val="nil"/>
                    <w:tr2bl w:val="nil"/>
                  </w:tcBorders>
                  <w:vAlign w:val="center"/>
                </w:tcPr>
                <w:p w14:paraId="453E628E">
                  <w:pPr>
                    <w:pStyle w:val="83"/>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40%</w:t>
                  </w:r>
                </w:p>
              </w:tc>
              <w:tc>
                <w:tcPr>
                  <w:tcW w:w="417" w:type="pct"/>
                  <w:tcBorders>
                    <w:tl2br w:val="nil"/>
                    <w:tr2bl w:val="nil"/>
                  </w:tcBorders>
                  <w:vAlign w:val="center"/>
                </w:tcPr>
                <w:p w14:paraId="5DA3C540">
                  <w:pPr>
                    <w:pStyle w:val="83"/>
                    <w:rPr>
                      <w:rFonts w:eastAsia="宋体" w:cs="Times New Roman"/>
                      <w:color w:val="auto"/>
                      <w:sz w:val="21"/>
                      <w:szCs w:val="21"/>
                    </w:rPr>
                  </w:pPr>
                  <w:r>
                    <w:rPr>
                      <w:rFonts w:eastAsia="宋体" w:cs="Times New Roman"/>
                      <w:color w:val="auto"/>
                      <w:sz w:val="21"/>
                      <w:szCs w:val="21"/>
                    </w:rPr>
                    <w:t>0</w:t>
                  </w:r>
                </w:p>
              </w:tc>
              <w:tc>
                <w:tcPr>
                  <w:tcW w:w="317" w:type="pct"/>
                  <w:tcBorders>
                    <w:tl2br w:val="nil"/>
                    <w:tr2bl w:val="nil"/>
                  </w:tcBorders>
                  <w:vAlign w:val="center"/>
                </w:tcPr>
                <w:p w14:paraId="6DCC1EE4">
                  <w:pPr>
                    <w:pStyle w:val="83"/>
                    <w:rPr>
                      <w:rFonts w:eastAsia="宋体" w:cs="Times New Roman"/>
                      <w:color w:val="auto"/>
                      <w:sz w:val="21"/>
                      <w:szCs w:val="21"/>
                    </w:rPr>
                  </w:pPr>
                  <w:r>
                    <w:rPr>
                      <w:rFonts w:eastAsia="宋体" w:cs="Times New Roman"/>
                      <w:color w:val="auto"/>
                      <w:sz w:val="21"/>
                      <w:szCs w:val="21"/>
                    </w:rPr>
                    <w:t>0</w:t>
                  </w:r>
                </w:p>
              </w:tc>
              <w:tc>
                <w:tcPr>
                  <w:tcW w:w="379" w:type="pct"/>
                  <w:tcBorders>
                    <w:tl2br w:val="nil"/>
                    <w:tr2bl w:val="nil"/>
                  </w:tcBorders>
                  <w:vAlign w:val="center"/>
                </w:tcPr>
                <w:p w14:paraId="440511A6">
                  <w:pPr>
                    <w:pStyle w:val="83"/>
                    <w:rPr>
                      <w:rFonts w:eastAsia="宋体" w:cs="Times New Roman"/>
                      <w:color w:val="auto"/>
                      <w:sz w:val="21"/>
                      <w:szCs w:val="21"/>
                    </w:rPr>
                  </w:pPr>
                  <w:r>
                    <w:rPr>
                      <w:rFonts w:eastAsia="宋体" w:cs="Times New Roman"/>
                      <w:color w:val="auto"/>
                      <w:sz w:val="21"/>
                      <w:szCs w:val="21"/>
                    </w:rPr>
                    <w:t>达标</w:t>
                  </w:r>
                </w:p>
              </w:tc>
            </w:tr>
            <w:tr w14:paraId="2D5641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8" w:hRule="atLeast"/>
                <w:jc w:val="center"/>
              </w:trPr>
              <w:tc>
                <w:tcPr>
                  <w:tcW w:w="464" w:type="pct"/>
                  <w:vMerge w:val="continue"/>
                  <w:tcBorders>
                    <w:tl2br w:val="nil"/>
                    <w:tr2bl w:val="nil"/>
                  </w:tcBorders>
                  <w:vAlign w:val="center"/>
                </w:tcPr>
                <w:p w14:paraId="23813D6F">
                  <w:pPr>
                    <w:adjustRightInd w:val="0"/>
                    <w:snapToGrid w:val="0"/>
                    <w:jc w:val="center"/>
                    <w:rPr>
                      <w:rFonts w:ascii="Times New Roman" w:hAnsi="Times New Roman" w:eastAsia="宋体" w:cs="Times New Roman"/>
                      <w:color w:val="auto"/>
                      <w:sz w:val="21"/>
                      <w:szCs w:val="21"/>
                    </w:rPr>
                  </w:pPr>
                </w:p>
              </w:tc>
              <w:tc>
                <w:tcPr>
                  <w:tcW w:w="731" w:type="pct"/>
                  <w:tcBorders>
                    <w:tl2br w:val="nil"/>
                    <w:tr2bl w:val="nil"/>
                  </w:tcBorders>
                  <w:vAlign w:val="center"/>
                </w:tcPr>
                <w:p w14:paraId="2A3976D2">
                  <w:pPr>
                    <w:pStyle w:val="83"/>
                    <w:rPr>
                      <w:rFonts w:eastAsia="宋体" w:cs="Times New Roman"/>
                      <w:color w:val="auto"/>
                      <w:sz w:val="21"/>
                      <w:szCs w:val="21"/>
                    </w:rPr>
                  </w:pPr>
                  <w:r>
                    <w:rPr>
                      <w:rFonts w:eastAsia="宋体" w:cs="Times New Roman"/>
                      <w:color w:val="auto"/>
                      <w:sz w:val="21"/>
                      <w:szCs w:val="21"/>
                    </w:rPr>
                    <w:t>TSP</w:t>
                  </w:r>
                </w:p>
              </w:tc>
              <w:tc>
                <w:tcPr>
                  <w:tcW w:w="651" w:type="pct"/>
                  <w:tcBorders>
                    <w:tl2br w:val="nil"/>
                    <w:tr2bl w:val="nil"/>
                  </w:tcBorders>
                  <w:vAlign w:val="center"/>
                </w:tcPr>
                <w:p w14:paraId="79B4692D">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日均值</w:t>
                  </w:r>
                </w:p>
              </w:tc>
              <w:tc>
                <w:tcPr>
                  <w:tcW w:w="736" w:type="pct"/>
                  <w:tcBorders>
                    <w:tl2br w:val="nil"/>
                    <w:tr2bl w:val="nil"/>
                  </w:tcBorders>
                  <w:vAlign w:val="center"/>
                </w:tcPr>
                <w:p w14:paraId="04596875">
                  <w:pPr>
                    <w:pStyle w:val="83"/>
                    <w:rPr>
                      <w:rFonts w:hint="default" w:eastAsia="宋体" w:cs="Times New Roman"/>
                      <w:color w:val="auto"/>
                      <w:sz w:val="21"/>
                      <w:szCs w:val="21"/>
                      <w:lang w:val="en-US" w:eastAsia="zh-CN"/>
                    </w:rPr>
                  </w:pPr>
                  <w:r>
                    <w:rPr>
                      <w:rFonts w:eastAsia="宋体" w:cs="Times New Roman"/>
                      <w:color w:val="auto"/>
                      <w:sz w:val="21"/>
                      <w:szCs w:val="21"/>
                    </w:rPr>
                    <w:t>0.</w:t>
                  </w:r>
                  <w:r>
                    <w:rPr>
                      <w:rFonts w:hint="eastAsia" w:eastAsia="宋体" w:cs="Times New Roman"/>
                      <w:color w:val="auto"/>
                      <w:sz w:val="21"/>
                      <w:szCs w:val="21"/>
                      <w:lang w:val="en-US" w:eastAsia="zh-CN"/>
                    </w:rPr>
                    <w:t>205</w:t>
                  </w:r>
                  <w:r>
                    <w:rPr>
                      <w:rFonts w:eastAsia="宋体" w:cs="Times New Roman"/>
                      <w:color w:val="auto"/>
                      <w:sz w:val="21"/>
                      <w:szCs w:val="21"/>
                    </w:rPr>
                    <w:t>~0.</w:t>
                  </w:r>
                  <w:r>
                    <w:rPr>
                      <w:rFonts w:hint="eastAsia" w:eastAsia="宋体" w:cs="Times New Roman"/>
                      <w:color w:val="auto"/>
                      <w:sz w:val="21"/>
                      <w:szCs w:val="21"/>
                      <w:lang w:val="en-US" w:eastAsia="zh-CN"/>
                    </w:rPr>
                    <w:t>232</w:t>
                  </w:r>
                </w:p>
              </w:tc>
              <w:tc>
                <w:tcPr>
                  <w:tcW w:w="700" w:type="pct"/>
                  <w:tcBorders>
                    <w:tl2br w:val="nil"/>
                    <w:tr2bl w:val="nil"/>
                  </w:tcBorders>
                  <w:vAlign w:val="center"/>
                </w:tcPr>
                <w:p w14:paraId="485E6FD9">
                  <w:pPr>
                    <w:pStyle w:val="83"/>
                    <w:rPr>
                      <w:rFonts w:hint="eastAsia" w:eastAsia="宋体" w:cs="Times New Roman"/>
                      <w:color w:val="auto"/>
                      <w:sz w:val="21"/>
                      <w:szCs w:val="21"/>
                      <w:lang w:eastAsia="zh-CN"/>
                    </w:rPr>
                  </w:pPr>
                  <w:r>
                    <w:rPr>
                      <w:rFonts w:eastAsia="宋体" w:cs="Times New Roman"/>
                      <w:color w:val="auto"/>
                      <w:sz w:val="21"/>
                      <w:szCs w:val="21"/>
                    </w:rPr>
                    <w:t>0.</w:t>
                  </w:r>
                  <w:r>
                    <w:rPr>
                      <w:rFonts w:hint="eastAsia" w:eastAsia="宋体" w:cs="Times New Roman"/>
                      <w:color w:val="auto"/>
                      <w:sz w:val="21"/>
                      <w:szCs w:val="21"/>
                      <w:lang w:val="en-US" w:eastAsia="zh-CN"/>
                    </w:rPr>
                    <w:t>3</w:t>
                  </w:r>
                </w:p>
              </w:tc>
              <w:tc>
                <w:tcPr>
                  <w:tcW w:w="601" w:type="pct"/>
                  <w:tcBorders>
                    <w:tl2br w:val="nil"/>
                    <w:tr2bl w:val="nil"/>
                  </w:tcBorders>
                  <w:vAlign w:val="center"/>
                </w:tcPr>
                <w:p w14:paraId="29F62D04">
                  <w:pPr>
                    <w:pStyle w:val="83"/>
                    <w:rPr>
                      <w:rFonts w:eastAsia="宋体" w:cs="Times New Roman"/>
                      <w:color w:val="auto"/>
                      <w:sz w:val="21"/>
                      <w:szCs w:val="21"/>
                    </w:rPr>
                  </w:pPr>
                  <w:r>
                    <w:rPr>
                      <w:rFonts w:hint="eastAsia" w:eastAsia="宋体" w:cs="Times New Roman"/>
                      <w:color w:val="auto"/>
                      <w:sz w:val="21"/>
                      <w:szCs w:val="21"/>
                      <w:lang w:val="en-US" w:eastAsia="zh-CN"/>
                    </w:rPr>
                    <w:t>77</w:t>
                  </w:r>
                  <w:r>
                    <w:rPr>
                      <w:rFonts w:eastAsia="宋体" w:cs="Times New Roman"/>
                      <w:color w:val="auto"/>
                      <w:sz w:val="21"/>
                      <w:szCs w:val="21"/>
                    </w:rPr>
                    <w:t>%</w:t>
                  </w:r>
                </w:p>
              </w:tc>
              <w:tc>
                <w:tcPr>
                  <w:tcW w:w="417" w:type="pct"/>
                  <w:tcBorders>
                    <w:tl2br w:val="nil"/>
                    <w:tr2bl w:val="nil"/>
                  </w:tcBorders>
                  <w:vAlign w:val="center"/>
                </w:tcPr>
                <w:p w14:paraId="5A40E045">
                  <w:pPr>
                    <w:pStyle w:val="83"/>
                    <w:rPr>
                      <w:rFonts w:eastAsia="宋体" w:cs="Times New Roman"/>
                      <w:color w:val="auto"/>
                      <w:sz w:val="21"/>
                      <w:szCs w:val="21"/>
                    </w:rPr>
                  </w:pPr>
                  <w:r>
                    <w:rPr>
                      <w:rFonts w:eastAsia="宋体" w:cs="Times New Roman"/>
                      <w:color w:val="auto"/>
                      <w:sz w:val="21"/>
                      <w:szCs w:val="21"/>
                    </w:rPr>
                    <w:t>0</w:t>
                  </w:r>
                </w:p>
              </w:tc>
              <w:tc>
                <w:tcPr>
                  <w:tcW w:w="317" w:type="pct"/>
                  <w:tcBorders>
                    <w:tl2br w:val="nil"/>
                    <w:tr2bl w:val="nil"/>
                  </w:tcBorders>
                  <w:vAlign w:val="center"/>
                </w:tcPr>
                <w:p w14:paraId="03102E89">
                  <w:pPr>
                    <w:pStyle w:val="83"/>
                    <w:rPr>
                      <w:rFonts w:eastAsia="宋体" w:cs="Times New Roman"/>
                      <w:color w:val="auto"/>
                      <w:sz w:val="21"/>
                      <w:szCs w:val="21"/>
                    </w:rPr>
                  </w:pPr>
                  <w:r>
                    <w:rPr>
                      <w:rFonts w:eastAsia="宋体" w:cs="Times New Roman"/>
                      <w:color w:val="auto"/>
                      <w:sz w:val="21"/>
                      <w:szCs w:val="21"/>
                    </w:rPr>
                    <w:t>0</w:t>
                  </w:r>
                </w:p>
              </w:tc>
              <w:tc>
                <w:tcPr>
                  <w:tcW w:w="379" w:type="pct"/>
                  <w:tcBorders>
                    <w:tl2br w:val="nil"/>
                    <w:tr2bl w:val="nil"/>
                  </w:tcBorders>
                  <w:vAlign w:val="center"/>
                </w:tcPr>
                <w:p w14:paraId="05D49499">
                  <w:pPr>
                    <w:pStyle w:val="83"/>
                    <w:rPr>
                      <w:rFonts w:eastAsia="宋体" w:cs="Times New Roman"/>
                      <w:color w:val="auto"/>
                      <w:sz w:val="21"/>
                      <w:szCs w:val="21"/>
                    </w:rPr>
                  </w:pPr>
                  <w:r>
                    <w:rPr>
                      <w:rFonts w:eastAsia="宋体" w:cs="Times New Roman"/>
                      <w:color w:val="auto"/>
                      <w:sz w:val="21"/>
                      <w:szCs w:val="21"/>
                    </w:rPr>
                    <w:t>达标</w:t>
                  </w:r>
                </w:p>
              </w:tc>
            </w:tr>
            <w:tr w14:paraId="30541E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8" w:hRule="atLeast"/>
                <w:jc w:val="center"/>
              </w:trPr>
              <w:tc>
                <w:tcPr>
                  <w:tcW w:w="464" w:type="pct"/>
                  <w:vMerge w:val="continue"/>
                  <w:tcBorders>
                    <w:tl2br w:val="nil"/>
                    <w:tr2bl w:val="nil"/>
                  </w:tcBorders>
                  <w:vAlign w:val="center"/>
                </w:tcPr>
                <w:p w14:paraId="38DA7D25">
                  <w:pPr>
                    <w:pStyle w:val="83"/>
                    <w:rPr>
                      <w:rFonts w:eastAsia="宋体" w:cs="Times New Roman"/>
                      <w:color w:val="auto"/>
                      <w:sz w:val="21"/>
                      <w:szCs w:val="21"/>
                    </w:rPr>
                  </w:pPr>
                </w:p>
              </w:tc>
              <w:tc>
                <w:tcPr>
                  <w:tcW w:w="731" w:type="pct"/>
                  <w:tcBorders>
                    <w:tl2br w:val="nil"/>
                    <w:tr2bl w:val="nil"/>
                  </w:tcBorders>
                  <w:vAlign w:val="center"/>
                </w:tcPr>
                <w:p w14:paraId="3643D780">
                  <w:pPr>
                    <w:pStyle w:val="83"/>
                    <w:rPr>
                      <w:rFonts w:eastAsia="宋体" w:cs="Times New Roman"/>
                      <w:color w:val="auto"/>
                      <w:sz w:val="21"/>
                      <w:szCs w:val="21"/>
                    </w:rPr>
                  </w:pPr>
                  <w:r>
                    <w:rPr>
                      <w:rFonts w:eastAsia="宋体" w:cs="Times New Roman"/>
                      <w:color w:val="auto"/>
                      <w:sz w:val="21"/>
                      <w:szCs w:val="21"/>
                    </w:rPr>
                    <w:t>非甲烷总烃</w:t>
                  </w:r>
                </w:p>
              </w:tc>
              <w:tc>
                <w:tcPr>
                  <w:tcW w:w="651" w:type="pct"/>
                  <w:tcBorders>
                    <w:tl2br w:val="nil"/>
                    <w:tr2bl w:val="nil"/>
                  </w:tcBorders>
                  <w:vAlign w:val="center"/>
                </w:tcPr>
                <w:p w14:paraId="4CFC25F3">
                  <w:pPr>
                    <w:jc w:val="center"/>
                    <w:rPr>
                      <w:rFonts w:ascii="Times New Roman" w:hAnsi="Times New Roman" w:eastAsia="宋体" w:cs="Times New Roman"/>
                      <w:color w:val="auto"/>
                      <w:sz w:val="21"/>
                      <w:szCs w:val="21"/>
                    </w:rPr>
                  </w:pPr>
                  <w:r>
                    <w:rPr>
                      <w:rFonts w:eastAsia="宋体" w:cs="Times New Roman"/>
                      <w:color w:val="auto"/>
                      <w:sz w:val="21"/>
                      <w:szCs w:val="21"/>
                    </w:rPr>
                    <w:t>小时值</w:t>
                  </w:r>
                </w:p>
              </w:tc>
              <w:tc>
                <w:tcPr>
                  <w:tcW w:w="736" w:type="pct"/>
                  <w:tcBorders>
                    <w:tl2br w:val="nil"/>
                    <w:tr2bl w:val="nil"/>
                  </w:tcBorders>
                  <w:vAlign w:val="center"/>
                </w:tcPr>
                <w:p w14:paraId="76CA27BD">
                  <w:pPr>
                    <w:pStyle w:val="83"/>
                    <w:rPr>
                      <w:rFonts w:hint="eastAsia" w:eastAsia="宋体" w:cs="Times New Roman"/>
                      <w:color w:val="auto"/>
                      <w:sz w:val="21"/>
                      <w:szCs w:val="21"/>
                      <w:lang w:eastAsia="zh-CN"/>
                    </w:rPr>
                  </w:pPr>
                  <w:r>
                    <w:rPr>
                      <w:rFonts w:eastAsia="宋体" w:cs="Times New Roman"/>
                      <w:color w:val="auto"/>
                      <w:sz w:val="21"/>
                      <w:szCs w:val="21"/>
                    </w:rPr>
                    <w:t>0.</w:t>
                  </w:r>
                  <w:r>
                    <w:rPr>
                      <w:rFonts w:hint="eastAsia" w:eastAsia="宋体" w:cs="Times New Roman"/>
                      <w:color w:val="auto"/>
                      <w:sz w:val="21"/>
                      <w:szCs w:val="21"/>
                      <w:lang w:val="en-US" w:eastAsia="zh-CN"/>
                    </w:rPr>
                    <w:t>08</w:t>
                  </w:r>
                  <w:r>
                    <w:rPr>
                      <w:rFonts w:eastAsia="宋体" w:cs="Times New Roman"/>
                      <w:color w:val="auto"/>
                      <w:sz w:val="21"/>
                      <w:szCs w:val="21"/>
                    </w:rPr>
                    <w:t>~0.7</w:t>
                  </w:r>
                  <w:r>
                    <w:rPr>
                      <w:rFonts w:hint="eastAsia" w:eastAsia="宋体" w:cs="Times New Roman"/>
                      <w:color w:val="auto"/>
                      <w:sz w:val="21"/>
                      <w:szCs w:val="21"/>
                      <w:lang w:val="en-US" w:eastAsia="zh-CN"/>
                    </w:rPr>
                    <w:t>1</w:t>
                  </w:r>
                </w:p>
              </w:tc>
              <w:tc>
                <w:tcPr>
                  <w:tcW w:w="700" w:type="pct"/>
                  <w:tcBorders>
                    <w:tl2br w:val="nil"/>
                    <w:tr2bl w:val="nil"/>
                  </w:tcBorders>
                  <w:vAlign w:val="center"/>
                </w:tcPr>
                <w:p w14:paraId="57A1C39C">
                  <w:pPr>
                    <w:pStyle w:val="83"/>
                    <w:rPr>
                      <w:rFonts w:eastAsia="宋体" w:cs="Times New Roman"/>
                      <w:color w:val="auto"/>
                      <w:sz w:val="21"/>
                      <w:szCs w:val="21"/>
                    </w:rPr>
                  </w:pPr>
                  <w:r>
                    <w:rPr>
                      <w:rFonts w:eastAsia="宋体" w:cs="Times New Roman"/>
                      <w:color w:val="auto"/>
                      <w:sz w:val="21"/>
                      <w:szCs w:val="21"/>
                    </w:rPr>
                    <w:t>2.0</w:t>
                  </w:r>
                </w:p>
              </w:tc>
              <w:tc>
                <w:tcPr>
                  <w:tcW w:w="601" w:type="pct"/>
                  <w:tcBorders>
                    <w:tl2br w:val="nil"/>
                    <w:tr2bl w:val="nil"/>
                  </w:tcBorders>
                  <w:vAlign w:val="center"/>
                </w:tcPr>
                <w:p w14:paraId="37831B5F">
                  <w:pPr>
                    <w:pStyle w:val="83"/>
                    <w:rPr>
                      <w:rFonts w:eastAsia="宋体" w:cs="Times New Roman"/>
                      <w:color w:val="auto"/>
                      <w:sz w:val="21"/>
                      <w:szCs w:val="21"/>
                    </w:rPr>
                  </w:pPr>
                  <w:r>
                    <w:rPr>
                      <w:rFonts w:eastAsia="宋体" w:cs="Times New Roman"/>
                      <w:color w:val="auto"/>
                      <w:sz w:val="21"/>
                      <w:szCs w:val="21"/>
                    </w:rPr>
                    <w:t>3</w:t>
                  </w:r>
                  <w:r>
                    <w:rPr>
                      <w:rFonts w:hint="eastAsia" w:eastAsia="宋体" w:cs="Times New Roman"/>
                      <w:color w:val="auto"/>
                      <w:sz w:val="21"/>
                      <w:szCs w:val="21"/>
                      <w:lang w:val="en-US" w:eastAsia="zh-CN"/>
                    </w:rPr>
                    <w:t>5.5</w:t>
                  </w:r>
                  <w:r>
                    <w:rPr>
                      <w:rFonts w:eastAsia="宋体" w:cs="Times New Roman"/>
                      <w:color w:val="auto"/>
                      <w:sz w:val="21"/>
                      <w:szCs w:val="21"/>
                    </w:rPr>
                    <w:t>%</w:t>
                  </w:r>
                </w:p>
              </w:tc>
              <w:tc>
                <w:tcPr>
                  <w:tcW w:w="417" w:type="pct"/>
                  <w:tcBorders>
                    <w:tl2br w:val="nil"/>
                    <w:tr2bl w:val="nil"/>
                  </w:tcBorders>
                  <w:vAlign w:val="center"/>
                </w:tcPr>
                <w:p w14:paraId="453738A3">
                  <w:pPr>
                    <w:pStyle w:val="83"/>
                    <w:rPr>
                      <w:rFonts w:eastAsia="宋体" w:cs="Times New Roman"/>
                      <w:color w:val="auto"/>
                      <w:sz w:val="21"/>
                      <w:szCs w:val="21"/>
                    </w:rPr>
                  </w:pPr>
                  <w:r>
                    <w:rPr>
                      <w:rFonts w:eastAsia="宋体" w:cs="Times New Roman"/>
                      <w:color w:val="auto"/>
                      <w:sz w:val="21"/>
                      <w:szCs w:val="21"/>
                    </w:rPr>
                    <w:t>0</w:t>
                  </w:r>
                </w:p>
              </w:tc>
              <w:tc>
                <w:tcPr>
                  <w:tcW w:w="317" w:type="pct"/>
                  <w:tcBorders>
                    <w:tl2br w:val="nil"/>
                    <w:tr2bl w:val="nil"/>
                  </w:tcBorders>
                  <w:vAlign w:val="center"/>
                </w:tcPr>
                <w:p w14:paraId="0BDFFE36">
                  <w:pPr>
                    <w:pStyle w:val="83"/>
                    <w:rPr>
                      <w:rFonts w:eastAsia="宋体" w:cs="Times New Roman"/>
                      <w:color w:val="auto"/>
                      <w:sz w:val="21"/>
                      <w:szCs w:val="21"/>
                    </w:rPr>
                  </w:pPr>
                  <w:r>
                    <w:rPr>
                      <w:rFonts w:eastAsia="宋体" w:cs="Times New Roman"/>
                      <w:color w:val="auto"/>
                      <w:sz w:val="21"/>
                      <w:szCs w:val="21"/>
                    </w:rPr>
                    <w:t>0</w:t>
                  </w:r>
                </w:p>
              </w:tc>
              <w:tc>
                <w:tcPr>
                  <w:tcW w:w="379" w:type="pct"/>
                  <w:tcBorders>
                    <w:tl2br w:val="nil"/>
                    <w:tr2bl w:val="nil"/>
                  </w:tcBorders>
                  <w:vAlign w:val="center"/>
                </w:tcPr>
                <w:p w14:paraId="14093C02">
                  <w:pPr>
                    <w:pStyle w:val="83"/>
                    <w:rPr>
                      <w:rFonts w:eastAsia="宋体" w:cs="Times New Roman"/>
                      <w:color w:val="auto"/>
                      <w:sz w:val="21"/>
                      <w:szCs w:val="21"/>
                    </w:rPr>
                  </w:pPr>
                  <w:r>
                    <w:rPr>
                      <w:rFonts w:eastAsia="宋体" w:cs="Times New Roman"/>
                      <w:color w:val="auto"/>
                      <w:sz w:val="21"/>
                      <w:szCs w:val="21"/>
                    </w:rPr>
                    <w:t>达标</w:t>
                  </w:r>
                </w:p>
              </w:tc>
            </w:tr>
            <w:tr w14:paraId="43B776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3" w:hRule="atLeast"/>
                <w:jc w:val="center"/>
              </w:trPr>
              <w:tc>
                <w:tcPr>
                  <w:tcW w:w="464" w:type="pct"/>
                  <w:vMerge w:val="continue"/>
                  <w:tcBorders>
                    <w:tl2br w:val="nil"/>
                    <w:tr2bl w:val="nil"/>
                  </w:tcBorders>
                  <w:vAlign w:val="center"/>
                </w:tcPr>
                <w:p w14:paraId="1731AEC3">
                  <w:pPr>
                    <w:pStyle w:val="83"/>
                    <w:rPr>
                      <w:rFonts w:eastAsia="宋体" w:cs="Times New Roman"/>
                      <w:color w:val="auto"/>
                      <w:sz w:val="21"/>
                      <w:szCs w:val="21"/>
                    </w:rPr>
                  </w:pPr>
                </w:p>
              </w:tc>
              <w:tc>
                <w:tcPr>
                  <w:tcW w:w="731" w:type="pct"/>
                  <w:tcBorders>
                    <w:tl2br w:val="nil"/>
                    <w:tr2bl w:val="nil"/>
                  </w:tcBorders>
                  <w:vAlign w:val="center"/>
                </w:tcPr>
                <w:p w14:paraId="570EDE90">
                  <w:pPr>
                    <w:pStyle w:val="83"/>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酚类（苯酚）</w:t>
                  </w:r>
                </w:p>
              </w:tc>
              <w:tc>
                <w:tcPr>
                  <w:tcW w:w="651" w:type="pct"/>
                  <w:tcBorders>
                    <w:tl2br w:val="nil"/>
                    <w:tr2bl w:val="nil"/>
                  </w:tcBorders>
                  <w:vAlign w:val="center"/>
                </w:tcPr>
                <w:p w14:paraId="4B1CFB7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小时值</w:t>
                  </w:r>
                </w:p>
              </w:tc>
              <w:tc>
                <w:tcPr>
                  <w:tcW w:w="736" w:type="pct"/>
                  <w:tcBorders>
                    <w:tl2br w:val="nil"/>
                    <w:tr2bl w:val="nil"/>
                  </w:tcBorders>
                  <w:vAlign w:val="center"/>
                </w:tcPr>
                <w:p w14:paraId="5CB17A4D">
                  <w:pPr>
                    <w:pStyle w:val="83"/>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0.005</w:t>
                  </w:r>
                </w:p>
              </w:tc>
              <w:tc>
                <w:tcPr>
                  <w:tcW w:w="700" w:type="pct"/>
                  <w:tcBorders>
                    <w:tl2br w:val="nil"/>
                    <w:tr2bl w:val="nil"/>
                  </w:tcBorders>
                  <w:vAlign w:val="center"/>
                </w:tcPr>
                <w:p w14:paraId="387CFCEF">
                  <w:pPr>
                    <w:pStyle w:val="83"/>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0.1</w:t>
                  </w:r>
                </w:p>
              </w:tc>
              <w:tc>
                <w:tcPr>
                  <w:tcW w:w="601" w:type="pct"/>
                  <w:tcBorders>
                    <w:tl2br w:val="nil"/>
                    <w:tr2bl w:val="nil"/>
                  </w:tcBorders>
                  <w:vAlign w:val="center"/>
                </w:tcPr>
                <w:p w14:paraId="4B9A3B51">
                  <w:pPr>
                    <w:pStyle w:val="83"/>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5%</w:t>
                  </w:r>
                </w:p>
              </w:tc>
              <w:tc>
                <w:tcPr>
                  <w:tcW w:w="417" w:type="pct"/>
                  <w:tcBorders>
                    <w:tl2br w:val="nil"/>
                    <w:tr2bl w:val="nil"/>
                  </w:tcBorders>
                  <w:vAlign w:val="center"/>
                </w:tcPr>
                <w:p w14:paraId="25ED1D8B">
                  <w:pPr>
                    <w:pStyle w:val="83"/>
                    <w:rPr>
                      <w:rFonts w:eastAsia="宋体" w:cs="Times New Roman"/>
                      <w:color w:val="auto"/>
                      <w:sz w:val="21"/>
                      <w:szCs w:val="21"/>
                    </w:rPr>
                  </w:pPr>
                  <w:r>
                    <w:rPr>
                      <w:rFonts w:eastAsia="宋体" w:cs="Times New Roman"/>
                      <w:color w:val="auto"/>
                      <w:sz w:val="21"/>
                      <w:szCs w:val="21"/>
                    </w:rPr>
                    <w:t>0</w:t>
                  </w:r>
                </w:p>
              </w:tc>
              <w:tc>
                <w:tcPr>
                  <w:tcW w:w="317" w:type="pct"/>
                  <w:tcBorders>
                    <w:tl2br w:val="nil"/>
                    <w:tr2bl w:val="nil"/>
                  </w:tcBorders>
                  <w:vAlign w:val="center"/>
                </w:tcPr>
                <w:p w14:paraId="1B27CC28">
                  <w:pPr>
                    <w:pStyle w:val="83"/>
                    <w:rPr>
                      <w:rFonts w:eastAsia="宋体" w:cs="Times New Roman"/>
                      <w:color w:val="auto"/>
                      <w:sz w:val="21"/>
                      <w:szCs w:val="21"/>
                    </w:rPr>
                  </w:pPr>
                  <w:r>
                    <w:rPr>
                      <w:rFonts w:eastAsia="宋体" w:cs="Times New Roman"/>
                      <w:color w:val="auto"/>
                      <w:sz w:val="21"/>
                      <w:szCs w:val="21"/>
                    </w:rPr>
                    <w:t>0</w:t>
                  </w:r>
                </w:p>
              </w:tc>
              <w:tc>
                <w:tcPr>
                  <w:tcW w:w="379" w:type="pct"/>
                  <w:tcBorders>
                    <w:tl2br w:val="nil"/>
                    <w:tr2bl w:val="nil"/>
                  </w:tcBorders>
                  <w:vAlign w:val="center"/>
                </w:tcPr>
                <w:p w14:paraId="5B99C0CC">
                  <w:pPr>
                    <w:pStyle w:val="83"/>
                    <w:rPr>
                      <w:rFonts w:eastAsia="宋体" w:cs="Times New Roman"/>
                      <w:color w:val="auto"/>
                      <w:sz w:val="21"/>
                      <w:szCs w:val="21"/>
                    </w:rPr>
                  </w:pPr>
                  <w:r>
                    <w:rPr>
                      <w:rFonts w:eastAsia="宋体" w:cs="Times New Roman"/>
                      <w:color w:val="auto"/>
                      <w:sz w:val="21"/>
                      <w:szCs w:val="21"/>
                    </w:rPr>
                    <w:t>达标</w:t>
                  </w:r>
                </w:p>
              </w:tc>
            </w:tr>
          </w:tbl>
          <w:p w14:paraId="67AC3194">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注：甲醛</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酚类（苯酚）</w:t>
            </w:r>
            <w:r>
              <w:rPr>
                <w:rFonts w:hint="eastAsia" w:ascii="Times New Roman" w:hAnsi="Times New Roman" w:eastAsia="宋体" w:cs="Times New Roman"/>
                <w:color w:val="auto"/>
                <w:kern w:val="0"/>
                <w:szCs w:val="21"/>
              </w:rPr>
              <w:t>的现状监测值均低于检出限，本次环评以检出限的一半计；甲醛的检出限为0.</w:t>
            </w:r>
            <w:r>
              <w:rPr>
                <w:rFonts w:hint="eastAsia" w:ascii="Times New Roman" w:hAnsi="Times New Roman" w:eastAsia="宋体" w:cs="Times New Roman"/>
                <w:color w:val="auto"/>
                <w:kern w:val="0"/>
                <w:szCs w:val="21"/>
                <w:lang w:val="en-US" w:eastAsia="zh-CN"/>
              </w:rPr>
              <w:t>04</w:t>
            </w:r>
            <w:r>
              <w:rPr>
                <w:rFonts w:hint="eastAsia" w:ascii="Times New Roman" w:hAnsi="Times New Roman" w:eastAsia="宋体" w:cs="Times New Roman"/>
                <w:color w:val="auto"/>
                <w:kern w:val="0"/>
                <w:szCs w:val="21"/>
              </w:rPr>
              <w:t>mg/m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，则甲醛的现状值取0.0</w:t>
            </w:r>
            <w:r>
              <w:rPr>
                <w:rFonts w:hint="eastAsia"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rPr>
              <w:t>mg/m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lang w:eastAsia="zh-CN"/>
              </w:rPr>
              <w:t>；</w:t>
            </w:r>
            <w:r>
              <w:rPr>
                <w:rFonts w:hint="eastAsia" w:cs="Times New Roman"/>
                <w:color w:val="auto"/>
                <w:kern w:val="0"/>
                <w:szCs w:val="21"/>
                <w:lang w:val="en-US" w:eastAsia="zh-CN"/>
              </w:rPr>
              <w:t>酚类</w:t>
            </w:r>
            <w:r>
              <w:rPr>
                <w:rFonts w:hint="eastAsia" w:ascii="Times New Roman" w:hAnsi="Times New Roman" w:eastAsia="宋体" w:cs="Times New Roman"/>
                <w:color w:val="auto"/>
                <w:kern w:val="0"/>
                <w:szCs w:val="21"/>
              </w:rPr>
              <w:t>的检出限为0.</w:t>
            </w:r>
            <w:r>
              <w:rPr>
                <w:rFonts w:hint="eastAsia" w:ascii="Times New Roman" w:hAnsi="Times New Roman" w:eastAsia="宋体" w:cs="Times New Roman"/>
                <w:color w:val="auto"/>
                <w:kern w:val="0"/>
                <w:szCs w:val="21"/>
                <w:lang w:val="en-US" w:eastAsia="zh-CN"/>
              </w:rPr>
              <w:t>01</w:t>
            </w:r>
            <w:r>
              <w:rPr>
                <w:rFonts w:hint="eastAsia" w:ascii="Times New Roman" w:hAnsi="Times New Roman" w:eastAsia="宋体" w:cs="Times New Roman"/>
                <w:color w:val="auto"/>
                <w:kern w:val="0"/>
                <w:szCs w:val="21"/>
              </w:rPr>
              <w:t>mg/m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，则</w:t>
            </w:r>
            <w:r>
              <w:rPr>
                <w:rFonts w:hint="eastAsia" w:cs="Times New Roman"/>
                <w:color w:val="auto"/>
                <w:kern w:val="0"/>
                <w:szCs w:val="21"/>
                <w:lang w:val="en-US" w:eastAsia="zh-CN"/>
              </w:rPr>
              <w:t>酚类</w:t>
            </w:r>
            <w:r>
              <w:rPr>
                <w:rFonts w:hint="eastAsia"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苯酚</w:t>
            </w:r>
            <w:r>
              <w:rPr>
                <w:rFonts w:hint="eastAsia" w:cs="Times New Roman"/>
                <w:color w:val="auto"/>
                <w:kern w:val="0"/>
                <w:szCs w:val="21"/>
                <w:lang w:eastAsia="zh-CN"/>
              </w:rPr>
              <w:t>）</w:t>
            </w:r>
            <w:r>
              <w:rPr>
                <w:rFonts w:hint="eastAsia" w:ascii="Times New Roman" w:hAnsi="Times New Roman" w:eastAsia="宋体" w:cs="Times New Roman"/>
                <w:color w:val="auto"/>
                <w:kern w:val="0"/>
                <w:szCs w:val="21"/>
              </w:rPr>
              <w:t>的现状值取0.0</w:t>
            </w:r>
            <w:r>
              <w:rPr>
                <w:rFonts w:hint="eastAsia" w:ascii="Times New Roman" w:hAnsi="Times New Roman" w:eastAsia="宋体" w:cs="Times New Roman"/>
                <w:color w:val="auto"/>
                <w:kern w:val="0"/>
                <w:szCs w:val="21"/>
                <w:lang w:val="en-US" w:eastAsia="zh-CN"/>
              </w:rPr>
              <w:t>05</w:t>
            </w:r>
            <w:r>
              <w:rPr>
                <w:rFonts w:hint="eastAsia" w:ascii="Times New Roman" w:hAnsi="Times New Roman" w:eastAsia="宋体" w:cs="Times New Roman"/>
                <w:color w:val="auto"/>
                <w:kern w:val="0"/>
                <w:szCs w:val="21"/>
              </w:rPr>
              <w:t>mg/m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w:t>
            </w:r>
          </w:p>
          <w:p w14:paraId="4B65027C">
            <w:pPr>
              <w:pStyle w:val="52"/>
              <w:keepNext w:val="0"/>
              <w:keepLines w:val="0"/>
              <w:pageBreakBefore w:val="0"/>
              <w:widowControl w:val="0"/>
              <w:kinsoku/>
              <w:wordWrap/>
              <w:overflowPunct/>
              <w:topLinePunct w:val="0"/>
              <w:autoSpaceDE/>
              <w:autoSpaceDN/>
              <w:bidi w:val="0"/>
              <w:snapToGrid w:val="0"/>
              <w:spacing w:beforeLines="50" w:line="360" w:lineRule="auto"/>
              <w:ind w:firstLine="482"/>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w:t>
            </w:r>
            <w:r>
              <w:rPr>
                <w:rFonts w:hint="eastAsia" w:eastAsia="宋体" w:cs="Times New Roman"/>
                <w:color w:val="auto"/>
                <w:kern w:val="2"/>
                <w:sz w:val="21"/>
                <w:szCs w:val="24"/>
                <w:lang w:val="en-US" w:eastAsia="zh-CN" w:bidi="ar-SA"/>
              </w:rPr>
              <w:t>6</w:t>
            </w:r>
            <w:r>
              <w:rPr>
                <w:rFonts w:ascii="Times New Roman" w:hAnsi="Times New Roman" w:eastAsia="宋体" w:cs="Times New Roman"/>
                <w:color w:val="auto"/>
                <w:kern w:val="2"/>
                <w:sz w:val="21"/>
                <w:szCs w:val="24"/>
                <w:lang w:val="en-US" w:eastAsia="zh-CN" w:bidi="ar-SA"/>
              </w:rPr>
              <w:t>）现状评价结果</w:t>
            </w:r>
          </w:p>
          <w:p w14:paraId="4A59CF85">
            <w:pPr>
              <w:pStyle w:val="52"/>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color w:val="auto"/>
                <w:szCs w:val="21"/>
                <w:lang w:val="en-US" w:eastAsia="zh-CN"/>
              </w:rPr>
            </w:pPr>
            <w:r>
              <w:rPr>
                <w:rFonts w:ascii="Times New Roman" w:hAnsi="Times New Roman" w:eastAsia="宋体" w:cs="Times New Roman"/>
                <w:color w:val="auto"/>
                <w:kern w:val="2"/>
                <w:sz w:val="21"/>
                <w:szCs w:val="24"/>
                <w:lang w:val="en-US" w:eastAsia="zh-CN" w:bidi="ar-SA"/>
              </w:rPr>
              <w:t>由表3</w:t>
            </w:r>
            <w:r>
              <w:rPr>
                <w:rFonts w:hint="eastAsia" w:ascii="Times New Roman" w:hAnsi="Times New Roman" w:eastAsia="宋体" w:cs="Times New Roman"/>
                <w:color w:val="auto"/>
                <w:kern w:val="2"/>
                <w:sz w:val="21"/>
                <w:szCs w:val="24"/>
                <w:lang w:val="en-US" w:eastAsia="zh-CN" w:bidi="ar-SA"/>
              </w:rPr>
              <w:t>-</w:t>
            </w:r>
            <w:r>
              <w:rPr>
                <w:rFonts w:hint="eastAsia" w:eastAsia="宋体" w:cs="Times New Roman"/>
                <w:color w:val="auto"/>
                <w:kern w:val="2"/>
                <w:sz w:val="21"/>
                <w:szCs w:val="24"/>
                <w:lang w:val="en-US" w:eastAsia="zh-CN" w:bidi="ar-SA"/>
              </w:rPr>
              <w:t>5</w:t>
            </w:r>
            <w:r>
              <w:rPr>
                <w:rFonts w:ascii="Times New Roman" w:hAnsi="Times New Roman" w:eastAsia="宋体" w:cs="Times New Roman"/>
                <w:color w:val="auto"/>
                <w:kern w:val="2"/>
                <w:sz w:val="21"/>
                <w:szCs w:val="24"/>
                <w:lang w:val="en-US" w:eastAsia="zh-CN" w:bidi="ar-SA"/>
              </w:rPr>
              <w:t>可知，</w:t>
            </w:r>
            <w:r>
              <w:rPr>
                <w:rFonts w:hint="eastAsia" w:ascii="Times New Roman" w:hAnsi="Times New Roman" w:eastAsia="宋体" w:cs="Times New Roman"/>
                <w:color w:val="auto"/>
                <w:kern w:val="2"/>
                <w:sz w:val="21"/>
                <w:szCs w:val="24"/>
                <w:lang w:val="en-US" w:eastAsia="zh-CN" w:bidi="ar-SA"/>
              </w:rPr>
              <w:t>本项目</w:t>
            </w:r>
            <w:r>
              <w:rPr>
                <w:rFonts w:ascii="Times New Roman" w:hAnsi="Times New Roman" w:eastAsia="宋体" w:cs="Times New Roman"/>
                <w:color w:val="auto"/>
                <w:kern w:val="2"/>
                <w:sz w:val="21"/>
                <w:szCs w:val="24"/>
                <w:lang w:val="en-US" w:eastAsia="zh-CN" w:bidi="ar-SA"/>
              </w:rPr>
              <w:t>特征因子TSP满足《环境空气质量标准》（GB3095-2012）中二级标准，甲醛符合《环境影响评价技术导则—大气环境》（HJ2.2-2018）附录D要求，非甲烷总烃符合《大气污染物综合排放标准详解》</w:t>
            </w:r>
            <w:r>
              <w:rPr>
                <w:rFonts w:hint="eastAsia" w:ascii="Times New Roman" w:hAnsi="Times New Roman" w:eastAsia="宋体" w:cs="Times New Roman"/>
                <w:color w:val="auto"/>
                <w:kern w:val="2"/>
                <w:sz w:val="21"/>
                <w:szCs w:val="24"/>
                <w:lang w:val="en-US" w:eastAsia="zh-CN" w:bidi="ar-SA"/>
              </w:rPr>
              <w:t>，</w:t>
            </w:r>
            <w:r>
              <w:rPr>
                <w:rFonts w:hint="eastAsia" w:eastAsia="宋体" w:cs="Times New Roman"/>
                <w:color w:val="auto"/>
                <w:sz w:val="21"/>
                <w:szCs w:val="21"/>
                <w:lang w:val="en-US" w:eastAsia="zh-CN"/>
              </w:rPr>
              <w:t>酚类</w:t>
            </w:r>
            <w:r>
              <w:rPr>
                <w:rFonts w:hint="eastAsia" w:ascii="Times New Roman" w:hAnsi="Times New Roman" w:eastAsia="宋体" w:cs="Times New Roman"/>
                <w:color w:val="auto"/>
                <w:sz w:val="21"/>
                <w:szCs w:val="21"/>
                <w:lang w:val="en-US" w:eastAsia="zh-CN"/>
              </w:rPr>
              <w:t>满足《国内外空气质量标准与基准汇编》（丁峰等，中国环境出版集团，2020年6月第1版）提供的加拿大阿尔伯塔省空气质量目标值。</w:t>
            </w:r>
          </w:p>
          <w:p w14:paraId="7DCA2A7D">
            <w:pPr>
              <w:keepNext w:val="0"/>
              <w:keepLines w:val="0"/>
              <w:pageBreakBefore w:val="0"/>
              <w:kinsoku/>
              <w:wordWrap/>
              <w:overflowPunct/>
              <w:topLinePunct w:val="0"/>
              <w:bidi w:val="0"/>
              <w:spacing w:line="360" w:lineRule="auto"/>
              <w:ind w:firstLine="422" w:firstLineChars="200"/>
              <w:textAlignment w:val="auto"/>
              <w:rPr>
                <w:rFonts w:hint="default" w:ascii="Times New Roman" w:hAnsi="Times New Roman" w:eastAsia="宋体"/>
                <w:b/>
                <w:color w:val="auto"/>
                <w:szCs w:val="21"/>
                <w:lang w:val="en-US" w:eastAsia="zh-CN"/>
              </w:rPr>
            </w:pPr>
            <w:r>
              <w:rPr>
                <w:rFonts w:hint="eastAsia"/>
                <w:b/>
                <w:color w:val="auto"/>
                <w:szCs w:val="21"/>
                <w:lang w:val="en-US" w:eastAsia="zh-CN"/>
              </w:rPr>
              <w:t>2、</w:t>
            </w:r>
            <w:r>
              <w:rPr>
                <w:rFonts w:ascii="Times New Roman" w:hAnsi="Times New Roman" w:eastAsia="宋体"/>
                <w:b/>
                <w:color w:val="auto"/>
                <w:szCs w:val="21"/>
              </w:rPr>
              <w:t>水环境质量现状</w:t>
            </w:r>
            <w:r>
              <w:rPr>
                <w:rFonts w:hint="eastAsia"/>
                <w:b/>
                <w:color w:val="auto"/>
                <w:szCs w:val="21"/>
                <w:lang w:val="en-US" w:eastAsia="zh-CN"/>
              </w:rPr>
              <w:t xml:space="preserve">                                  </w:t>
            </w:r>
          </w:p>
          <w:p w14:paraId="301B9637">
            <w:pPr>
              <w:spacing w:line="360" w:lineRule="auto"/>
              <w:ind w:firstLine="420" w:firstLineChars="200"/>
              <w:rPr>
                <w:color w:val="auto"/>
              </w:rPr>
            </w:pPr>
            <w:r>
              <w:rPr>
                <w:color w:val="auto"/>
              </w:rPr>
              <w:t>本项目雨水经雨水管网收集后经市政雨水管网</w:t>
            </w:r>
            <w:r>
              <w:rPr>
                <w:rFonts w:hint="eastAsia"/>
                <w:color w:val="auto"/>
                <w:lang w:val="en-US" w:eastAsia="zh-CN"/>
              </w:rPr>
              <w:t>排入北侧居住河</w:t>
            </w:r>
            <w:r>
              <w:rPr>
                <w:color w:val="auto"/>
              </w:rPr>
              <w:t>。根据《省生态环境厅省水利厅关于印发江苏省地表水（环境）功能区划（2021-2030年）的通知》（苏环办[2020]82号），</w:t>
            </w:r>
            <w:r>
              <w:rPr>
                <w:rFonts w:hint="eastAsia"/>
                <w:color w:val="auto"/>
                <w:lang w:val="en-US" w:eastAsia="zh-CN"/>
              </w:rPr>
              <w:t>北侧居住河</w:t>
            </w:r>
            <w:r>
              <w:rPr>
                <w:color w:val="auto"/>
              </w:rPr>
              <w:t>执行《地表水环境质量标准》（GB3838-2002）表1中Ⅲ类标准。</w:t>
            </w:r>
          </w:p>
          <w:p w14:paraId="35A425AD">
            <w:pPr>
              <w:widowControl/>
              <w:snapToGrid w:val="0"/>
              <w:spacing w:line="360" w:lineRule="auto"/>
              <w:ind w:firstLine="420" w:firstLineChars="200"/>
              <w:rPr>
                <w:color w:val="auto"/>
              </w:rPr>
            </w:pPr>
            <w:r>
              <w:rPr>
                <w:rFonts w:hint="eastAsia" w:ascii="宋体" w:hAnsi="宋体" w:cs="宋体"/>
                <w:color w:val="auto"/>
                <w:kern w:val="0"/>
                <w:szCs w:val="21"/>
                <w:lang w:bidi="ar"/>
              </w:rPr>
              <w:t>根据</w:t>
            </w:r>
            <w:r>
              <w:rPr>
                <w:color w:val="auto"/>
              </w:rPr>
              <w:t>《南通市生态环境状况公报》（</w:t>
            </w:r>
            <w:r>
              <w:rPr>
                <w:rFonts w:hint="eastAsia"/>
                <w:color w:val="auto"/>
              </w:rPr>
              <w:t>202</w:t>
            </w:r>
            <w:r>
              <w:rPr>
                <w:rFonts w:hint="eastAsia"/>
                <w:color w:val="auto"/>
                <w:lang w:val="en-US" w:eastAsia="zh-CN"/>
              </w:rPr>
              <w:t>3</w:t>
            </w:r>
            <w:r>
              <w:rPr>
                <w:color w:val="auto"/>
              </w:rPr>
              <w:t>年）</w:t>
            </w:r>
            <w:r>
              <w:rPr>
                <w:rFonts w:hint="eastAsia" w:ascii="宋体" w:hAnsi="宋体" w:cs="宋体"/>
                <w:color w:val="auto"/>
                <w:kern w:val="0"/>
                <w:szCs w:val="21"/>
                <w:lang w:bidi="ar"/>
              </w:rPr>
              <w:t>统计数据显示：</w:t>
            </w:r>
            <w:r>
              <w:rPr>
                <w:rFonts w:hint="eastAsia"/>
                <w:color w:val="auto"/>
                <w:kern w:val="0"/>
                <w:szCs w:val="21"/>
                <w:lang w:bidi="ar"/>
              </w:rPr>
              <w:t>南通市共有</w:t>
            </w:r>
            <w:r>
              <w:rPr>
                <w:color w:val="auto"/>
                <w:kern w:val="0"/>
                <w:szCs w:val="21"/>
                <w:lang w:bidi="ar"/>
              </w:rPr>
              <w:t xml:space="preserve">16 </w:t>
            </w:r>
            <w:r>
              <w:rPr>
                <w:rFonts w:hint="eastAsia"/>
                <w:color w:val="auto"/>
                <w:kern w:val="0"/>
                <w:szCs w:val="21"/>
                <w:lang w:bidi="ar"/>
              </w:rPr>
              <w:t>个国家考核断面，均达到或优于《地表水环境质量标准》（</w:t>
            </w:r>
            <w:r>
              <w:rPr>
                <w:color w:val="auto"/>
                <w:kern w:val="0"/>
                <w:szCs w:val="21"/>
                <w:lang w:bidi="ar"/>
              </w:rPr>
              <w:t>GB3838-2002</w:t>
            </w:r>
            <w:r>
              <w:rPr>
                <w:rFonts w:hint="eastAsia"/>
                <w:color w:val="auto"/>
                <w:kern w:val="0"/>
                <w:szCs w:val="21"/>
                <w:lang w:bidi="ar"/>
              </w:rPr>
              <w:t>）Ⅲ类标准。</w:t>
            </w:r>
            <w:r>
              <w:rPr>
                <w:color w:val="auto"/>
                <w:kern w:val="0"/>
                <w:szCs w:val="21"/>
                <w:lang w:bidi="ar"/>
              </w:rPr>
              <w:t xml:space="preserve">55 </w:t>
            </w:r>
            <w:r>
              <w:rPr>
                <w:rFonts w:hint="eastAsia"/>
                <w:color w:val="auto"/>
                <w:kern w:val="0"/>
                <w:szCs w:val="21"/>
                <w:lang w:bidi="ar"/>
              </w:rPr>
              <w:t>个省考以上断面中，碾砣港闸、聚南大桥、营船港闸、通吕二号桥、东湖桥等</w:t>
            </w:r>
            <w:r>
              <w:rPr>
                <w:color w:val="auto"/>
                <w:kern w:val="0"/>
                <w:szCs w:val="21"/>
                <w:lang w:bidi="ar"/>
              </w:rPr>
              <w:t>1</w:t>
            </w:r>
            <w:r>
              <w:rPr>
                <w:rFonts w:hint="eastAsia"/>
                <w:color w:val="auto"/>
                <w:kern w:val="0"/>
                <w:szCs w:val="21"/>
                <w:lang w:val="en-US" w:eastAsia="zh-CN" w:bidi="ar"/>
              </w:rPr>
              <w:t>9</w:t>
            </w:r>
            <w:r>
              <w:rPr>
                <w:rFonts w:hint="eastAsia"/>
                <w:color w:val="auto"/>
                <w:kern w:val="0"/>
                <w:szCs w:val="21"/>
                <w:lang w:bidi="ar"/>
              </w:rPr>
              <w:t>个断面水质符合Ⅱ类标准，孙窑大桥、嫩江路桥、新江海河桥、团结新大桥等</w:t>
            </w:r>
            <w:r>
              <w:rPr>
                <w:color w:val="auto"/>
                <w:kern w:val="0"/>
                <w:szCs w:val="21"/>
                <w:lang w:bidi="ar"/>
              </w:rPr>
              <w:t>3</w:t>
            </w:r>
            <w:r>
              <w:rPr>
                <w:rFonts w:hint="eastAsia"/>
                <w:color w:val="auto"/>
                <w:kern w:val="0"/>
                <w:szCs w:val="21"/>
                <w:lang w:val="en-US" w:eastAsia="zh-CN" w:bidi="ar"/>
              </w:rPr>
              <w:t>6</w:t>
            </w:r>
            <w:r>
              <w:rPr>
                <w:color w:val="auto"/>
                <w:kern w:val="0"/>
                <w:szCs w:val="21"/>
                <w:lang w:bidi="ar"/>
              </w:rPr>
              <w:t xml:space="preserve"> </w:t>
            </w:r>
            <w:r>
              <w:rPr>
                <w:rFonts w:hint="eastAsia"/>
                <w:color w:val="auto"/>
                <w:kern w:val="0"/>
                <w:szCs w:val="21"/>
                <w:lang w:bidi="ar"/>
              </w:rPr>
              <w:t>个断面水质符合Ⅲ类标准，优Ⅲ类比例</w:t>
            </w:r>
            <w:r>
              <w:rPr>
                <w:color w:val="auto"/>
                <w:kern w:val="0"/>
                <w:szCs w:val="21"/>
                <w:lang w:bidi="ar"/>
              </w:rPr>
              <w:t>100%</w:t>
            </w:r>
            <w:r>
              <w:rPr>
                <w:rFonts w:hint="eastAsia"/>
                <w:color w:val="auto"/>
                <w:kern w:val="0"/>
                <w:szCs w:val="21"/>
                <w:lang w:bidi="ar"/>
              </w:rPr>
              <w:t>，高于省定</w:t>
            </w:r>
            <w:r>
              <w:rPr>
                <w:rFonts w:hint="eastAsia"/>
                <w:color w:val="auto"/>
                <w:kern w:val="0"/>
                <w:szCs w:val="21"/>
                <w:lang w:val="en-US" w:eastAsia="zh-CN" w:bidi="ar"/>
              </w:rPr>
              <w:t>98.2</w:t>
            </w:r>
            <w:r>
              <w:rPr>
                <w:color w:val="auto"/>
                <w:kern w:val="0"/>
                <w:szCs w:val="21"/>
                <w:lang w:bidi="ar"/>
              </w:rPr>
              <w:t>%</w:t>
            </w:r>
            <w:r>
              <w:rPr>
                <w:rFonts w:hint="eastAsia"/>
                <w:color w:val="auto"/>
                <w:kern w:val="0"/>
                <w:szCs w:val="21"/>
                <w:lang w:bidi="ar"/>
              </w:rPr>
              <w:t>的考核标准；</w:t>
            </w:r>
            <w:r>
              <w:rPr>
                <w:color w:val="auto"/>
                <w:kern w:val="0"/>
                <w:szCs w:val="21"/>
                <w:lang w:bidi="ar"/>
              </w:rPr>
              <w:t>无Ⅴ类和劣Ⅴ类断面</w:t>
            </w:r>
            <w:r>
              <w:rPr>
                <w:rFonts w:hint="eastAsia" w:ascii="宋体" w:hAnsi="宋体" w:cs="宋体"/>
                <w:color w:val="auto"/>
                <w:kern w:val="0"/>
                <w:szCs w:val="21"/>
                <w:lang w:bidi="ar"/>
              </w:rPr>
              <w:t>。公报数据表明本项目周边地表水环境质量总体较好</w:t>
            </w:r>
            <w:r>
              <w:rPr>
                <w:color w:val="auto"/>
              </w:rPr>
              <w:t>。</w:t>
            </w:r>
          </w:p>
          <w:p w14:paraId="0ECE331E">
            <w:pPr>
              <w:keepNext w:val="0"/>
              <w:keepLines w:val="0"/>
              <w:pageBreakBefore w:val="0"/>
              <w:kinsoku/>
              <w:wordWrap/>
              <w:overflowPunct/>
              <w:topLinePunct w:val="0"/>
              <w:bidi w:val="0"/>
              <w:spacing w:line="360" w:lineRule="auto"/>
              <w:ind w:firstLine="482"/>
              <w:textAlignment w:val="auto"/>
              <w:rPr>
                <w:rFonts w:ascii="Times New Roman" w:hAnsi="Times New Roman" w:eastAsia="宋体"/>
                <w:b/>
                <w:color w:val="auto"/>
                <w:szCs w:val="21"/>
              </w:rPr>
            </w:pPr>
            <w:r>
              <w:rPr>
                <w:rFonts w:hint="eastAsia"/>
                <w:b/>
                <w:color w:val="auto"/>
                <w:szCs w:val="21"/>
                <w:lang w:val="en-US" w:eastAsia="zh-CN"/>
              </w:rPr>
              <w:t>3、</w:t>
            </w:r>
            <w:r>
              <w:rPr>
                <w:rFonts w:ascii="Times New Roman" w:hAnsi="Times New Roman" w:eastAsia="宋体"/>
                <w:b/>
                <w:color w:val="auto"/>
                <w:szCs w:val="21"/>
              </w:rPr>
              <w:t>声环境质量现状</w:t>
            </w:r>
          </w:p>
          <w:p w14:paraId="4C91295B">
            <w:pPr>
              <w:spacing w:line="360" w:lineRule="auto"/>
              <w:ind w:firstLine="487" w:firstLineChars="232"/>
              <w:rPr>
                <w:rFonts w:hint="eastAsia"/>
                <w:color w:val="auto"/>
              </w:rPr>
            </w:pPr>
            <w:r>
              <w:rPr>
                <w:color w:val="auto"/>
              </w:rPr>
              <w:t>项目建设地点在</w:t>
            </w:r>
            <w:r>
              <w:rPr>
                <w:rFonts w:hint="eastAsia"/>
                <w:color w:val="auto"/>
                <w:szCs w:val="21"/>
                <w:lang w:eastAsia="zh-CN"/>
              </w:rPr>
              <w:t>如皋市城北街道陆姚社区25组188号</w:t>
            </w:r>
            <w:r>
              <w:rPr>
                <w:color w:val="auto"/>
              </w:rPr>
              <w:t>，</w:t>
            </w:r>
            <w:r>
              <w:rPr>
                <w:rFonts w:hint="eastAsia" w:hAnsi="宋体"/>
                <w:color w:val="auto"/>
              </w:rPr>
              <w:t>根据《如皋市区声环境功能区划分调整方案》及南通市如皋市生态环境局关于对《如皋市区声环境功能区划分调整方案》部分条文的解释（通如皋环〔2020〕67号），项目不在规划区域内，</w:t>
            </w:r>
            <w:r>
              <w:rPr>
                <w:rFonts w:hint="eastAsia"/>
                <w:color w:val="auto"/>
              </w:rPr>
              <w:t>因此项目所在地声环境功能区划为</w:t>
            </w:r>
            <w:r>
              <w:rPr>
                <w:color w:val="auto"/>
              </w:rPr>
              <w:t>2</w:t>
            </w:r>
            <w:r>
              <w:rPr>
                <w:rFonts w:hint="eastAsia"/>
                <w:color w:val="auto"/>
              </w:rPr>
              <w:t>类区。</w:t>
            </w:r>
            <w:r>
              <w:rPr>
                <w:rFonts w:hint="eastAsia"/>
                <w:color w:val="auto"/>
                <w:kern w:val="24"/>
                <w:szCs w:val="21"/>
              </w:rPr>
              <w:t>根据《建设项目环境影响报告表编制技术指南（污染影响类）》，本项目50m范围内无声环境保护目标，不进行声环境质量现状监测</w:t>
            </w:r>
            <w:r>
              <w:rPr>
                <w:color w:val="auto"/>
                <w:kern w:val="24"/>
                <w:szCs w:val="21"/>
              </w:rPr>
              <w:t>。</w:t>
            </w:r>
          </w:p>
          <w:p w14:paraId="2EE825B3">
            <w:pPr>
              <w:pStyle w:val="21"/>
              <w:spacing w:after="0" w:line="360" w:lineRule="auto"/>
              <w:ind w:firstLine="420" w:firstLineChars="200"/>
              <w:rPr>
                <w:color w:val="auto"/>
                <w:kern w:val="24"/>
                <w:szCs w:val="21"/>
              </w:rPr>
            </w:pPr>
            <w:r>
              <w:rPr>
                <w:rFonts w:hint="eastAsia"/>
                <w:color w:val="auto"/>
                <w:kern w:val="24"/>
                <w:szCs w:val="21"/>
              </w:rPr>
              <w:t>根据</w:t>
            </w:r>
            <w:r>
              <w:rPr>
                <w:rFonts w:hint="eastAsia"/>
                <w:color w:val="auto"/>
                <w:szCs w:val="21"/>
              </w:rPr>
              <w:t>《南通市生态环境状况公报（202</w:t>
            </w:r>
            <w:r>
              <w:rPr>
                <w:rFonts w:hint="eastAsia"/>
                <w:color w:val="auto"/>
                <w:szCs w:val="21"/>
                <w:lang w:val="en-US" w:eastAsia="zh-CN"/>
              </w:rPr>
              <w:t>3</w:t>
            </w:r>
            <w:r>
              <w:rPr>
                <w:rFonts w:hint="eastAsia"/>
                <w:color w:val="auto"/>
                <w:szCs w:val="21"/>
              </w:rPr>
              <w:t>年）》</w:t>
            </w:r>
            <w:r>
              <w:rPr>
                <w:rFonts w:hint="eastAsia"/>
                <w:color w:val="auto"/>
                <w:kern w:val="24"/>
                <w:szCs w:val="21"/>
              </w:rPr>
              <w:t>中声环境数据，如皋市2 类区声环境质量现状为日间</w:t>
            </w:r>
            <w:r>
              <w:rPr>
                <w:color w:val="auto"/>
                <w:kern w:val="24"/>
                <w:szCs w:val="21"/>
              </w:rPr>
              <w:t>5</w:t>
            </w:r>
            <w:r>
              <w:rPr>
                <w:rFonts w:hint="eastAsia"/>
                <w:color w:val="auto"/>
                <w:kern w:val="24"/>
                <w:szCs w:val="21"/>
                <w:lang w:val="en-US" w:eastAsia="zh-CN"/>
              </w:rPr>
              <w:t>2.9</w:t>
            </w:r>
            <w:r>
              <w:rPr>
                <w:rFonts w:hint="eastAsia"/>
                <w:color w:val="auto"/>
                <w:kern w:val="24"/>
                <w:szCs w:val="21"/>
              </w:rPr>
              <w:t>dB（A），夜间4</w:t>
            </w:r>
            <w:r>
              <w:rPr>
                <w:rFonts w:hint="eastAsia"/>
                <w:color w:val="auto"/>
                <w:kern w:val="24"/>
                <w:szCs w:val="21"/>
                <w:lang w:val="en-US" w:eastAsia="zh-CN"/>
              </w:rPr>
              <w:t>5.5</w:t>
            </w:r>
            <w:r>
              <w:rPr>
                <w:rFonts w:hint="eastAsia"/>
                <w:color w:val="auto"/>
                <w:kern w:val="24"/>
                <w:szCs w:val="21"/>
              </w:rPr>
              <w:t>dB（A），符合《声环境质量标准》（GB3096-2008）中2 类标准，表明项目所在地声环境质量现状良好。</w:t>
            </w:r>
          </w:p>
          <w:p w14:paraId="439DE374">
            <w:pPr>
              <w:keepNext w:val="0"/>
              <w:keepLines w:val="0"/>
              <w:pageBreakBefore w:val="0"/>
              <w:numPr>
                <w:ilvl w:val="0"/>
                <w:numId w:val="8"/>
              </w:numPr>
              <w:kinsoku/>
              <w:wordWrap/>
              <w:overflowPunct/>
              <w:topLinePunct w:val="0"/>
              <w:bidi w:val="0"/>
              <w:spacing w:line="360" w:lineRule="auto"/>
              <w:ind w:firstLine="482"/>
              <w:textAlignment w:val="auto"/>
              <w:rPr>
                <w:rFonts w:hint="eastAsia" w:ascii="Times New Roman" w:hAnsi="Times New Roman" w:eastAsia="宋体" w:cs="Times New Roman"/>
                <w:b/>
                <w:color w:val="auto"/>
                <w:szCs w:val="21"/>
              </w:rPr>
            </w:pPr>
            <w:r>
              <w:rPr>
                <w:rFonts w:hint="eastAsia" w:cs="Times New Roman"/>
                <w:b/>
                <w:color w:val="auto"/>
                <w:szCs w:val="21"/>
                <w:lang w:val="en-US" w:eastAsia="zh-CN"/>
              </w:rPr>
              <w:t>地下水、</w:t>
            </w:r>
            <w:r>
              <w:rPr>
                <w:rFonts w:hint="eastAsia" w:ascii="Times New Roman" w:hAnsi="Times New Roman" w:eastAsia="宋体" w:cs="Times New Roman"/>
                <w:b/>
                <w:color w:val="auto"/>
                <w:szCs w:val="21"/>
              </w:rPr>
              <w:t>土壤环境质量现状</w:t>
            </w:r>
          </w:p>
          <w:p w14:paraId="332E5788">
            <w:pPr>
              <w:keepNext w:val="0"/>
              <w:keepLines w:val="0"/>
              <w:pageBreakBefore w:val="0"/>
              <w:kinsoku/>
              <w:wordWrap/>
              <w:overflowPunct/>
              <w:topLinePunct w:val="0"/>
              <w:bidi w:val="0"/>
              <w:spacing w:line="360" w:lineRule="auto"/>
              <w:ind w:firstLine="482"/>
              <w:textAlignment w:val="auto"/>
              <w:rPr>
                <w:rFonts w:hint="eastAsia" w:ascii="Times New Roman" w:hAnsi="Times New Roman" w:eastAsia="宋体"/>
                <w:bCs/>
                <w:color w:val="auto"/>
                <w:szCs w:val="21"/>
              </w:rPr>
            </w:pPr>
            <w:r>
              <w:rPr>
                <w:rFonts w:hint="eastAsia" w:ascii="Times New Roman" w:hAnsi="Times New Roman" w:eastAsia="宋体"/>
                <w:bCs/>
                <w:color w:val="auto"/>
                <w:szCs w:val="21"/>
              </w:rPr>
              <w:t>本项目不涉及地下水开采，建设单位采取针对性措施，正常情况下不会发生泄漏，一旦发生泄漏，车间工人能够在较短时间内发现并采取措施，且生产车间主要区域、仓库、危废库企业采取硬化防腐防渗措施，不会对土壤、地下水造成影响。项目废气污染物主要为少量挥发性有机物和颗粒物，不会对土壤、地下水造成影响。</w:t>
            </w:r>
          </w:p>
          <w:p w14:paraId="55A0D57B">
            <w:pPr>
              <w:keepNext w:val="0"/>
              <w:keepLines w:val="0"/>
              <w:pageBreakBefore w:val="0"/>
              <w:kinsoku/>
              <w:wordWrap/>
              <w:overflowPunct/>
              <w:topLinePunct w:val="0"/>
              <w:bidi w:val="0"/>
              <w:spacing w:line="360" w:lineRule="auto"/>
              <w:ind w:firstLine="482"/>
              <w:textAlignment w:val="auto"/>
              <w:rPr>
                <w:rFonts w:hint="eastAsia" w:ascii="Times New Roman" w:hAnsi="Times New Roman" w:eastAsia="宋体"/>
                <w:bCs/>
                <w:color w:val="auto"/>
                <w:szCs w:val="21"/>
              </w:rPr>
            </w:pPr>
            <w:r>
              <w:rPr>
                <w:rFonts w:hint="eastAsia" w:ascii="Times New Roman" w:hAnsi="Times New Roman" w:eastAsia="宋体"/>
                <w:bCs/>
                <w:color w:val="auto"/>
                <w:szCs w:val="21"/>
              </w:rPr>
              <w:t>根据《&lt;建设项目环境影响报告表&gt;内容、格式及编制技术指南》环办环评[2020]33 号)的要求报告表原则上不开展土壤、地下水环境质量现状调查。</w:t>
            </w:r>
          </w:p>
          <w:p w14:paraId="36A921D4">
            <w:pPr>
              <w:keepNext w:val="0"/>
              <w:keepLines w:val="0"/>
              <w:pageBreakBefore w:val="0"/>
              <w:kinsoku/>
              <w:wordWrap/>
              <w:overflowPunct/>
              <w:topLinePunct w:val="0"/>
              <w:bidi w:val="0"/>
              <w:spacing w:line="360" w:lineRule="auto"/>
              <w:ind w:firstLine="482"/>
              <w:textAlignment w:val="auto"/>
              <w:rPr>
                <w:rFonts w:hint="eastAsia" w:ascii="Times New Roman" w:hAnsi="Times New Roman" w:eastAsia="宋体"/>
                <w:bCs/>
                <w:color w:val="auto"/>
                <w:szCs w:val="21"/>
              </w:rPr>
            </w:pPr>
            <w:r>
              <w:rPr>
                <w:rFonts w:hint="eastAsia" w:ascii="Times New Roman" w:hAnsi="Times New Roman" w:eastAsia="宋体"/>
                <w:bCs/>
                <w:color w:val="auto"/>
                <w:szCs w:val="21"/>
              </w:rPr>
              <w:t>本项目目前主要生产车间、仓库地面均以硬化，本项目企业在做好各项防护措施的前提下，不存在土壤、地下水污染途径，因此不开展土壤、地下水环境现状调查。</w:t>
            </w:r>
          </w:p>
          <w:p w14:paraId="4D2DF784">
            <w:pPr>
              <w:spacing w:line="360" w:lineRule="auto"/>
              <w:ind w:firstLine="422" w:firstLineChars="200"/>
              <w:rPr>
                <w:b/>
                <w:color w:val="auto"/>
              </w:rPr>
            </w:pPr>
            <w:r>
              <w:rPr>
                <w:rFonts w:hint="eastAsia"/>
                <w:b/>
                <w:color w:val="auto"/>
              </w:rPr>
              <w:t>5、生态环境</w:t>
            </w:r>
          </w:p>
          <w:p w14:paraId="28054321">
            <w:pPr>
              <w:keepNext w:val="0"/>
              <w:keepLines w:val="0"/>
              <w:pageBreakBefore w:val="0"/>
              <w:kinsoku/>
              <w:wordWrap/>
              <w:overflowPunct/>
              <w:topLinePunct w:val="0"/>
              <w:bidi w:val="0"/>
              <w:spacing w:line="360" w:lineRule="auto"/>
              <w:ind w:firstLine="420" w:firstLineChars="200"/>
              <w:textAlignment w:val="auto"/>
              <w:rPr>
                <w:rFonts w:ascii="Times New Roman" w:hAnsi="Times New Roman" w:eastAsia="宋体"/>
                <w:b/>
                <w:bCs/>
                <w:color w:val="auto"/>
                <w:kern w:val="0"/>
                <w:szCs w:val="21"/>
              </w:rPr>
            </w:pPr>
            <w:r>
              <w:rPr>
                <w:rFonts w:hint="eastAsia"/>
                <w:color w:val="auto"/>
                <w:szCs w:val="21"/>
              </w:rPr>
              <w:t>建设项目用地范围内不涉及生态环境保护目标，故建设项目不进行生态现状调查。</w:t>
            </w:r>
          </w:p>
          <w:p w14:paraId="2297F2A8">
            <w:pPr>
              <w:pStyle w:val="24"/>
              <w:rPr>
                <w:rFonts w:ascii="Times New Roman" w:hAnsi="Times New Roman" w:eastAsia="宋体"/>
                <w:b/>
                <w:bCs/>
                <w:color w:val="auto"/>
                <w:kern w:val="0"/>
                <w:szCs w:val="21"/>
              </w:rPr>
            </w:pPr>
          </w:p>
          <w:p w14:paraId="6DE25A76">
            <w:pPr>
              <w:rPr>
                <w:rFonts w:ascii="Times New Roman" w:hAnsi="Times New Roman" w:eastAsia="宋体"/>
                <w:b/>
                <w:bCs/>
                <w:color w:val="auto"/>
                <w:kern w:val="0"/>
                <w:szCs w:val="21"/>
              </w:rPr>
            </w:pPr>
          </w:p>
          <w:p w14:paraId="434BBCBF">
            <w:pPr>
              <w:pStyle w:val="24"/>
              <w:rPr>
                <w:rFonts w:ascii="Times New Roman" w:hAnsi="Times New Roman" w:eastAsia="宋体"/>
                <w:b/>
                <w:bCs/>
                <w:color w:val="auto"/>
                <w:kern w:val="0"/>
                <w:szCs w:val="21"/>
              </w:rPr>
            </w:pPr>
          </w:p>
          <w:p w14:paraId="3B83E165">
            <w:pPr>
              <w:rPr>
                <w:rFonts w:ascii="Times New Roman" w:hAnsi="Times New Roman" w:eastAsia="宋体"/>
                <w:b/>
                <w:bCs/>
                <w:color w:val="auto"/>
                <w:kern w:val="0"/>
                <w:szCs w:val="21"/>
              </w:rPr>
            </w:pPr>
          </w:p>
          <w:p w14:paraId="1961FF8A">
            <w:pPr>
              <w:pStyle w:val="24"/>
              <w:rPr>
                <w:rFonts w:ascii="Times New Roman" w:hAnsi="Times New Roman" w:eastAsia="宋体"/>
                <w:b/>
                <w:bCs/>
                <w:color w:val="auto"/>
                <w:kern w:val="0"/>
                <w:szCs w:val="21"/>
              </w:rPr>
            </w:pPr>
          </w:p>
          <w:p w14:paraId="2975B05E">
            <w:pPr>
              <w:rPr>
                <w:rFonts w:ascii="Times New Roman" w:hAnsi="Times New Roman" w:eastAsia="宋体"/>
                <w:b/>
                <w:bCs/>
                <w:color w:val="auto"/>
                <w:kern w:val="0"/>
                <w:szCs w:val="21"/>
              </w:rPr>
            </w:pPr>
          </w:p>
          <w:p w14:paraId="53C581AD">
            <w:pPr>
              <w:rPr>
                <w:rFonts w:ascii="Times New Roman" w:hAnsi="Times New Roman" w:eastAsia="宋体"/>
                <w:b/>
                <w:bCs/>
                <w:color w:val="auto"/>
                <w:kern w:val="0"/>
                <w:szCs w:val="21"/>
              </w:rPr>
            </w:pPr>
          </w:p>
          <w:p w14:paraId="4EE50912">
            <w:pPr>
              <w:rPr>
                <w:rFonts w:ascii="Times New Roman" w:hAnsi="Times New Roman" w:eastAsia="宋体"/>
                <w:b/>
                <w:bCs/>
                <w:color w:val="auto"/>
                <w:kern w:val="0"/>
                <w:szCs w:val="21"/>
              </w:rPr>
            </w:pPr>
          </w:p>
          <w:p w14:paraId="688D0356">
            <w:pPr>
              <w:rPr>
                <w:rFonts w:ascii="Times New Roman" w:hAnsi="Times New Roman" w:eastAsia="宋体"/>
                <w:b/>
                <w:bCs/>
                <w:color w:val="auto"/>
                <w:kern w:val="0"/>
                <w:szCs w:val="21"/>
              </w:rPr>
            </w:pPr>
          </w:p>
          <w:p w14:paraId="3C05DA72">
            <w:pPr>
              <w:rPr>
                <w:rFonts w:ascii="Times New Roman" w:hAnsi="Times New Roman" w:eastAsia="宋体"/>
                <w:b/>
                <w:bCs/>
                <w:color w:val="auto"/>
                <w:kern w:val="0"/>
                <w:szCs w:val="21"/>
              </w:rPr>
            </w:pPr>
          </w:p>
          <w:p w14:paraId="39C342C1">
            <w:pPr>
              <w:rPr>
                <w:rFonts w:ascii="Times New Roman" w:hAnsi="Times New Roman" w:eastAsia="宋体"/>
                <w:b/>
                <w:bCs/>
                <w:color w:val="auto"/>
                <w:kern w:val="0"/>
                <w:szCs w:val="21"/>
              </w:rPr>
            </w:pPr>
          </w:p>
          <w:p w14:paraId="07F6D4CB">
            <w:pPr>
              <w:rPr>
                <w:rFonts w:ascii="Times New Roman" w:hAnsi="Times New Roman" w:eastAsia="宋体"/>
                <w:b/>
                <w:bCs/>
                <w:color w:val="auto"/>
                <w:kern w:val="0"/>
                <w:szCs w:val="21"/>
              </w:rPr>
            </w:pPr>
          </w:p>
          <w:p w14:paraId="2939DE3B">
            <w:pPr>
              <w:rPr>
                <w:rFonts w:ascii="Times New Roman" w:hAnsi="Times New Roman" w:eastAsia="宋体"/>
                <w:b/>
                <w:bCs/>
                <w:color w:val="auto"/>
                <w:kern w:val="0"/>
                <w:szCs w:val="21"/>
              </w:rPr>
            </w:pPr>
          </w:p>
          <w:p w14:paraId="5133A8EE">
            <w:pPr>
              <w:rPr>
                <w:rFonts w:ascii="Times New Roman" w:hAnsi="Times New Roman" w:eastAsia="宋体"/>
                <w:b/>
                <w:bCs/>
                <w:color w:val="auto"/>
                <w:kern w:val="0"/>
                <w:szCs w:val="21"/>
              </w:rPr>
            </w:pPr>
          </w:p>
          <w:p w14:paraId="62B42072">
            <w:pPr>
              <w:rPr>
                <w:rFonts w:ascii="Times New Roman" w:hAnsi="Times New Roman" w:eastAsia="宋体"/>
                <w:b/>
                <w:bCs/>
                <w:color w:val="auto"/>
                <w:kern w:val="0"/>
                <w:szCs w:val="21"/>
              </w:rPr>
            </w:pPr>
          </w:p>
          <w:p w14:paraId="18926C40">
            <w:pPr>
              <w:rPr>
                <w:rFonts w:ascii="Times New Roman" w:hAnsi="Times New Roman" w:eastAsia="宋体"/>
                <w:b/>
                <w:bCs/>
                <w:color w:val="auto"/>
                <w:kern w:val="0"/>
                <w:szCs w:val="21"/>
              </w:rPr>
            </w:pPr>
          </w:p>
          <w:p w14:paraId="27BEC206">
            <w:pPr>
              <w:rPr>
                <w:rFonts w:ascii="Times New Roman" w:hAnsi="Times New Roman" w:eastAsia="宋体"/>
                <w:b/>
                <w:bCs/>
                <w:color w:val="auto"/>
                <w:kern w:val="0"/>
                <w:szCs w:val="21"/>
              </w:rPr>
            </w:pPr>
          </w:p>
          <w:p w14:paraId="64D3537F">
            <w:pPr>
              <w:rPr>
                <w:rFonts w:ascii="Times New Roman" w:hAnsi="Times New Roman" w:eastAsia="宋体"/>
                <w:b/>
                <w:bCs/>
                <w:color w:val="auto"/>
                <w:kern w:val="0"/>
                <w:szCs w:val="21"/>
              </w:rPr>
            </w:pPr>
          </w:p>
          <w:p w14:paraId="13A9CF33">
            <w:pPr>
              <w:rPr>
                <w:rFonts w:ascii="Times New Roman" w:hAnsi="Times New Roman" w:eastAsia="宋体"/>
                <w:b/>
                <w:bCs/>
                <w:color w:val="auto"/>
                <w:kern w:val="0"/>
                <w:szCs w:val="21"/>
              </w:rPr>
            </w:pPr>
          </w:p>
          <w:p w14:paraId="68F3ED1C">
            <w:pPr>
              <w:rPr>
                <w:rFonts w:ascii="Times New Roman" w:hAnsi="Times New Roman" w:eastAsia="宋体"/>
                <w:b/>
                <w:bCs/>
                <w:color w:val="auto"/>
                <w:kern w:val="0"/>
                <w:szCs w:val="21"/>
              </w:rPr>
            </w:pPr>
          </w:p>
          <w:p w14:paraId="151F584F">
            <w:pPr>
              <w:rPr>
                <w:rFonts w:ascii="Times New Roman" w:hAnsi="Times New Roman" w:eastAsia="宋体"/>
                <w:b/>
                <w:bCs/>
                <w:color w:val="auto"/>
                <w:kern w:val="0"/>
                <w:szCs w:val="21"/>
              </w:rPr>
            </w:pPr>
          </w:p>
          <w:p w14:paraId="6B16F2D6">
            <w:pPr>
              <w:rPr>
                <w:rFonts w:ascii="Times New Roman" w:hAnsi="Times New Roman" w:eastAsia="宋体"/>
                <w:b/>
                <w:bCs/>
                <w:color w:val="auto"/>
                <w:kern w:val="0"/>
                <w:szCs w:val="21"/>
              </w:rPr>
            </w:pPr>
          </w:p>
          <w:p w14:paraId="1A3599F1">
            <w:pPr>
              <w:rPr>
                <w:rFonts w:ascii="Times New Roman" w:hAnsi="Times New Roman" w:eastAsia="宋体"/>
                <w:b/>
                <w:bCs/>
                <w:color w:val="auto"/>
                <w:kern w:val="0"/>
                <w:szCs w:val="21"/>
              </w:rPr>
            </w:pPr>
          </w:p>
          <w:p w14:paraId="62BCFE8A">
            <w:pPr>
              <w:rPr>
                <w:rFonts w:ascii="Times New Roman" w:hAnsi="Times New Roman" w:eastAsia="宋体"/>
                <w:b/>
                <w:bCs/>
                <w:color w:val="auto"/>
                <w:kern w:val="0"/>
                <w:szCs w:val="21"/>
              </w:rPr>
            </w:pPr>
          </w:p>
          <w:p w14:paraId="36A503BC">
            <w:pPr>
              <w:rPr>
                <w:rFonts w:ascii="Times New Roman" w:hAnsi="Times New Roman" w:eastAsia="宋体"/>
                <w:b/>
                <w:bCs/>
                <w:color w:val="auto"/>
                <w:kern w:val="0"/>
                <w:szCs w:val="21"/>
              </w:rPr>
            </w:pPr>
          </w:p>
          <w:p w14:paraId="7251FEB5">
            <w:pPr>
              <w:rPr>
                <w:rFonts w:ascii="Times New Roman" w:hAnsi="Times New Roman" w:eastAsia="宋体"/>
                <w:b/>
                <w:bCs/>
                <w:color w:val="auto"/>
                <w:kern w:val="0"/>
                <w:szCs w:val="21"/>
              </w:rPr>
            </w:pPr>
          </w:p>
          <w:p w14:paraId="6EFE0D46">
            <w:pPr>
              <w:rPr>
                <w:rFonts w:ascii="Times New Roman" w:hAnsi="Times New Roman" w:eastAsia="宋体"/>
                <w:b/>
                <w:bCs/>
                <w:color w:val="auto"/>
                <w:kern w:val="0"/>
                <w:szCs w:val="21"/>
              </w:rPr>
            </w:pPr>
          </w:p>
          <w:p w14:paraId="5D724970">
            <w:pPr>
              <w:rPr>
                <w:rFonts w:ascii="Times New Roman" w:hAnsi="Times New Roman" w:eastAsia="宋体"/>
                <w:b/>
                <w:bCs/>
                <w:color w:val="auto"/>
                <w:kern w:val="0"/>
                <w:szCs w:val="21"/>
              </w:rPr>
            </w:pPr>
          </w:p>
          <w:p w14:paraId="63C9CFBF">
            <w:pPr>
              <w:rPr>
                <w:rFonts w:ascii="Times New Roman" w:hAnsi="Times New Roman" w:eastAsia="宋体"/>
                <w:b/>
                <w:bCs/>
                <w:color w:val="auto"/>
                <w:kern w:val="0"/>
                <w:szCs w:val="21"/>
              </w:rPr>
            </w:pPr>
          </w:p>
          <w:p w14:paraId="0D6C5CBE">
            <w:pPr>
              <w:rPr>
                <w:rFonts w:ascii="Times New Roman" w:hAnsi="Times New Roman" w:eastAsia="宋体"/>
                <w:b/>
                <w:bCs/>
                <w:color w:val="auto"/>
                <w:kern w:val="0"/>
                <w:szCs w:val="21"/>
              </w:rPr>
            </w:pPr>
          </w:p>
          <w:p w14:paraId="45BABB01">
            <w:pPr>
              <w:rPr>
                <w:rFonts w:ascii="Times New Roman" w:hAnsi="Times New Roman" w:eastAsia="宋体"/>
                <w:b/>
                <w:bCs/>
                <w:color w:val="auto"/>
                <w:kern w:val="0"/>
                <w:szCs w:val="21"/>
              </w:rPr>
            </w:pPr>
          </w:p>
          <w:p w14:paraId="3894615F">
            <w:pPr>
              <w:rPr>
                <w:rFonts w:ascii="Times New Roman" w:hAnsi="Times New Roman" w:eastAsia="宋体"/>
                <w:b/>
                <w:bCs/>
                <w:color w:val="auto"/>
                <w:kern w:val="0"/>
                <w:szCs w:val="21"/>
              </w:rPr>
            </w:pPr>
          </w:p>
          <w:p w14:paraId="05E08B6D">
            <w:pPr>
              <w:rPr>
                <w:rFonts w:ascii="Times New Roman" w:hAnsi="Times New Roman" w:eastAsia="宋体"/>
                <w:b/>
                <w:bCs/>
                <w:color w:val="auto"/>
                <w:kern w:val="0"/>
                <w:szCs w:val="21"/>
              </w:rPr>
            </w:pPr>
          </w:p>
          <w:p w14:paraId="70C035CE">
            <w:pPr>
              <w:rPr>
                <w:rFonts w:ascii="Times New Roman" w:hAnsi="Times New Roman" w:eastAsia="宋体"/>
                <w:b/>
                <w:bCs/>
                <w:color w:val="auto"/>
                <w:kern w:val="0"/>
                <w:szCs w:val="21"/>
              </w:rPr>
            </w:pPr>
          </w:p>
          <w:p w14:paraId="6FE9E2F2">
            <w:pPr>
              <w:rPr>
                <w:rFonts w:ascii="Times New Roman" w:hAnsi="Times New Roman" w:eastAsia="宋体"/>
                <w:b/>
                <w:bCs/>
                <w:color w:val="auto"/>
                <w:kern w:val="0"/>
                <w:szCs w:val="21"/>
              </w:rPr>
            </w:pPr>
          </w:p>
          <w:p w14:paraId="1A51973A">
            <w:pPr>
              <w:rPr>
                <w:rFonts w:ascii="Times New Roman" w:hAnsi="Times New Roman" w:eastAsia="宋体"/>
                <w:b/>
                <w:bCs/>
                <w:color w:val="auto"/>
                <w:kern w:val="0"/>
                <w:szCs w:val="21"/>
              </w:rPr>
            </w:pPr>
          </w:p>
          <w:p w14:paraId="72FAC944">
            <w:pPr>
              <w:rPr>
                <w:rFonts w:ascii="Times New Roman" w:hAnsi="Times New Roman" w:eastAsia="宋体"/>
                <w:b/>
                <w:bCs/>
                <w:color w:val="auto"/>
                <w:kern w:val="0"/>
                <w:szCs w:val="21"/>
              </w:rPr>
            </w:pPr>
          </w:p>
          <w:p w14:paraId="4B472FAB">
            <w:pPr>
              <w:rPr>
                <w:rFonts w:ascii="Times New Roman" w:hAnsi="Times New Roman" w:eastAsia="宋体"/>
                <w:b/>
                <w:bCs/>
                <w:color w:val="auto"/>
                <w:kern w:val="0"/>
                <w:szCs w:val="21"/>
              </w:rPr>
            </w:pPr>
          </w:p>
          <w:p w14:paraId="414ED6AA">
            <w:pPr>
              <w:pStyle w:val="24"/>
              <w:ind w:left="0" w:leftChars="0" w:firstLine="0" w:firstLineChars="0"/>
              <w:rPr>
                <w:color w:val="auto"/>
              </w:rPr>
            </w:pPr>
          </w:p>
        </w:tc>
      </w:tr>
      <w:tr w14:paraId="24596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18" w:type="pct"/>
            <w:noWrap w:val="0"/>
            <w:vAlign w:val="center"/>
          </w:tcPr>
          <w:p w14:paraId="6FD6DFF2">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环境</w:t>
            </w:r>
          </w:p>
          <w:p w14:paraId="2D071528">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保护</w:t>
            </w:r>
          </w:p>
          <w:p w14:paraId="41B0FF3A">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目标</w:t>
            </w:r>
          </w:p>
        </w:tc>
        <w:tc>
          <w:tcPr>
            <w:tcW w:w="4581" w:type="pct"/>
            <w:noWrap w:val="0"/>
            <w:vAlign w:val="center"/>
          </w:tcPr>
          <w:p w14:paraId="6853E0FE">
            <w:pPr>
              <w:adjustRightInd w:val="0"/>
              <w:snapToGrid w:val="0"/>
              <w:spacing w:line="360" w:lineRule="auto"/>
              <w:ind w:firstLine="422" w:firstLineChars="200"/>
              <w:jc w:val="left"/>
              <w:rPr>
                <w:rFonts w:ascii="Times New Roman" w:hAnsi="Times New Roman" w:eastAsia="宋体"/>
                <w:b/>
                <w:bCs/>
                <w:color w:val="auto"/>
                <w:kern w:val="0"/>
                <w:szCs w:val="21"/>
              </w:rPr>
            </w:pPr>
            <w:r>
              <w:rPr>
                <w:rFonts w:hint="eastAsia" w:ascii="Times New Roman" w:hAnsi="Times New Roman" w:eastAsia="宋体"/>
                <w:b/>
                <w:bCs/>
                <w:color w:val="auto"/>
                <w:kern w:val="0"/>
                <w:szCs w:val="21"/>
              </w:rPr>
              <w:t>1、</w:t>
            </w:r>
            <w:r>
              <w:rPr>
                <w:rFonts w:ascii="Times New Roman" w:hAnsi="Times New Roman" w:eastAsia="宋体"/>
                <w:b/>
                <w:bCs/>
                <w:color w:val="auto"/>
                <w:kern w:val="0"/>
                <w:szCs w:val="21"/>
              </w:rPr>
              <w:t>大气环境</w:t>
            </w:r>
          </w:p>
          <w:p w14:paraId="1ADA1D0D">
            <w:pPr>
              <w:spacing w:line="360" w:lineRule="auto"/>
              <w:ind w:firstLine="420" w:firstLineChars="200"/>
              <w:rPr>
                <w:rFonts w:ascii="Times New Roman" w:hAnsi="Times New Roman" w:eastAsia="宋体"/>
                <w:color w:val="auto"/>
                <w:szCs w:val="21"/>
              </w:rPr>
            </w:pPr>
            <w:r>
              <w:rPr>
                <w:rFonts w:ascii="Times New Roman" w:hAnsi="Times New Roman" w:eastAsia="宋体"/>
                <w:color w:val="auto"/>
              </w:rPr>
              <w:t>根据现场勘查，项目环境保护目标</w:t>
            </w:r>
            <w:r>
              <w:rPr>
                <w:rFonts w:hint="eastAsia" w:ascii="Times New Roman" w:hAnsi="Times New Roman" w:eastAsia="宋体"/>
                <w:color w:val="auto"/>
                <w:szCs w:val="21"/>
              </w:rPr>
              <w:t>见表3-</w:t>
            </w:r>
            <w:r>
              <w:rPr>
                <w:rFonts w:hint="eastAsia"/>
                <w:color w:val="auto"/>
                <w:szCs w:val="21"/>
                <w:lang w:val="en-US" w:eastAsia="zh-CN"/>
              </w:rPr>
              <w:t>6</w:t>
            </w:r>
            <w:r>
              <w:rPr>
                <w:rFonts w:hint="eastAsia" w:ascii="Times New Roman" w:hAnsi="Times New Roman" w:eastAsia="宋体"/>
                <w:color w:val="auto"/>
                <w:szCs w:val="21"/>
              </w:rPr>
              <w:t>。</w:t>
            </w:r>
          </w:p>
          <w:p w14:paraId="68F52817">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表3-</w:t>
            </w:r>
            <w:r>
              <w:rPr>
                <w:rFonts w:hint="eastAsia"/>
                <w:b/>
                <w:color w:val="auto"/>
                <w:szCs w:val="21"/>
                <w:lang w:val="en-US" w:eastAsia="zh-CN"/>
              </w:rPr>
              <w:t>6</w:t>
            </w:r>
            <w:r>
              <w:rPr>
                <w:rFonts w:ascii="Times New Roman" w:hAnsi="Times New Roman" w:eastAsia="宋体"/>
                <w:b/>
                <w:color w:val="auto"/>
                <w:szCs w:val="21"/>
              </w:rPr>
              <w:t xml:space="preserve"> 本项目大气环境保护目标</w:t>
            </w:r>
          </w:p>
          <w:tbl>
            <w:tblPr>
              <w:tblStyle w:val="25"/>
              <w:tblW w:w="83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75"/>
              <w:gridCol w:w="1168"/>
              <w:gridCol w:w="911"/>
              <w:gridCol w:w="1207"/>
              <w:gridCol w:w="1165"/>
              <w:gridCol w:w="798"/>
              <w:gridCol w:w="1137"/>
            </w:tblGrid>
            <w:tr w14:paraId="69CC1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26" w:type="pct"/>
                  <w:vMerge w:val="restart"/>
                  <w:noWrap w:val="0"/>
                  <w:vAlign w:val="center"/>
                </w:tcPr>
                <w:p w14:paraId="22F3377E">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color w:val="auto"/>
                      <w:szCs w:val="21"/>
                    </w:rPr>
                  </w:pPr>
                  <w:r>
                    <w:rPr>
                      <w:rFonts w:ascii="Times New Roman" w:hAnsi="Times New Roman" w:eastAsia="宋体"/>
                      <w:b/>
                      <w:color w:val="auto"/>
                      <w:szCs w:val="21"/>
                    </w:rPr>
                    <w:t>名称</w:t>
                  </w:r>
                </w:p>
              </w:tc>
              <w:tc>
                <w:tcPr>
                  <w:tcW w:w="1458" w:type="pct"/>
                  <w:gridSpan w:val="2"/>
                  <w:noWrap w:val="0"/>
                  <w:vAlign w:val="center"/>
                </w:tcPr>
                <w:p w14:paraId="6ACAD37F">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color w:val="auto"/>
                      <w:szCs w:val="21"/>
                    </w:rPr>
                  </w:pPr>
                  <w:r>
                    <w:rPr>
                      <w:rFonts w:ascii="Times New Roman" w:hAnsi="Times New Roman" w:eastAsia="宋体"/>
                      <w:b/>
                      <w:color w:val="auto"/>
                      <w:szCs w:val="21"/>
                    </w:rPr>
                    <w:t>名称</w:t>
                  </w:r>
                </w:p>
              </w:tc>
              <w:tc>
                <w:tcPr>
                  <w:tcW w:w="543" w:type="pct"/>
                  <w:vMerge w:val="restart"/>
                  <w:noWrap w:val="0"/>
                  <w:vAlign w:val="center"/>
                </w:tcPr>
                <w:p w14:paraId="4061B401">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color w:val="auto"/>
                      <w:szCs w:val="21"/>
                    </w:rPr>
                  </w:pPr>
                  <w:r>
                    <w:rPr>
                      <w:rFonts w:ascii="Times New Roman" w:hAnsi="Times New Roman" w:eastAsia="宋体"/>
                      <w:b/>
                      <w:color w:val="auto"/>
                      <w:szCs w:val="21"/>
                    </w:rPr>
                    <w:t>保护对象</w:t>
                  </w:r>
                </w:p>
              </w:tc>
              <w:tc>
                <w:tcPr>
                  <w:tcW w:w="720" w:type="pct"/>
                  <w:vMerge w:val="restart"/>
                  <w:noWrap w:val="0"/>
                  <w:vAlign w:val="center"/>
                </w:tcPr>
                <w:p w14:paraId="6F4CB493">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color w:val="auto"/>
                      <w:szCs w:val="21"/>
                    </w:rPr>
                  </w:pPr>
                  <w:r>
                    <w:rPr>
                      <w:rFonts w:ascii="Times New Roman" w:hAnsi="Times New Roman" w:eastAsia="宋体"/>
                      <w:b/>
                      <w:color w:val="auto"/>
                      <w:szCs w:val="21"/>
                    </w:rPr>
                    <w:t>保护内容</w:t>
                  </w:r>
                </w:p>
              </w:tc>
              <w:tc>
                <w:tcPr>
                  <w:tcW w:w="695" w:type="pct"/>
                  <w:vMerge w:val="restart"/>
                  <w:noWrap w:val="0"/>
                  <w:vAlign w:val="center"/>
                </w:tcPr>
                <w:p w14:paraId="402D4F42">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color w:val="auto"/>
                      <w:szCs w:val="21"/>
                    </w:rPr>
                  </w:pPr>
                  <w:r>
                    <w:rPr>
                      <w:rFonts w:ascii="Times New Roman" w:hAnsi="Times New Roman" w:eastAsia="宋体"/>
                      <w:b/>
                      <w:color w:val="auto"/>
                      <w:szCs w:val="21"/>
                    </w:rPr>
                    <w:t>环境功能区</w:t>
                  </w:r>
                </w:p>
              </w:tc>
              <w:tc>
                <w:tcPr>
                  <w:tcW w:w="476" w:type="pct"/>
                  <w:vMerge w:val="restart"/>
                  <w:noWrap w:val="0"/>
                  <w:vAlign w:val="center"/>
                </w:tcPr>
                <w:p w14:paraId="0192FEEF">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color w:val="auto"/>
                      <w:szCs w:val="21"/>
                    </w:rPr>
                  </w:pPr>
                  <w:r>
                    <w:rPr>
                      <w:rFonts w:ascii="Times New Roman" w:hAnsi="Times New Roman" w:eastAsia="宋体"/>
                      <w:b/>
                      <w:color w:val="auto"/>
                      <w:szCs w:val="21"/>
                    </w:rPr>
                    <w:t>相对厂址方向</w:t>
                  </w:r>
                </w:p>
              </w:tc>
              <w:tc>
                <w:tcPr>
                  <w:tcW w:w="678" w:type="pct"/>
                  <w:vMerge w:val="restart"/>
                  <w:noWrap w:val="0"/>
                  <w:vAlign w:val="center"/>
                </w:tcPr>
                <w:p w14:paraId="65E07B64">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ascii="Times New Roman" w:hAnsi="Times New Roman" w:eastAsia="宋体"/>
                      <w:b/>
                      <w:bCs/>
                      <w:color w:val="auto"/>
                      <w:szCs w:val="21"/>
                    </w:rPr>
                  </w:pPr>
                  <w:r>
                    <w:rPr>
                      <w:rFonts w:ascii="Times New Roman" w:hAnsi="Times New Roman" w:eastAsia="宋体"/>
                      <w:b/>
                      <w:bCs/>
                      <w:color w:val="auto"/>
                      <w:szCs w:val="21"/>
                    </w:rPr>
                    <w:t>相对厂界距离</w:t>
                  </w:r>
                  <w:r>
                    <w:rPr>
                      <w:rFonts w:hint="eastAsia" w:ascii="Times New Roman" w:hAnsi="Times New Roman" w:eastAsia="宋体"/>
                      <w:b/>
                      <w:bCs/>
                      <w:color w:val="auto"/>
                      <w:szCs w:val="21"/>
                    </w:rPr>
                    <w:t>（m）</w:t>
                  </w:r>
                </w:p>
              </w:tc>
            </w:tr>
            <w:tr w14:paraId="69E36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 w:type="pct"/>
                  <w:vMerge w:val="continue"/>
                  <w:noWrap w:val="0"/>
                  <w:vAlign w:val="center"/>
                </w:tcPr>
                <w:p w14:paraId="18F6F839">
                  <w:pPr>
                    <w:keepNext w:val="0"/>
                    <w:keepLines w:val="0"/>
                    <w:pageBreakBefore w:val="0"/>
                    <w:widowControl/>
                    <w:kinsoku/>
                    <w:wordWrap/>
                    <w:overflowPunct/>
                    <w:topLinePunct w:val="0"/>
                    <w:autoSpaceDE/>
                    <w:autoSpaceDN/>
                    <w:bidi w:val="0"/>
                    <w:jc w:val="center"/>
                    <w:textAlignment w:val="auto"/>
                    <w:rPr>
                      <w:rFonts w:ascii="Times New Roman" w:hAnsi="Times New Roman" w:eastAsia="宋体"/>
                      <w:b/>
                      <w:color w:val="auto"/>
                      <w:szCs w:val="21"/>
                    </w:rPr>
                  </w:pPr>
                </w:p>
              </w:tc>
              <w:tc>
                <w:tcPr>
                  <w:tcW w:w="761" w:type="pct"/>
                  <w:noWrap w:val="0"/>
                  <w:vAlign w:val="center"/>
                </w:tcPr>
                <w:p w14:paraId="106F823E">
                  <w:pPr>
                    <w:jc w:val="center"/>
                    <w:rPr>
                      <w:rFonts w:ascii="Times New Roman" w:hAnsi="Times New Roman" w:eastAsia="宋体"/>
                      <w:b/>
                      <w:color w:val="auto"/>
                      <w:szCs w:val="21"/>
                    </w:rPr>
                  </w:pPr>
                  <w:r>
                    <w:rPr>
                      <w:rFonts w:ascii="Times New Roman" w:hAnsi="Times New Roman" w:eastAsia="宋体" w:cs="Times New Roman"/>
                      <w:b/>
                      <w:bCs/>
                      <w:color w:val="auto"/>
                      <w:szCs w:val="21"/>
                    </w:rPr>
                    <w:t>经度</w:t>
                  </w:r>
                </w:p>
              </w:tc>
              <w:tc>
                <w:tcPr>
                  <w:tcW w:w="697" w:type="pct"/>
                  <w:noWrap w:val="0"/>
                  <w:vAlign w:val="center"/>
                </w:tcPr>
                <w:p w14:paraId="497E934F">
                  <w:pPr>
                    <w:jc w:val="center"/>
                    <w:rPr>
                      <w:rFonts w:ascii="Times New Roman" w:hAnsi="Times New Roman" w:eastAsia="宋体"/>
                      <w:b/>
                      <w:color w:val="auto"/>
                      <w:szCs w:val="21"/>
                    </w:rPr>
                  </w:pPr>
                  <w:r>
                    <w:rPr>
                      <w:rFonts w:ascii="Times New Roman" w:hAnsi="Times New Roman" w:eastAsia="宋体" w:cs="Times New Roman"/>
                      <w:b/>
                      <w:bCs/>
                      <w:color w:val="auto"/>
                      <w:szCs w:val="21"/>
                    </w:rPr>
                    <w:t>纬度</w:t>
                  </w:r>
                </w:p>
              </w:tc>
              <w:tc>
                <w:tcPr>
                  <w:tcW w:w="543" w:type="pct"/>
                  <w:vMerge w:val="continue"/>
                  <w:noWrap w:val="0"/>
                  <w:vAlign w:val="center"/>
                </w:tcPr>
                <w:p w14:paraId="41AB92F1">
                  <w:pPr>
                    <w:keepNext w:val="0"/>
                    <w:keepLines w:val="0"/>
                    <w:pageBreakBefore w:val="0"/>
                    <w:widowControl/>
                    <w:kinsoku/>
                    <w:wordWrap/>
                    <w:overflowPunct/>
                    <w:topLinePunct w:val="0"/>
                    <w:autoSpaceDE/>
                    <w:autoSpaceDN/>
                    <w:bidi w:val="0"/>
                    <w:jc w:val="center"/>
                    <w:textAlignment w:val="auto"/>
                    <w:rPr>
                      <w:rFonts w:ascii="Times New Roman" w:hAnsi="Times New Roman" w:eastAsia="宋体"/>
                      <w:b/>
                      <w:color w:val="auto"/>
                      <w:szCs w:val="21"/>
                    </w:rPr>
                  </w:pPr>
                </w:p>
              </w:tc>
              <w:tc>
                <w:tcPr>
                  <w:tcW w:w="720" w:type="pct"/>
                  <w:vMerge w:val="continue"/>
                  <w:noWrap w:val="0"/>
                  <w:vAlign w:val="center"/>
                </w:tcPr>
                <w:p w14:paraId="31AC188E">
                  <w:pPr>
                    <w:keepNext w:val="0"/>
                    <w:keepLines w:val="0"/>
                    <w:pageBreakBefore w:val="0"/>
                    <w:widowControl/>
                    <w:kinsoku/>
                    <w:wordWrap/>
                    <w:overflowPunct/>
                    <w:topLinePunct w:val="0"/>
                    <w:autoSpaceDE/>
                    <w:autoSpaceDN/>
                    <w:bidi w:val="0"/>
                    <w:jc w:val="center"/>
                    <w:textAlignment w:val="auto"/>
                    <w:rPr>
                      <w:rFonts w:ascii="Times New Roman" w:hAnsi="Times New Roman" w:eastAsia="宋体"/>
                      <w:b/>
                      <w:color w:val="auto"/>
                      <w:szCs w:val="21"/>
                    </w:rPr>
                  </w:pPr>
                </w:p>
              </w:tc>
              <w:tc>
                <w:tcPr>
                  <w:tcW w:w="695" w:type="pct"/>
                  <w:vMerge w:val="continue"/>
                  <w:noWrap w:val="0"/>
                  <w:vAlign w:val="center"/>
                </w:tcPr>
                <w:p w14:paraId="2ED6BBDB">
                  <w:pPr>
                    <w:keepNext w:val="0"/>
                    <w:keepLines w:val="0"/>
                    <w:pageBreakBefore w:val="0"/>
                    <w:widowControl/>
                    <w:kinsoku/>
                    <w:wordWrap/>
                    <w:overflowPunct/>
                    <w:topLinePunct w:val="0"/>
                    <w:autoSpaceDE/>
                    <w:autoSpaceDN/>
                    <w:bidi w:val="0"/>
                    <w:jc w:val="center"/>
                    <w:textAlignment w:val="auto"/>
                    <w:rPr>
                      <w:rFonts w:ascii="Times New Roman" w:hAnsi="Times New Roman" w:eastAsia="宋体"/>
                      <w:b/>
                      <w:color w:val="auto"/>
                      <w:szCs w:val="21"/>
                    </w:rPr>
                  </w:pPr>
                </w:p>
              </w:tc>
              <w:tc>
                <w:tcPr>
                  <w:tcW w:w="476" w:type="pct"/>
                  <w:vMerge w:val="continue"/>
                  <w:noWrap w:val="0"/>
                  <w:vAlign w:val="center"/>
                </w:tcPr>
                <w:p w14:paraId="57A2186C">
                  <w:pPr>
                    <w:keepNext w:val="0"/>
                    <w:keepLines w:val="0"/>
                    <w:pageBreakBefore w:val="0"/>
                    <w:widowControl/>
                    <w:kinsoku/>
                    <w:wordWrap/>
                    <w:overflowPunct/>
                    <w:topLinePunct w:val="0"/>
                    <w:autoSpaceDE/>
                    <w:autoSpaceDN/>
                    <w:bidi w:val="0"/>
                    <w:jc w:val="center"/>
                    <w:textAlignment w:val="auto"/>
                    <w:rPr>
                      <w:rFonts w:ascii="Times New Roman" w:hAnsi="Times New Roman" w:eastAsia="宋体"/>
                      <w:b/>
                      <w:color w:val="auto"/>
                      <w:szCs w:val="21"/>
                    </w:rPr>
                  </w:pPr>
                </w:p>
              </w:tc>
              <w:tc>
                <w:tcPr>
                  <w:tcW w:w="678" w:type="pct"/>
                  <w:vMerge w:val="continue"/>
                  <w:noWrap w:val="0"/>
                  <w:vAlign w:val="center"/>
                </w:tcPr>
                <w:p w14:paraId="5ABDD71A">
                  <w:pPr>
                    <w:keepNext w:val="0"/>
                    <w:keepLines w:val="0"/>
                    <w:pageBreakBefore w:val="0"/>
                    <w:widowControl/>
                    <w:kinsoku/>
                    <w:wordWrap/>
                    <w:overflowPunct/>
                    <w:topLinePunct w:val="0"/>
                    <w:autoSpaceDE/>
                    <w:autoSpaceDN/>
                    <w:bidi w:val="0"/>
                    <w:jc w:val="center"/>
                    <w:textAlignment w:val="auto"/>
                    <w:rPr>
                      <w:rFonts w:ascii="Times New Roman" w:hAnsi="Times New Roman" w:eastAsia="宋体"/>
                      <w:b/>
                      <w:bCs/>
                      <w:color w:val="auto"/>
                      <w:szCs w:val="21"/>
                    </w:rPr>
                  </w:pPr>
                </w:p>
              </w:tc>
            </w:tr>
            <w:tr w14:paraId="77C6A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26" w:type="pct"/>
                  <w:vMerge w:val="restart"/>
                  <w:noWrap w:val="0"/>
                  <w:vAlign w:val="center"/>
                </w:tcPr>
                <w:p w14:paraId="1D4728E4">
                  <w:pPr>
                    <w:keepNext w:val="0"/>
                    <w:keepLines w:val="0"/>
                    <w:pageBreakBefore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陆姚社区</w:t>
                  </w:r>
                </w:p>
              </w:tc>
              <w:tc>
                <w:tcPr>
                  <w:tcW w:w="761" w:type="pct"/>
                  <w:noWrap w:val="0"/>
                  <w:vAlign w:val="center"/>
                </w:tcPr>
                <w:p w14:paraId="09A2C914">
                  <w:pPr>
                    <w:jc w:val="center"/>
                    <w:rPr>
                      <w:rFonts w:ascii="Times New Roman" w:hAnsi="Times New Roman" w:eastAsia="宋体"/>
                      <w:color w:val="auto"/>
                      <w:szCs w:val="21"/>
                    </w:rPr>
                  </w:pPr>
                  <w:r>
                    <w:rPr>
                      <w:rFonts w:hint="eastAsia" w:ascii="Times New Roman" w:hAnsi="Times New Roman" w:eastAsia="宋体" w:cs="Times New Roman"/>
                      <w:color w:val="auto"/>
                      <w:szCs w:val="21"/>
                    </w:rPr>
                    <w:t>120.499763</w:t>
                  </w:r>
                </w:p>
              </w:tc>
              <w:tc>
                <w:tcPr>
                  <w:tcW w:w="697" w:type="pct"/>
                  <w:noWrap w:val="0"/>
                  <w:vAlign w:val="center"/>
                </w:tcPr>
                <w:p w14:paraId="6DC47516">
                  <w:pPr>
                    <w:jc w:val="center"/>
                    <w:rPr>
                      <w:rFonts w:ascii="Times New Roman" w:hAnsi="Times New Roman" w:eastAsia="宋体"/>
                      <w:color w:val="auto"/>
                      <w:szCs w:val="21"/>
                    </w:rPr>
                  </w:pPr>
                  <w:r>
                    <w:rPr>
                      <w:rFonts w:hint="eastAsia" w:ascii="Times New Roman" w:hAnsi="Times New Roman" w:eastAsia="宋体" w:cs="Times New Roman"/>
                      <w:color w:val="auto"/>
                      <w:szCs w:val="21"/>
                    </w:rPr>
                    <w:t>32.346127</w:t>
                  </w:r>
                </w:p>
              </w:tc>
              <w:tc>
                <w:tcPr>
                  <w:tcW w:w="543" w:type="pct"/>
                  <w:vMerge w:val="restart"/>
                  <w:noWrap w:val="0"/>
                  <w:vAlign w:val="center"/>
                </w:tcPr>
                <w:p w14:paraId="03AA86E5">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r>
                    <w:rPr>
                      <w:rFonts w:ascii="Times New Roman" w:hAnsi="Times New Roman" w:eastAsia="宋体"/>
                      <w:color w:val="auto"/>
                      <w:szCs w:val="21"/>
                    </w:rPr>
                    <w:t>居民</w:t>
                  </w:r>
                </w:p>
              </w:tc>
              <w:tc>
                <w:tcPr>
                  <w:tcW w:w="720" w:type="pct"/>
                  <w:noWrap w:val="0"/>
                  <w:vAlign w:val="center"/>
                </w:tcPr>
                <w:p w14:paraId="3BD48A7D">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7户</w:t>
                  </w:r>
                </w:p>
              </w:tc>
              <w:tc>
                <w:tcPr>
                  <w:tcW w:w="695" w:type="pct"/>
                  <w:vMerge w:val="restart"/>
                  <w:noWrap w:val="0"/>
                  <w:vAlign w:val="center"/>
                </w:tcPr>
                <w:p w14:paraId="3371411C">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r>
                    <w:rPr>
                      <w:color w:val="auto"/>
                      <w:kern w:val="0"/>
                      <w:szCs w:val="21"/>
                      <w:shd w:val="clear" w:color="auto" w:fill="auto"/>
                    </w:rPr>
                    <w:t>《环境空气质量标 准》 （GB3095-2012）二类区</w:t>
                  </w:r>
                </w:p>
              </w:tc>
              <w:tc>
                <w:tcPr>
                  <w:tcW w:w="476" w:type="pct"/>
                  <w:noWrap w:val="0"/>
                  <w:vAlign w:val="center"/>
                </w:tcPr>
                <w:p w14:paraId="6318157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Cs w:val="21"/>
                      <w:lang w:eastAsia="zh-CN"/>
                    </w:rPr>
                  </w:pPr>
                  <w:r>
                    <w:rPr>
                      <w:rFonts w:hint="eastAsia"/>
                      <w:color w:val="auto"/>
                      <w:szCs w:val="21"/>
                      <w:lang w:val="en-US" w:eastAsia="zh-CN"/>
                    </w:rPr>
                    <w:t>北侧</w:t>
                  </w:r>
                </w:p>
              </w:tc>
              <w:tc>
                <w:tcPr>
                  <w:tcW w:w="678" w:type="pct"/>
                  <w:noWrap w:val="0"/>
                  <w:vAlign w:val="center"/>
                </w:tcPr>
                <w:p w14:paraId="521E256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110</w:t>
                  </w:r>
                </w:p>
              </w:tc>
            </w:tr>
            <w:tr w14:paraId="4EE78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26" w:type="pct"/>
                  <w:vMerge w:val="continue"/>
                  <w:noWrap w:val="0"/>
                  <w:vAlign w:val="center"/>
                </w:tcPr>
                <w:p w14:paraId="6553A4D6">
                  <w:pPr>
                    <w:keepNext w:val="0"/>
                    <w:keepLines w:val="0"/>
                    <w:pageBreakBefore w:val="0"/>
                    <w:kinsoku/>
                    <w:wordWrap/>
                    <w:overflowPunct/>
                    <w:topLinePunct w:val="0"/>
                    <w:autoSpaceDE/>
                    <w:autoSpaceDN/>
                    <w:bidi w:val="0"/>
                    <w:adjustRightInd w:val="0"/>
                    <w:snapToGrid w:val="0"/>
                    <w:jc w:val="center"/>
                    <w:textAlignment w:val="auto"/>
                    <w:rPr>
                      <w:rFonts w:hint="default"/>
                      <w:color w:val="auto"/>
                      <w:lang w:val="en-US" w:eastAsia="zh-CN"/>
                    </w:rPr>
                  </w:pPr>
                </w:p>
              </w:tc>
              <w:tc>
                <w:tcPr>
                  <w:tcW w:w="761" w:type="pct"/>
                  <w:noWrap w:val="0"/>
                  <w:vAlign w:val="center"/>
                </w:tcPr>
                <w:p w14:paraId="3EACBBDB">
                  <w:pPr>
                    <w:jc w:val="center"/>
                    <w:rPr>
                      <w:rFonts w:ascii="Times New Roman" w:hAnsi="Times New Roman" w:eastAsia="宋体"/>
                      <w:color w:val="auto"/>
                      <w:szCs w:val="21"/>
                    </w:rPr>
                  </w:pPr>
                  <w:r>
                    <w:rPr>
                      <w:rFonts w:hint="eastAsia" w:ascii="Times New Roman" w:hAnsi="Times New Roman" w:eastAsia="宋体" w:cs="Times New Roman"/>
                      <w:color w:val="auto"/>
                      <w:szCs w:val="21"/>
                    </w:rPr>
                    <w:t>120.502295</w:t>
                  </w:r>
                </w:p>
              </w:tc>
              <w:tc>
                <w:tcPr>
                  <w:tcW w:w="697" w:type="pct"/>
                  <w:noWrap w:val="0"/>
                  <w:vAlign w:val="center"/>
                </w:tcPr>
                <w:p w14:paraId="27D243EC">
                  <w:pPr>
                    <w:jc w:val="center"/>
                    <w:rPr>
                      <w:rFonts w:ascii="Times New Roman" w:hAnsi="Times New Roman" w:eastAsia="宋体"/>
                      <w:color w:val="auto"/>
                      <w:szCs w:val="21"/>
                    </w:rPr>
                  </w:pPr>
                  <w:r>
                    <w:rPr>
                      <w:rFonts w:hint="eastAsia" w:ascii="Times New Roman" w:hAnsi="Times New Roman" w:eastAsia="宋体" w:cs="Times New Roman"/>
                      <w:color w:val="auto"/>
                      <w:szCs w:val="21"/>
                    </w:rPr>
                    <w:t>32.346993</w:t>
                  </w:r>
                </w:p>
              </w:tc>
              <w:tc>
                <w:tcPr>
                  <w:tcW w:w="543" w:type="pct"/>
                  <w:vMerge w:val="continue"/>
                  <w:noWrap w:val="0"/>
                  <w:vAlign w:val="center"/>
                </w:tcPr>
                <w:p w14:paraId="10CC443E">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5A20B4D4">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35户</w:t>
                  </w:r>
                </w:p>
              </w:tc>
              <w:tc>
                <w:tcPr>
                  <w:tcW w:w="695" w:type="pct"/>
                  <w:vMerge w:val="continue"/>
                  <w:noWrap w:val="0"/>
                  <w:vAlign w:val="center"/>
                </w:tcPr>
                <w:p w14:paraId="030001BA">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01EAA5F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东北</w:t>
                  </w:r>
                </w:p>
              </w:tc>
              <w:tc>
                <w:tcPr>
                  <w:tcW w:w="678" w:type="pct"/>
                  <w:noWrap w:val="0"/>
                  <w:vAlign w:val="center"/>
                </w:tcPr>
                <w:p w14:paraId="212F3CD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143~500</w:t>
                  </w:r>
                </w:p>
              </w:tc>
            </w:tr>
            <w:tr w14:paraId="4E632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pct"/>
                  <w:vMerge w:val="continue"/>
                  <w:noWrap w:val="0"/>
                  <w:vAlign w:val="center"/>
                </w:tcPr>
                <w:p w14:paraId="46202D0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Cs w:val="21"/>
                    </w:rPr>
                  </w:pPr>
                </w:p>
              </w:tc>
              <w:tc>
                <w:tcPr>
                  <w:tcW w:w="761" w:type="pct"/>
                  <w:noWrap w:val="0"/>
                  <w:vAlign w:val="center"/>
                </w:tcPr>
                <w:p w14:paraId="547C9E88">
                  <w:pPr>
                    <w:jc w:val="center"/>
                    <w:rPr>
                      <w:rFonts w:ascii="Times New Roman" w:hAnsi="Times New Roman" w:eastAsia="宋体"/>
                      <w:color w:val="auto"/>
                      <w:szCs w:val="21"/>
                    </w:rPr>
                  </w:pP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20.496974</w:t>
                  </w:r>
                </w:p>
              </w:tc>
              <w:tc>
                <w:tcPr>
                  <w:tcW w:w="697" w:type="pct"/>
                  <w:noWrap w:val="0"/>
                  <w:vAlign w:val="center"/>
                </w:tcPr>
                <w:p w14:paraId="173013F7">
                  <w:pPr>
                    <w:jc w:val="center"/>
                    <w:rPr>
                      <w:rFonts w:ascii="Times New Roman" w:hAnsi="Times New Roman" w:eastAsia="宋体"/>
                      <w:color w:val="auto"/>
                      <w:szCs w:val="21"/>
                    </w:rPr>
                  </w:pPr>
                  <w:r>
                    <w:rPr>
                      <w:rFonts w:hint="eastAsia" w:ascii="Times New Roman" w:hAnsi="Times New Roman" w:eastAsia="宋体" w:cs="Times New Roman"/>
                      <w:color w:val="auto"/>
                      <w:szCs w:val="21"/>
                    </w:rPr>
                    <w:t>32.345271</w:t>
                  </w:r>
                </w:p>
              </w:tc>
              <w:tc>
                <w:tcPr>
                  <w:tcW w:w="543" w:type="pct"/>
                  <w:vMerge w:val="continue"/>
                  <w:noWrap w:val="0"/>
                  <w:vAlign w:val="center"/>
                </w:tcPr>
                <w:p w14:paraId="0B18F6E1">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2D38F5E2">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20户</w:t>
                  </w:r>
                </w:p>
              </w:tc>
              <w:tc>
                <w:tcPr>
                  <w:tcW w:w="695" w:type="pct"/>
                  <w:vMerge w:val="continue"/>
                  <w:noWrap w:val="0"/>
                  <w:vAlign w:val="center"/>
                </w:tcPr>
                <w:p w14:paraId="299F2102">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4C9807E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西北</w:t>
                  </w:r>
                </w:p>
              </w:tc>
              <w:tc>
                <w:tcPr>
                  <w:tcW w:w="678" w:type="pct"/>
                  <w:noWrap w:val="0"/>
                  <w:vAlign w:val="center"/>
                </w:tcPr>
                <w:p w14:paraId="7BA7535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119~500</w:t>
                  </w:r>
                </w:p>
              </w:tc>
            </w:tr>
            <w:tr w14:paraId="48470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pct"/>
                  <w:vMerge w:val="continue"/>
                  <w:noWrap w:val="0"/>
                  <w:vAlign w:val="center"/>
                </w:tcPr>
                <w:p w14:paraId="745571FE">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Cs w:val="21"/>
                    </w:rPr>
                  </w:pPr>
                </w:p>
              </w:tc>
              <w:tc>
                <w:tcPr>
                  <w:tcW w:w="761" w:type="pct"/>
                  <w:noWrap w:val="0"/>
                  <w:vAlign w:val="center"/>
                </w:tcPr>
                <w:p w14:paraId="6D103F5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120.494978</w:t>
                  </w:r>
                </w:p>
              </w:tc>
              <w:tc>
                <w:tcPr>
                  <w:tcW w:w="697" w:type="pct"/>
                  <w:noWrap w:val="0"/>
                  <w:vAlign w:val="center"/>
                </w:tcPr>
                <w:p w14:paraId="06FE795C">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32.345035</w:t>
                  </w:r>
                </w:p>
              </w:tc>
              <w:tc>
                <w:tcPr>
                  <w:tcW w:w="543" w:type="pct"/>
                  <w:vMerge w:val="continue"/>
                  <w:noWrap w:val="0"/>
                  <w:vAlign w:val="center"/>
                </w:tcPr>
                <w:p w14:paraId="5863C615">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7AA310A6">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19户</w:t>
                  </w:r>
                </w:p>
              </w:tc>
              <w:tc>
                <w:tcPr>
                  <w:tcW w:w="695" w:type="pct"/>
                  <w:vMerge w:val="continue"/>
                  <w:noWrap w:val="0"/>
                  <w:vAlign w:val="center"/>
                </w:tcPr>
                <w:p w14:paraId="0AE3880D">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439F366F">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西侧</w:t>
                  </w:r>
                </w:p>
              </w:tc>
              <w:tc>
                <w:tcPr>
                  <w:tcW w:w="678" w:type="pct"/>
                  <w:noWrap w:val="0"/>
                  <w:vAlign w:val="center"/>
                </w:tcPr>
                <w:p w14:paraId="2D44E847">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242~500</w:t>
                  </w:r>
                </w:p>
              </w:tc>
            </w:tr>
            <w:tr w14:paraId="026E4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pct"/>
                  <w:vMerge w:val="continue"/>
                  <w:noWrap w:val="0"/>
                  <w:vAlign w:val="center"/>
                </w:tcPr>
                <w:p w14:paraId="409A9256">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Cs w:val="21"/>
                    </w:rPr>
                  </w:pPr>
                </w:p>
              </w:tc>
              <w:tc>
                <w:tcPr>
                  <w:tcW w:w="761" w:type="pct"/>
                  <w:noWrap w:val="0"/>
                  <w:vAlign w:val="center"/>
                </w:tcPr>
                <w:p w14:paraId="3FFF613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120.497510</w:t>
                  </w:r>
                </w:p>
              </w:tc>
              <w:tc>
                <w:tcPr>
                  <w:tcW w:w="697" w:type="pct"/>
                  <w:noWrap w:val="0"/>
                  <w:vAlign w:val="center"/>
                </w:tcPr>
                <w:p w14:paraId="182662F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32.342850</w:t>
                  </w:r>
                </w:p>
              </w:tc>
              <w:tc>
                <w:tcPr>
                  <w:tcW w:w="543" w:type="pct"/>
                  <w:vMerge w:val="continue"/>
                  <w:noWrap w:val="0"/>
                  <w:vAlign w:val="center"/>
                </w:tcPr>
                <w:p w14:paraId="04480ACB">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2B07A41B">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59户</w:t>
                  </w:r>
                </w:p>
              </w:tc>
              <w:tc>
                <w:tcPr>
                  <w:tcW w:w="695" w:type="pct"/>
                  <w:vMerge w:val="continue"/>
                  <w:noWrap w:val="0"/>
                  <w:vAlign w:val="center"/>
                </w:tcPr>
                <w:p w14:paraId="4702BCB2">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386A58A0">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西南</w:t>
                  </w:r>
                </w:p>
              </w:tc>
              <w:tc>
                <w:tcPr>
                  <w:tcW w:w="678" w:type="pct"/>
                  <w:noWrap w:val="0"/>
                  <w:vAlign w:val="center"/>
                </w:tcPr>
                <w:p w14:paraId="235C8D09">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292~500</w:t>
                  </w:r>
                </w:p>
              </w:tc>
            </w:tr>
            <w:tr w14:paraId="377B2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pct"/>
                  <w:vMerge w:val="restart"/>
                  <w:noWrap w:val="0"/>
                  <w:vAlign w:val="center"/>
                </w:tcPr>
                <w:p w14:paraId="5FF1F62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光华社区</w:t>
                  </w:r>
                </w:p>
              </w:tc>
              <w:tc>
                <w:tcPr>
                  <w:tcW w:w="761" w:type="pct"/>
                  <w:noWrap w:val="0"/>
                  <w:vAlign w:val="center"/>
                </w:tcPr>
                <w:p w14:paraId="5C1CDE5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120.500085</w:t>
                  </w:r>
                </w:p>
              </w:tc>
              <w:tc>
                <w:tcPr>
                  <w:tcW w:w="697" w:type="pct"/>
                  <w:noWrap w:val="0"/>
                  <w:vAlign w:val="center"/>
                </w:tcPr>
                <w:p w14:paraId="7B8854E7">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32.342361</w:t>
                  </w:r>
                </w:p>
              </w:tc>
              <w:tc>
                <w:tcPr>
                  <w:tcW w:w="543" w:type="pct"/>
                  <w:vMerge w:val="continue"/>
                  <w:noWrap w:val="0"/>
                  <w:vAlign w:val="center"/>
                </w:tcPr>
                <w:p w14:paraId="42B65FC7">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2E85864C">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9户</w:t>
                  </w:r>
                </w:p>
              </w:tc>
              <w:tc>
                <w:tcPr>
                  <w:tcW w:w="695" w:type="pct"/>
                  <w:vMerge w:val="continue"/>
                  <w:noWrap w:val="0"/>
                  <w:vAlign w:val="center"/>
                </w:tcPr>
                <w:p w14:paraId="6FABBFA3">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34D8B110">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北侧</w:t>
                  </w:r>
                </w:p>
              </w:tc>
              <w:tc>
                <w:tcPr>
                  <w:tcW w:w="678" w:type="pct"/>
                  <w:noWrap w:val="0"/>
                  <w:vAlign w:val="center"/>
                </w:tcPr>
                <w:p w14:paraId="7534C8F4">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213~500</w:t>
                  </w:r>
                </w:p>
              </w:tc>
            </w:tr>
            <w:tr w14:paraId="50039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pct"/>
                  <w:vMerge w:val="continue"/>
                  <w:noWrap w:val="0"/>
                  <w:vAlign w:val="center"/>
                </w:tcPr>
                <w:p w14:paraId="2DAAAD33">
                  <w:pPr>
                    <w:keepNext w:val="0"/>
                    <w:keepLines w:val="0"/>
                    <w:pageBreakBefore w:val="0"/>
                    <w:kinsoku/>
                    <w:wordWrap/>
                    <w:overflowPunct/>
                    <w:topLinePunct w:val="0"/>
                    <w:autoSpaceDE/>
                    <w:autoSpaceDN/>
                    <w:bidi w:val="0"/>
                    <w:adjustRightInd w:val="0"/>
                    <w:snapToGrid w:val="0"/>
                    <w:jc w:val="center"/>
                    <w:textAlignment w:val="auto"/>
                    <w:rPr>
                      <w:rFonts w:hint="eastAsia"/>
                      <w:color w:val="auto"/>
                      <w:szCs w:val="21"/>
                      <w:lang w:val="en-US" w:eastAsia="zh-CN"/>
                    </w:rPr>
                  </w:pPr>
                </w:p>
              </w:tc>
              <w:tc>
                <w:tcPr>
                  <w:tcW w:w="761" w:type="pct"/>
                  <w:noWrap w:val="0"/>
                  <w:vAlign w:val="center"/>
                </w:tcPr>
                <w:p w14:paraId="654AACA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120.504302</w:t>
                  </w:r>
                </w:p>
              </w:tc>
              <w:tc>
                <w:tcPr>
                  <w:tcW w:w="697" w:type="pct"/>
                  <w:noWrap w:val="0"/>
                  <w:vAlign w:val="center"/>
                </w:tcPr>
                <w:p w14:paraId="6853E1DD">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32.342995</w:t>
                  </w:r>
                </w:p>
              </w:tc>
              <w:tc>
                <w:tcPr>
                  <w:tcW w:w="543" w:type="pct"/>
                  <w:vMerge w:val="continue"/>
                  <w:noWrap w:val="0"/>
                  <w:vAlign w:val="center"/>
                </w:tcPr>
                <w:p w14:paraId="050119B7">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797D89B1">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44户</w:t>
                  </w:r>
                </w:p>
              </w:tc>
              <w:tc>
                <w:tcPr>
                  <w:tcW w:w="695" w:type="pct"/>
                  <w:vMerge w:val="continue"/>
                  <w:noWrap w:val="0"/>
                  <w:vAlign w:val="center"/>
                </w:tcPr>
                <w:p w14:paraId="3BAF4743">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6AD9AF45">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东南</w:t>
                  </w:r>
                </w:p>
              </w:tc>
              <w:tc>
                <w:tcPr>
                  <w:tcW w:w="678" w:type="pct"/>
                  <w:noWrap w:val="0"/>
                  <w:vAlign w:val="center"/>
                </w:tcPr>
                <w:p w14:paraId="5529D1B3">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354~500</w:t>
                  </w:r>
                </w:p>
              </w:tc>
            </w:tr>
            <w:tr w14:paraId="13ECF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noWrap w:val="0"/>
                  <w:vAlign w:val="center"/>
                </w:tcPr>
                <w:p w14:paraId="4501A5C6">
                  <w:pPr>
                    <w:keepNext w:val="0"/>
                    <w:keepLines w:val="0"/>
                    <w:pageBreakBefore w:val="0"/>
                    <w:kinsoku/>
                    <w:wordWrap/>
                    <w:overflowPunct/>
                    <w:topLinePunct w:val="0"/>
                    <w:autoSpaceDE/>
                    <w:autoSpaceDN/>
                    <w:bidi w:val="0"/>
                    <w:adjustRightInd w:val="0"/>
                    <w:snapToGrid w:val="0"/>
                    <w:jc w:val="center"/>
                    <w:textAlignment w:val="auto"/>
                    <w:rPr>
                      <w:rFonts w:hint="eastAsia"/>
                      <w:color w:val="auto"/>
                      <w:szCs w:val="21"/>
                      <w:lang w:val="en-US" w:eastAsia="zh-CN"/>
                    </w:rPr>
                  </w:pPr>
                </w:p>
              </w:tc>
              <w:tc>
                <w:tcPr>
                  <w:tcW w:w="761" w:type="pct"/>
                  <w:noWrap w:val="0"/>
                  <w:vAlign w:val="center"/>
                </w:tcPr>
                <w:p w14:paraId="4C1DD45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120.503057</w:t>
                  </w:r>
                </w:p>
              </w:tc>
              <w:tc>
                <w:tcPr>
                  <w:tcW w:w="697" w:type="pct"/>
                  <w:noWrap w:val="0"/>
                  <w:vAlign w:val="center"/>
                </w:tcPr>
                <w:p w14:paraId="42F0283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32.345180</w:t>
                  </w:r>
                </w:p>
              </w:tc>
              <w:tc>
                <w:tcPr>
                  <w:tcW w:w="543" w:type="pct"/>
                  <w:vMerge w:val="continue"/>
                  <w:noWrap w:val="0"/>
                  <w:vAlign w:val="center"/>
                </w:tcPr>
                <w:p w14:paraId="30F2C735">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720" w:type="pct"/>
                  <w:noWrap w:val="0"/>
                  <w:vAlign w:val="center"/>
                </w:tcPr>
                <w:p w14:paraId="6AFA659D">
                  <w:pPr>
                    <w:keepNext w:val="0"/>
                    <w:keepLines w:val="0"/>
                    <w:pageBreakBefore w:val="0"/>
                    <w:tabs>
                      <w:tab w:val="left" w:pos="1021"/>
                    </w:tabs>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13户</w:t>
                  </w:r>
                </w:p>
              </w:tc>
              <w:tc>
                <w:tcPr>
                  <w:tcW w:w="695" w:type="pct"/>
                  <w:vMerge w:val="continue"/>
                  <w:noWrap w:val="0"/>
                  <w:vAlign w:val="center"/>
                </w:tcPr>
                <w:p w14:paraId="06349602">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Cs w:val="21"/>
                    </w:rPr>
                  </w:pPr>
                </w:p>
              </w:tc>
              <w:tc>
                <w:tcPr>
                  <w:tcW w:w="476" w:type="pct"/>
                  <w:noWrap w:val="0"/>
                  <w:vAlign w:val="center"/>
                </w:tcPr>
                <w:p w14:paraId="54388F6D">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东侧</w:t>
                  </w:r>
                </w:p>
              </w:tc>
              <w:tc>
                <w:tcPr>
                  <w:tcW w:w="678" w:type="pct"/>
                  <w:noWrap w:val="0"/>
                  <w:vAlign w:val="center"/>
                </w:tcPr>
                <w:p w14:paraId="7C0EFB21">
                  <w:pPr>
                    <w:keepNext w:val="0"/>
                    <w:keepLines w:val="0"/>
                    <w:pageBreakBefore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242~500</w:t>
                  </w:r>
                </w:p>
              </w:tc>
            </w:tr>
          </w:tbl>
          <w:p w14:paraId="01B269E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kern w:val="0"/>
                <w:szCs w:val="21"/>
              </w:rPr>
            </w:pPr>
            <w:r>
              <w:rPr>
                <w:rFonts w:ascii="Times New Roman" w:hAnsi="Times New Roman" w:eastAsia="宋体"/>
                <w:b/>
                <w:bCs/>
                <w:color w:val="auto"/>
                <w:kern w:val="0"/>
                <w:szCs w:val="21"/>
              </w:rPr>
              <w:t>2、声环境</w:t>
            </w:r>
          </w:p>
          <w:p w14:paraId="140F86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kern w:val="0"/>
                <w:szCs w:val="21"/>
              </w:rPr>
            </w:pPr>
            <w:r>
              <w:rPr>
                <w:rFonts w:ascii="Times New Roman" w:hAnsi="Times New Roman" w:eastAsia="宋体"/>
                <w:color w:val="auto"/>
                <w:kern w:val="0"/>
                <w:szCs w:val="21"/>
              </w:rPr>
              <w:t>根据现场勘查，项目周围50m内无居民等声环境保护目标。</w:t>
            </w:r>
          </w:p>
          <w:p w14:paraId="75DC670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kern w:val="0"/>
                <w:szCs w:val="21"/>
              </w:rPr>
            </w:pPr>
            <w:r>
              <w:rPr>
                <w:rFonts w:hint="eastAsia" w:ascii="Times New Roman" w:hAnsi="Times New Roman" w:eastAsia="宋体"/>
                <w:b/>
                <w:bCs/>
                <w:color w:val="auto"/>
                <w:kern w:val="0"/>
                <w:szCs w:val="21"/>
              </w:rPr>
              <w:t>3、生态环境</w:t>
            </w:r>
          </w:p>
          <w:p w14:paraId="3941EF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项目地位于如皋市城北街道陆姚居二十五组188号，不位于产业园区内，</w:t>
            </w:r>
            <w:r>
              <w:rPr>
                <w:rFonts w:hint="eastAsia" w:ascii="Times New Roman" w:hAnsi="Times New Roman" w:eastAsia="宋体"/>
                <w:color w:val="auto"/>
                <w:kern w:val="0"/>
                <w:szCs w:val="21"/>
              </w:rPr>
              <w:t>租赁</w:t>
            </w:r>
            <w:r>
              <w:rPr>
                <w:rFonts w:hint="eastAsia" w:ascii="Times New Roman" w:hAnsi="Times New Roman" w:eastAsia="宋体"/>
                <w:color w:val="auto"/>
                <w:kern w:val="0"/>
                <w:szCs w:val="21"/>
                <w:lang w:val="en-US" w:eastAsia="zh-CN"/>
              </w:rPr>
              <w:t>万恒如（南通市雨霖市政园林有限公司）</w:t>
            </w:r>
            <w:r>
              <w:rPr>
                <w:rFonts w:hint="eastAsia" w:ascii="Times New Roman" w:hAnsi="Times New Roman" w:eastAsia="宋体"/>
                <w:color w:val="auto"/>
                <w:kern w:val="0"/>
                <w:szCs w:val="21"/>
              </w:rPr>
              <w:t>闲置厂房</w:t>
            </w:r>
            <w:r>
              <w:rPr>
                <w:rFonts w:hint="eastAsia" w:ascii="Times New Roman" w:hAnsi="Times New Roman" w:eastAsia="宋体"/>
                <w:color w:val="auto"/>
                <w:kern w:val="0"/>
                <w:szCs w:val="21"/>
                <w:lang w:val="en-US" w:eastAsia="zh-CN"/>
              </w:rPr>
              <w:t>生产，</w:t>
            </w:r>
            <w:r>
              <w:rPr>
                <w:rFonts w:hint="eastAsia"/>
                <w:color w:val="auto"/>
                <w:kern w:val="0"/>
                <w:szCs w:val="21"/>
                <w:lang w:val="en-US" w:eastAsia="zh-CN"/>
              </w:rPr>
              <w:t>根据</w:t>
            </w:r>
            <w:r>
              <w:rPr>
                <w:rFonts w:hint="eastAsia" w:ascii="Times New Roman" w:hAnsi="Times New Roman" w:eastAsia="宋体"/>
                <w:color w:val="auto"/>
                <w:kern w:val="0"/>
                <w:szCs w:val="21"/>
                <w:lang w:val="en-US" w:eastAsia="zh-CN"/>
              </w:rPr>
              <w:t>《建设项目环境影响报告表编制技术指南（污染影响类）（试行）》</w:t>
            </w:r>
            <w:r>
              <w:rPr>
                <w:rFonts w:hint="eastAsia"/>
                <w:color w:val="auto"/>
                <w:kern w:val="0"/>
                <w:szCs w:val="21"/>
                <w:lang w:val="en-US" w:eastAsia="zh-CN"/>
              </w:rPr>
              <w:t>，项目</w:t>
            </w:r>
            <w:r>
              <w:rPr>
                <w:rFonts w:hint="eastAsia" w:ascii="Times New Roman" w:hAnsi="Times New Roman" w:eastAsia="宋体"/>
                <w:color w:val="auto"/>
                <w:kern w:val="0"/>
                <w:szCs w:val="21"/>
                <w:lang w:val="en-US" w:eastAsia="zh-CN"/>
              </w:rPr>
              <w:t>无需明确生态环境保护目标。</w:t>
            </w:r>
          </w:p>
          <w:p w14:paraId="63D96E1B">
            <w:pPr>
              <w:spacing w:line="360" w:lineRule="auto"/>
              <w:ind w:firstLine="422" w:firstLineChars="200"/>
              <w:jc w:val="left"/>
              <w:rPr>
                <w:b/>
                <w:color w:val="auto"/>
                <w:sz w:val="21"/>
                <w:szCs w:val="21"/>
              </w:rPr>
            </w:pPr>
            <w:r>
              <w:rPr>
                <w:rFonts w:hint="eastAsia"/>
                <w:b/>
                <w:color w:val="auto"/>
                <w:sz w:val="21"/>
                <w:szCs w:val="21"/>
                <w:lang w:val="en-US" w:eastAsia="zh-CN"/>
              </w:rPr>
              <w:t>4</w:t>
            </w:r>
            <w:r>
              <w:rPr>
                <w:b/>
                <w:color w:val="auto"/>
                <w:sz w:val="21"/>
                <w:szCs w:val="21"/>
              </w:rPr>
              <w:t>、地下水环境</w:t>
            </w:r>
          </w:p>
          <w:p w14:paraId="2204E1D0">
            <w:pPr>
              <w:spacing w:line="360" w:lineRule="auto"/>
              <w:ind w:firstLine="420" w:firstLineChars="200"/>
              <w:jc w:val="left"/>
              <w:rPr>
                <w:bCs/>
                <w:color w:val="auto"/>
                <w:sz w:val="21"/>
                <w:szCs w:val="21"/>
              </w:rPr>
            </w:pPr>
            <w:r>
              <w:rPr>
                <w:bCs/>
                <w:color w:val="auto"/>
                <w:sz w:val="21"/>
                <w:szCs w:val="21"/>
              </w:rPr>
              <w:t>本项目厂界外500m范围内无地下水集中式饮用水水源和热水、矿泉水、温泉等特殊地下水资源。</w:t>
            </w:r>
          </w:p>
          <w:p w14:paraId="193172E9">
            <w:pPr>
              <w:pStyle w:val="10"/>
              <w:spacing w:before="0" w:after="0" w:line="460" w:lineRule="exact"/>
              <w:ind w:right="0"/>
              <w:rPr>
                <w:rFonts w:ascii="Times New Roman" w:hAnsi="Times New Roman" w:eastAsia="宋体"/>
                <w:color w:val="auto"/>
                <w:sz w:val="21"/>
                <w:szCs w:val="21"/>
              </w:rPr>
            </w:pPr>
          </w:p>
          <w:p w14:paraId="07F2EE5C">
            <w:pPr>
              <w:rPr>
                <w:rFonts w:ascii="Times New Roman" w:hAnsi="Times New Roman" w:eastAsia="宋体"/>
                <w:color w:val="auto"/>
                <w:sz w:val="21"/>
                <w:szCs w:val="21"/>
              </w:rPr>
            </w:pPr>
          </w:p>
          <w:p w14:paraId="177F8B84">
            <w:pPr>
              <w:pStyle w:val="4"/>
              <w:rPr>
                <w:rFonts w:ascii="Times New Roman" w:hAnsi="Times New Roman" w:eastAsia="宋体"/>
                <w:color w:val="auto"/>
                <w:sz w:val="21"/>
                <w:szCs w:val="21"/>
              </w:rPr>
            </w:pPr>
          </w:p>
          <w:p w14:paraId="023DF02F">
            <w:pPr>
              <w:pStyle w:val="4"/>
              <w:rPr>
                <w:color w:val="auto"/>
              </w:rPr>
            </w:pPr>
          </w:p>
          <w:p w14:paraId="5915DD5C">
            <w:pPr>
              <w:rPr>
                <w:color w:val="auto"/>
              </w:rPr>
            </w:pPr>
          </w:p>
          <w:p w14:paraId="74049304">
            <w:pPr>
              <w:pStyle w:val="4"/>
              <w:rPr>
                <w:color w:val="auto"/>
              </w:rPr>
            </w:pPr>
          </w:p>
          <w:p w14:paraId="6FA14226">
            <w:pPr>
              <w:rPr>
                <w:color w:val="auto"/>
              </w:rPr>
            </w:pPr>
          </w:p>
        </w:tc>
      </w:tr>
      <w:tr w14:paraId="6EC0D2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18" w:type="pct"/>
            <w:noWrap w:val="0"/>
            <w:tcMar>
              <w:left w:w="28" w:type="dxa"/>
              <w:right w:w="28" w:type="dxa"/>
            </w:tcMar>
            <w:vAlign w:val="center"/>
          </w:tcPr>
          <w:p w14:paraId="10FA455E">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污染</w:t>
            </w:r>
          </w:p>
          <w:p w14:paraId="44407836">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物排</w:t>
            </w:r>
          </w:p>
          <w:p w14:paraId="075F13DD">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放控</w:t>
            </w:r>
          </w:p>
          <w:p w14:paraId="0603A068">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制标</w:t>
            </w:r>
          </w:p>
          <w:p w14:paraId="13DA2FC0">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准</w:t>
            </w:r>
          </w:p>
        </w:tc>
        <w:tc>
          <w:tcPr>
            <w:tcW w:w="4581" w:type="pct"/>
            <w:noWrap w:val="0"/>
            <w:vAlign w:val="center"/>
          </w:tcPr>
          <w:p w14:paraId="65DA710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b/>
                <w:color w:val="auto"/>
                <w:szCs w:val="21"/>
              </w:rPr>
            </w:pPr>
            <w:r>
              <w:rPr>
                <w:rFonts w:ascii="Times New Roman" w:hAnsi="Times New Roman" w:eastAsia="宋体"/>
                <w:b/>
                <w:color w:val="auto"/>
                <w:szCs w:val="21"/>
              </w:rPr>
              <w:t>1、大气污染物排放标准</w:t>
            </w:r>
          </w:p>
          <w:p w14:paraId="5C3FB7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color w:val="auto"/>
                <w:szCs w:val="21"/>
              </w:rPr>
            </w:pPr>
            <w:r>
              <w:rPr>
                <w:rFonts w:hint="eastAsia"/>
                <w:color w:val="auto"/>
                <w:szCs w:val="21"/>
              </w:rPr>
              <w:t>本项目运营期废气排放执行标准如下：</w:t>
            </w:r>
          </w:p>
          <w:p w14:paraId="375F337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szCs w:val="21"/>
              </w:rPr>
            </w:pPr>
            <w:r>
              <w:rPr>
                <w:rFonts w:hint="eastAsia"/>
                <w:color w:val="auto"/>
                <w:szCs w:val="21"/>
                <w:lang w:val="en-US" w:eastAsia="zh-CN"/>
              </w:rPr>
              <w:t>熔融</w:t>
            </w:r>
            <w:r>
              <w:rPr>
                <w:rFonts w:hint="eastAsia"/>
                <w:color w:val="auto"/>
                <w:szCs w:val="21"/>
              </w:rPr>
              <w:t>、制芯、浇注、落砂</w:t>
            </w:r>
            <w:r>
              <w:rPr>
                <w:rFonts w:hint="eastAsia"/>
                <w:color w:val="auto"/>
                <w:szCs w:val="21"/>
                <w:lang w:eastAsia="zh-CN"/>
              </w:rPr>
              <w:t>、</w:t>
            </w:r>
            <w:r>
              <w:rPr>
                <w:rFonts w:hint="eastAsia"/>
                <w:color w:val="auto"/>
                <w:szCs w:val="21"/>
                <w:lang w:val="en-US" w:eastAsia="zh-CN"/>
              </w:rPr>
              <w:t>打磨抛光</w:t>
            </w:r>
            <w:r>
              <w:rPr>
                <w:rFonts w:hint="eastAsia"/>
                <w:color w:val="auto"/>
                <w:szCs w:val="21"/>
              </w:rPr>
              <w:t>有组织排放的颗粒物执行《铸造工业大气污染物排放标准》（GB39726-2020）表1 排放限值；</w:t>
            </w:r>
          </w:p>
          <w:p w14:paraId="0F4E2FD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szCs w:val="21"/>
              </w:rPr>
            </w:pPr>
            <w:r>
              <w:rPr>
                <w:rFonts w:hint="eastAsia"/>
                <w:color w:val="auto"/>
                <w:szCs w:val="21"/>
              </w:rPr>
              <w:t>制芯、浇注有组织排放的非甲烷总烃</w:t>
            </w:r>
            <w:r>
              <w:rPr>
                <w:rFonts w:hint="eastAsia"/>
                <w:color w:val="auto"/>
                <w:szCs w:val="21"/>
                <w:lang w:eastAsia="zh-CN"/>
              </w:rPr>
              <w:t>、</w:t>
            </w:r>
            <w:r>
              <w:rPr>
                <w:rFonts w:hint="eastAsia"/>
                <w:color w:val="auto"/>
                <w:szCs w:val="21"/>
              </w:rPr>
              <w:t>甲醛、</w:t>
            </w:r>
            <w:r>
              <w:rPr>
                <w:rFonts w:hint="eastAsia"/>
                <w:color w:val="auto"/>
                <w:szCs w:val="21"/>
                <w:lang w:val="en-US" w:eastAsia="zh-CN"/>
              </w:rPr>
              <w:t>酚类</w:t>
            </w:r>
            <w:r>
              <w:rPr>
                <w:rFonts w:hint="eastAsia"/>
                <w:color w:val="auto"/>
                <w:szCs w:val="21"/>
              </w:rPr>
              <w:t>执行《大气污染物综合排放标准》（DB32/4041-2021</w:t>
            </w:r>
            <w:r>
              <w:rPr>
                <w:rFonts w:hint="eastAsia"/>
                <w:color w:val="auto"/>
                <w:szCs w:val="21"/>
                <w:lang w:eastAsia="zh-CN"/>
              </w:rPr>
              <w:t>）</w:t>
            </w:r>
            <w:r>
              <w:rPr>
                <w:rFonts w:hint="eastAsia"/>
                <w:color w:val="auto"/>
                <w:szCs w:val="21"/>
              </w:rPr>
              <w:t>表1排放限值。</w:t>
            </w:r>
          </w:p>
          <w:p w14:paraId="4941A77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color w:val="auto"/>
                <w:szCs w:val="21"/>
                <w:lang w:val="en-US" w:eastAsia="zh-CN"/>
              </w:rPr>
            </w:pPr>
            <w:r>
              <w:rPr>
                <w:rFonts w:hint="eastAsia"/>
                <w:color w:val="auto"/>
                <w:szCs w:val="21"/>
              </w:rPr>
              <w:t>本项目无组织排放的颗粒物、非甲烷总烃、甲醛、</w:t>
            </w:r>
            <w:r>
              <w:rPr>
                <w:rFonts w:hint="eastAsia"/>
                <w:color w:val="auto"/>
                <w:szCs w:val="21"/>
                <w:lang w:val="en-US" w:eastAsia="zh-CN"/>
              </w:rPr>
              <w:t>酚类</w:t>
            </w:r>
            <w:r>
              <w:rPr>
                <w:rFonts w:hint="eastAsia"/>
                <w:color w:val="auto"/>
                <w:szCs w:val="21"/>
              </w:rPr>
              <w:t>从严执行《大气污染物综合排放标准》（DB32/4041-2021</w:t>
            </w:r>
            <w:r>
              <w:rPr>
                <w:rFonts w:hint="eastAsia"/>
                <w:color w:val="auto"/>
                <w:szCs w:val="21"/>
                <w:lang w:eastAsia="zh-CN"/>
              </w:rPr>
              <w:t>）</w:t>
            </w:r>
            <w:r>
              <w:rPr>
                <w:rFonts w:hint="eastAsia"/>
                <w:color w:val="auto"/>
                <w:szCs w:val="21"/>
              </w:rPr>
              <w:t>表3 中的标准</w:t>
            </w:r>
            <w:r>
              <w:rPr>
                <w:rFonts w:hint="eastAsia"/>
                <w:color w:val="auto"/>
                <w:szCs w:val="21"/>
                <w:lang w:val="en-US" w:eastAsia="zh-CN"/>
              </w:rPr>
              <w:t>。</w:t>
            </w:r>
          </w:p>
          <w:p w14:paraId="2D2860B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color w:val="auto"/>
                <w:szCs w:val="21"/>
                <w:lang w:eastAsia="zh-CN"/>
              </w:rPr>
            </w:pPr>
            <w:r>
              <w:rPr>
                <w:rFonts w:hint="eastAsia"/>
                <w:color w:val="auto"/>
                <w:szCs w:val="21"/>
              </w:rPr>
              <w:t>厂房边界臭气浓度执行《恶臭污染物排放标准》（GB14554-93）</w:t>
            </w:r>
            <w:r>
              <w:rPr>
                <w:rFonts w:hint="eastAsia"/>
                <w:color w:val="auto"/>
                <w:szCs w:val="21"/>
                <w:lang w:val="en-US" w:eastAsia="zh-CN"/>
              </w:rPr>
              <w:t>表1</w:t>
            </w:r>
            <w:r>
              <w:rPr>
                <w:rFonts w:hint="eastAsia"/>
                <w:color w:val="auto"/>
                <w:szCs w:val="21"/>
              </w:rPr>
              <w:t>中相应标准</w:t>
            </w:r>
            <w:r>
              <w:rPr>
                <w:rFonts w:hint="eastAsia"/>
                <w:color w:val="auto"/>
                <w:szCs w:val="21"/>
                <w:lang w:eastAsia="zh-CN"/>
              </w:rPr>
              <w:t>。</w:t>
            </w:r>
          </w:p>
          <w:p w14:paraId="038F497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Cs w:val="21"/>
              </w:rPr>
            </w:pPr>
            <w:r>
              <w:rPr>
                <w:rFonts w:hint="eastAsia" w:ascii="Times New Roman" w:hAnsi="Times New Roman" w:eastAsia="宋体" w:cs="Times New Roman"/>
                <w:color w:val="auto"/>
                <w:szCs w:val="21"/>
              </w:rPr>
              <w:t>厂区内非甲烷总烃</w:t>
            </w:r>
            <w:r>
              <w:rPr>
                <w:rFonts w:hint="eastAsia" w:cs="Times New Roman"/>
                <w:color w:val="auto"/>
                <w:szCs w:val="21"/>
                <w:lang w:val="en-US" w:eastAsia="zh-CN"/>
              </w:rPr>
              <w:t>、</w:t>
            </w:r>
            <w:r>
              <w:rPr>
                <w:rFonts w:hint="eastAsia" w:ascii="Times New Roman" w:hAnsi="Times New Roman" w:eastAsia="宋体" w:cs="Times New Roman"/>
                <w:color w:val="auto"/>
                <w:szCs w:val="21"/>
              </w:rPr>
              <w:t>颗粒物执行《</w:t>
            </w:r>
            <w:r>
              <w:rPr>
                <w:rFonts w:hint="eastAsia"/>
                <w:color w:val="auto"/>
                <w:szCs w:val="21"/>
              </w:rPr>
              <w:t>铸造工业大气污染物排放标准》（GB39726-2020）表A.1中标准限值要求。</w:t>
            </w:r>
          </w:p>
          <w:p w14:paraId="23EF600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
                <w:color w:val="auto"/>
              </w:rPr>
            </w:pPr>
            <w:r>
              <w:rPr>
                <w:rFonts w:hint="eastAsia"/>
                <w:color w:val="auto"/>
                <w:szCs w:val="21"/>
              </w:rPr>
              <w:t>具体标准限值详</w:t>
            </w:r>
            <w:r>
              <w:rPr>
                <w:color w:val="auto"/>
                <w:szCs w:val="21"/>
              </w:rPr>
              <w:t>见</w:t>
            </w:r>
            <w:r>
              <w:rPr>
                <w:rFonts w:hint="eastAsia"/>
                <w:color w:val="auto"/>
                <w:szCs w:val="21"/>
              </w:rPr>
              <w:t>下</w:t>
            </w:r>
            <w:r>
              <w:rPr>
                <w:color w:val="auto"/>
                <w:szCs w:val="21"/>
              </w:rPr>
              <w:t>表。</w:t>
            </w:r>
          </w:p>
          <w:p w14:paraId="2C54A736">
            <w:pPr>
              <w:adjustRightInd w:val="0"/>
              <w:snapToGrid w:val="0"/>
              <w:ind w:firstLine="482"/>
              <w:jc w:val="center"/>
              <w:rPr>
                <w:b/>
                <w:color w:val="auto"/>
              </w:rPr>
            </w:pPr>
            <w:r>
              <w:rPr>
                <w:b/>
                <w:color w:val="auto"/>
              </w:rPr>
              <w:t>表</w:t>
            </w:r>
            <w:r>
              <w:rPr>
                <w:rFonts w:hint="eastAsia"/>
                <w:b/>
                <w:color w:val="auto"/>
              </w:rPr>
              <w:t>3-</w:t>
            </w:r>
            <w:r>
              <w:rPr>
                <w:rFonts w:hint="eastAsia"/>
                <w:b/>
                <w:color w:val="auto"/>
                <w:lang w:val="en-US" w:eastAsia="zh-CN"/>
              </w:rPr>
              <w:t>9</w:t>
            </w:r>
            <w:r>
              <w:rPr>
                <w:rFonts w:hint="eastAsia"/>
                <w:b/>
                <w:color w:val="auto"/>
              </w:rPr>
              <w:t>有组织</w:t>
            </w:r>
            <w:r>
              <w:rPr>
                <w:b/>
                <w:color w:val="auto"/>
              </w:rPr>
              <w:t>大气污染物排放标准</w:t>
            </w:r>
          </w:p>
          <w:tbl>
            <w:tblPr>
              <w:tblStyle w:val="25"/>
              <w:tblW w:w="8430" w:type="dxa"/>
              <w:tblInd w:w="-5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456"/>
              <w:gridCol w:w="1269"/>
              <w:gridCol w:w="1744"/>
              <w:gridCol w:w="1692"/>
              <w:gridCol w:w="2269"/>
            </w:tblGrid>
            <w:tr w14:paraId="77335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05" w:hRule="atLeast"/>
              </w:trPr>
              <w:tc>
                <w:tcPr>
                  <w:tcW w:w="1456" w:type="dxa"/>
                  <w:vAlign w:val="center"/>
                </w:tcPr>
                <w:p w14:paraId="2C766C48">
                  <w:pPr>
                    <w:snapToGrid w:val="0"/>
                    <w:jc w:val="center"/>
                    <w:rPr>
                      <w:b/>
                      <w:color w:val="auto"/>
                      <w:szCs w:val="21"/>
                    </w:rPr>
                  </w:pPr>
                  <w:r>
                    <w:rPr>
                      <w:rFonts w:hint="eastAsia"/>
                      <w:b/>
                      <w:color w:val="auto"/>
                      <w:szCs w:val="21"/>
                    </w:rPr>
                    <w:t>产污</w:t>
                  </w:r>
                </w:p>
                <w:p w14:paraId="3AB63D31">
                  <w:pPr>
                    <w:snapToGrid w:val="0"/>
                    <w:jc w:val="center"/>
                    <w:rPr>
                      <w:b/>
                      <w:color w:val="auto"/>
                      <w:szCs w:val="21"/>
                    </w:rPr>
                  </w:pPr>
                  <w:r>
                    <w:rPr>
                      <w:rFonts w:hint="eastAsia"/>
                      <w:b/>
                      <w:color w:val="auto"/>
                      <w:szCs w:val="21"/>
                    </w:rPr>
                    <w:t>环节</w:t>
                  </w:r>
                </w:p>
              </w:tc>
              <w:tc>
                <w:tcPr>
                  <w:tcW w:w="1269" w:type="dxa"/>
                  <w:vAlign w:val="center"/>
                </w:tcPr>
                <w:p w14:paraId="06C663D9">
                  <w:pPr>
                    <w:snapToGrid w:val="0"/>
                    <w:jc w:val="center"/>
                    <w:rPr>
                      <w:b/>
                      <w:color w:val="auto"/>
                      <w:szCs w:val="21"/>
                    </w:rPr>
                  </w:pPr>
                  <w:r>
                    <w:rPr>
                      <w:b/>
                      <w:color w:val="auto"/>
                      <w:szCs w:val="21"/>
                    </w:rPr>
                    <w:t>污染物名称</w:t>
                  </w:r>
                </w:p>
              </w:tc>
              <w:tc>
                <w:tcPr>
                  <w:tcW w:w="1744" w:type="dxa"/>
                  <w:vAlign w:val="center"/>
                </w:tcPr>
                <w:p w14:paraId="08DE3EA9">
                  <w:pPr>
                    <w:snapToGrid w:val="0"/>
                    <w:jc w:val="center"/>
                    <w:rPr>
                      <w:b/>
                      <w:color w:val="auto"/>
                      <w:szCs w:val="21"/>
                    </w:rPr>
                  </w:pPr>
                  <w:r>
                    <w:rPr>
                      <w:b/>
                      <w:color w:val="auto"/>
                      <w:szCs w:val="21"/>
                    </w:rPr>
                    <w:t>最高允许排放浓度（mg/m</w:t>
                  </w:r>
                  <w:r>
                    <w:rPr>
                      <w:b/>
                      <w:color w:val="auto"/>
                      <w:szCs w:val="21"/>
                      <w:vertAlign w:val="superscript"/>
                    </w:rPr>
                    <w:t>3</w:t>
                  </w:r>
                  <w:r>
                    <w:rPr>
                      <w:b/>
                      <w:color w:val="auto"/>
                      <w:szCs w:val="21"/>
                    </w:rPr>
                    <w:t>）</w:t>
                  </w:r>
                </w:p>
              </w:tc>
              <w:tc>
                <w:tcPr>
                  <w:tcW w:w="1692" w:type="dxa"/>
                  <w:vAlign w:val="center"/>
                </w:tcPr>
                <w:p w14:paraId="79F9022D">
                  <w:pPr>
                    <w:snapToGrid w:val="0"/>
                    <w:jc w:val="center"/>
                    <w:rPr>
                      <w:b/>
                      <w:color w:val="auto"/>
                      <w:szCs w:val="21"/>
                    </w:rPr>
                  </w:pPr>
                  <w:r>
                    <w:rPr>
                      <w:b/>
                      <w:color w:val="auto"/>
                      <w:szCs w:val="21"/>
                    </w:rPr>
                    <w:t>最高允许排放速率（kg/h）</w:t>
                  </w:r>
                </w:p>
              </w:tc>
              <w:tc>
                <w:tcPr>
                  <w:tcW w:w="2269" w:type="dxa"/>
                  <w:vAlign w:val="center"/>
                </w:tcPr>
                <w:p w14:paraId="49706AA2">
                  <w:pPr>
                    <w:snapToGrid w:val="0"/>
                    <w:jc w:val="center"/>
                    <w:rPr>
                      <w:b/>
                      <w:color w:val="auto"/>
                      <w:szCs w:val="21"/>
                    </w:rPr>
                  </w:pPr>
                  <w:r>
                    <w:rPr>
                      <w:b/>
                      <w:color w:val="auto"/>
                      <w:szCs w:val="21"/>
                    </w:rPr>
                    <w:t>标准来源</w:t>
                  </w:r>
                </w:p>
              </w:tc>
            </w:tr>
            <w:tr w14:paraId="44350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86" w:hRule="atLeast"/>
              </w:trPr>
              <w:tc>
                <w:tcPr>
                  <w:tcW w:w="1456" w:type="dxa"/>
                  <w:vAlign w:val="center"/>
                </w:tcPr>
                <w:p w14:paraId="2D2AD37D">
                  <w:pPr>
                    <w:snapToGrid w:val="0"/>
                    <w:jc w:val="center"/>
                    <w:rPr>
                      <w:rFonts w:hint="eastAsia" w:eastAsia="宋体"/>
                      <w:b/>
                      <w:color w:val="auto"/>
                      <w:szCs w:val="21"/>
                      <w:lang w:val="en-US" w:eastAsia="zh-CN"/>
                    </w:rPr>
                  </w:pPr>
                  <w:r>
                    <w:rPr>
                      <w:rFonts w:hint="eastAsia"/>
                      <w:color w:val="auto"/>
                      <w:szCs w:val="21"/>
                    </w:rPr>
                    <w:t>熔融、制芯、浇注、落砂</w:t>
                  </w:r>
                  <w:r>
                    <w:rPr>
                      <w:rFonts w:hint="eastAsia"/>
                      <w:color w:val="auto"/>
                      <w:szCs w:val="21"/>
                      <w:lang w:eastAsia="zh-CN"/>
                    </w:rPr>
                    <w:t>、</w:t>
                  </w:r>
                  <w:r>
                    <w:rPr>
                      <w:rFonts w:hint="eastAsia"/>
                      <w:color w:val="auto"/>
                      <w:szCs w:val="21"/>
                      <w:lang w:val="en-US" w:eastAsia="zh-CN"/>
                    </w:rPr>
                    <w:t>打磨抛光</w:t>
                  </w:r>
                </w:p>
              </w:tc>
              <w:tc>
                <w:tcPr>
                  <w:tcW w:w="1269" w:type="dxa"/>
                  <w:vAlign w:val="center"/>
                </w:tcPr>
                <w:p w14:paraId="7A8D7C54">
                  <w:pPr>
                    <w:snapToGrid w:val="0"/>
                    <w:jc w:val="center"/>
                    <w:rPr>
                      <w:b/>
                      <w:color w:val="auto"/>
                      <w:szCs w:val="21"/>
                    </w:rPr>
                  </w:pPr>
                  <w:r>
                    <w:rPr>
                      <w:color w:val="auto"/>
                      <w:szCs w:val="21"/>
                    </w:rPr>
                    <w:t>颗粒物</w:t>
                  </w:r>
                </w:p>
              </w:tc>
              <w:tc>
                <w:tcPr>
                  <w:tcW w:w="1744" w:type="dxa"/>
                  <w:vAlign w:val="center"/>
                </w:tcPr>
                <w:p w14:paraId="127AADA0">
                  <w:pPr>
                    <w:snapToGrid w:val="0"/>
                    <w:jc w:val="center"/>
                    <w:rPr>
                      <w:bCs/>
                      <w:color w:val="auto"/>
                      <w:szCs w:val="21"/>
                    </w:rPr>
                  </w:pPr>
                  <w:r>
                    <w:rPr>
                      <w:rFonts w:hint="eastAsia"/>
                      <w:bCs/>
                      <w:color w:val="auto"/>
                      <w:szCs w:val="21"/>
                    </w:rPr>
                    <w:t>30</w:t>
                  </w:r>
                </w:p>
              </w:tc>
              <w:tc>
                <w:tcPr>
                  <w:tcW w:w="1692" w:type="dxa"/>
                  <w:vAlign w:val="center"/>
                </w:tcPr>
                <w:p w14:paraId="4E5DB3D4">
                  <w:pPr>
                    <w:snapToGrid w:val="0"/>
                    <w:jc w:val="center"/>
                    <w:rPr>
                      <w:bCs/>
                      <w:color w:val="auto"/>
                      <w:szCs w:val="21"/>
                    </w:rPr>
                  </w:pPr>
                  <w:r>
                    <w:rPr>
                      <w:rFonts w:hint="eastAsia"/>
                      <w:bCs/>
                      <w:color w:val="auto"/>
                      <w:szCs w:val="21"/>
                    </w:rPr>
                    <w:t>/</w:t>
                  </w:r>
                </w:p>
              </w:tc>
              <w:tc>
                <w:tcPr>
                  <w:tcW w:w="2269" w:type="dxa"/>
                  <w:vAlign w:val="center"/>
                </w:tcPr>
                <w:p w14:paraId="5991214B">
                  <w:pPr>
                    <w:snapToGrid w:val="0"/>
                    <w:jc w:val="center"/>
                    <w:rPr>
                      <w:bCs/>
                      <w:color w:val="auto"/>
                      <w:szCs w:val="21"/>
                    </w:rPr>
                  </w:pPr>
                  <w:r>
                    <w:rPr>
                      <w:bCs/>
                      <w:color w:val="auto"/>
                      <w:szCs w:val="21"/>
                    </w:rPr>
                    <w:t>《铸造工业大气污染物排放标准》</w:t>
                  </w:r>
                </w:p>
                <w:p w14:paraId="594FE270">
                  <w:pPr>
                    <w:snapToGrid w:val="0"/>
                    <w:jc w:val="center"/>
                    <w:rPr>
                      <w:b/>
                      <w:color w:val="auto"/>
                      <w:szCs w:val="21"/>
                    </w:rPr>
                  </w:pPr>
                  <w:r>
                    <w:rPr>
                      <w:bCs/>
                      <w:color w:val="auto"/>
                      <w:szCs w:val="21"/>
                    </w:rPr>
                    <w:t>（GB39726-2020</w:t>
                  </w:r>
                  <w:r>
                    <w:rPr>
                      <w:rFonts w:hint="eastAsia"/>
                      <w:bCs/>
                      <w:color w:val="auto"/>
                      <w:szCs w:val="21"/>
                    </w:rPr>
                    <w:t>）</w:t>
                  </w:r>
                </w:p>
              </w:tc>
            </w:tr>
            <w:tr w14:paraId="11E8F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69" w:hRule="atLeast"/>
              </w:trPr>
              <w:tc>
                <w:tcPr>
                  <w:tcW w:w="1456" w:type="dxa"/>
                  <w:vMerge w:val="restart"/>
                  <w:vAlign w:val="center"/>
                </w:tcPr>
                <w:p w14:paraId="78D5C044">
                  <w:pPr>
                    <w:snapToGrid w:val="0"/>
                    <w:jc w:val="center"/>
                    <w:rPr>
                      <w:rFonts w:hint="default" w:eastAsia="宋体"/>
                      <w:color w:val="auto"/>
                      <w:szCs w:val="21"/>
                      <w:lang w:val="en-US" w:eastAsia="zh-CN"/>
                    </w:rPr>
                  </w:pPr>
                  <w:r>
                    <w:rPr>
                      <w:rFonts w:hint="eastAsia"/>
                      <w:color w:val="auto"/>
                      <w:szCs w:val="21"/>
                    </w:rPr>
                    <w:t>制芯、浇注</w:t>
                  </w:r>
                </w:p>
              </w:tc>
              <w:tc>
                <w:tcPr>
                  <w:tcW w:w="1269" w:type="dxa"/>
                  <w:vAlign w:val="center"/>
                </w:tcPr>
                <w:p w14:paraId="3F582449">
                  <w:pPr>
                    <w:snapToGrid w:val="0"/>
                    <w:jc w:val="center"/>
                    <w:rPr>
                      <w:color w:val="auto"/>
                      <w:szCs w:val="21"/>
                    </w:rPr>
                  </w:pPr>
                  <w:r>
                    <w:rPr>
                      <w:rFonts w:hint="eastAsia"/>
                      <w:color w:val="auto"/>
                      <w:szCs w:val="21"/>
                    </w:rPr>
                    <w:t>非甲烷总烃</w:t>
                  </w:r>
                </w:p>
              </w:tc>
              <w:tc>
                <w:tcPr>
                  <w:tcW w:w="1744" w:type="dxa"/>
                  <w:vAlign w:val="center"/>
                </w:tcPr>
                <w:p w14:paraId="10AB0842">
                  <w:pPr>
                    <w:pStyle w:val="23"/>
                    <w:spacing w:after="0" w:line="240" w:lineRule="auto"/>
                    <w:ind w:firstLine="0" w:firstLineChars="0"/>
                    <w:jc w:val="center"/>
                    <w:rPr>
                      <w:color w:val="auto"/>
                      <w:sz w:val="21"/>
                      <w:szCs w:val="21"/>
                      <w:lang w:eastAsia="zh-CN"/>
                    </w:rPr>
                  </w:pPr>
                  <w:r>
                    <w:rPr>
                      <w:rFonts w:hint="eastAsia"/>
                      <w:color w:val="auto"/>
                      <w:sz w:val="21"/>
                      <w:szCs w:val="21"/>
                      <w:lang w:eastAsia="zh-CN"/>
                    </w:rPr>
                    <w:t>60</w:t>
                  </w:r>
                </w:p>
              </w:tc>
              <w:tc>
                <w:tcPr>
                  <w:tcW w:w="1692" w:type="dxa"/>
                  <w:vAlign w:val="center"/>
                </w:tcPr>
                <w:p w14:paraId="1DCB8B75">
                  <w:pPr>
                    <w:snapToGrid w:val="0"/>
                    <w:jc w:val="center"/>
                    <w:rPr>
                      <w:bCs/>
                      <w:color w:val="auto"/>
                      <w:szCs w:val="21"/>
                    </w:rPr>
                  </w:pPr>
                  <w:r>
                    <w:rPr>
                      <w:rFonts w:hint="eastAsia"/>
                      <w:bCs/>
                      <w:color w:val="auto"/>
                      <w:szCs w:val="21"/>
                    </w:rPr>
                    <w:t>3</w:t>
                  </w:r>
                </w:p>
              </w:tc>
              <w:tc>
                <w:tcPr>
                  <w:tcW w:w="2269" w:type="dxa"/>
                  <w:vMerge w:val="restart"/>
                  <w:vAlign w:val="center"/>
                </w:tcPr>
                <w:p w14:paraId="59C962DE">
                  <w:pPr>
                    <w:snapToGrid w:val="0"/>
                    <w:jc w:val="center"/>
                    <w:rPr>
                      <w:bCs/>
                      <w:color w:val="auto"/>
                      <w:szCs w:val="21"/>
                    </w:rPr>
                  </w:pPr>
                  <w:r>
                    <w:rPr>
                      <w:rFonts w:hint="eastAsia"/>
                      <w:bCs/>
                      <w:color w:val="auto"/>
                      <w:szCs w:val="21"/>
                    </w:rPr>
                    <w:t>《大气污染物综合排放标准》（DB32/4041-2021</w:t>
                  </w:r>
                  <w:r>
                    <w:rPr>
                      <w:rFonts w:hint="eastAsia"/>
                      <w:bCs/>
                      <w:color w:val="auto"/>
                      <w:szCs w:val="21"/>
                      <w:lang w:eastAsia="zh-CN"/>
                    </w:rPr>
                    <w:t>）</w:t>
                  </w:r>
                </w:p>
              </w:tc>
            </w:tr>
            <w:tr w14:paraId="3B341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17" w:hRule="atLeast"/>
              </w:trPr>
              <w:tc>
                <w:tcPr>
                  <w:tcW w:w="1456" w:type="dxa"/>
                  <w:vMerge w:val="continue"/>
                  <w:vAlign w:val="center"/>
                </w:tcPr>
                <w:p w14:paraId="77E86E0A">
                  <w:pPr>
                    <w:snapToGrid w:val="0"/>
                    <w:jc w:val="center"/>
                    <w:rPr>
                      <w:rFonts w:hint="default" w:eastAsia="宋体"/>
                      <w:color w:val="auto"/>
                      <w:szCs w:val="21"/>
                      <w:lang w:val="en-US" w:eastAsia="zh-CN"/>
                    </w:rPr>
                  </w:pPr>
                </w:p>
              </w:tc>
              <w:tc>
                <w:tcPr>
                  <w:tcW w:w="1269" w:type="dxa"/>
                  <w:vAlign w:val="center"/>
                </w:tcPr>
                <w:p w14:paraId="797DB2CA">
                  <w:pPr>
                    <w:snapToGrid w:val="0"/>
                    <w:jc w:val="center"/>
                    <w:rPr>
                      <w:rFonts w:hint="eastAsia" w:eastAsia="宋体"/>
                      <w:color w:val="auto"/>
                      <w:szCs w:val="21"/>
                      <w:lang w:val="en-US" w:eastAsia="zh-CN"/>
                    </w:rPr>
                  </w:pPr>
                  <w:r>
                    <w:rPr>
                      <w:rFonts w:hint="eastAsia"/>
                      <w:color w:val="auto"/>
                      <w:szCs w:val="21"/>
                      <w:lang w:val="en-US" w:eastAsia="zh-CN"/>
                    </w:rPr>
                    <w:t>甲醛</w:t>
                  </w:r>
                </w:p>
              </w:tc>
              <w:tc>
                <w:tcPr>
                  <w:tcW w:w="1744" w:type="dxa"/>
                  <w:vAlign w:val="center"/>
                </w:tcPr>
                <w:p w14:paraId="589FC67A">
                  <w:pPr>
                    <w:pStyle w:val="23"/>
                    <w:spacing w:after="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w:t>
                  </w:r>
                </w:p>
              </w:tc>
              <w:tc>
                <w:tcPr>
                  <w:tcW w:w="1692" w:type="dxa"/>
                  <w:vAlign w:val="center"/>
                </w:tcPr>
                <w:p w14:paraId="7AB41E89">
                  <w:pPr>
                    <w:snapToGrid w:val="0"/>
                    <w:jc w:val="center"/>
                    <w:rPr>
                      <w:rFonts w:hint="default" w:eastAsia="宋体"/>
                      <w:bCs/>
                      <w:color w:val="auto"/>
                      <w:szCs w:val="21"/>
                      <w:lang w:val="en-US" w:eastAsia="zh-CN"/>
                    </w:rPr>
                  </w:pPr>
                  <w:r>
                    <w:rPr>
                      <w:rFonts w:hint="eastAsia"/>
                      <w:bCs/>
                      <w:color w:val="auto"/>
                      <w:szCs w:val="21"/>
                      <w:lang w:val="en-US" w:eastAsia="zh-CN"/>
                    </w:rPr>
                    <w:t>0.1</w:t>
                  </w:r>
                </w:p>
              </w:tc>
              <w:tc>
                <w:tcPr>
                  <w:tcW w:w="2269" w:type="dxa"/>
                  <w:vMerge w:val="continue"/>
                  <w:vAlign w:val="center"/>
                </w:tcPr>
                <w:p w14:paraId="2CC723F2">
                  <w:pPr>
                    <w:snapToGrid w:val="0"/>
                    <w:jc w:val="center"/>
                    <w:rPr>
                      <w:rFonts w:hint="eastAsia"/>
                      <w:bCs/>
                      <w:color w:val="auto"/>
                      <w:szCs w:val="21"/>
                    </w:rPr>
                  </w:pPr>
                </w:p>
              </w:tc>
            </w:tr>
            <w:tr w14:paraId="3AF7C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trPr>
              <w:tc>
                <w:tcPr>
                  <w:tcW w:w="1456" w:type="dxa"/>
                  <w:vMerge w:val="continue"/>
                  <w:vAlign w:val="center"/>
                </w:tcPr>
                <w:p w14:paraId="15594C2C">
                  <w:pPr>
                    <w:snapToGrid w:val="0"/>
                    <w:jc w:val="center"/>
                    <w:rPr>
                      <w:rFonts w:hint="eastAsia"/>
                      <w:color w:val="auto"/>
                      <w:szCs w:val="21"/>
                    </w:rPr>
                  </w:pPr>
                </w:p>
              </w:tc>
              <w:tc>
                <w:tcPr>
                  <w:tcW w:w="1269" w:type="dxa"/>
                  <w:vAlign w:val="center"/>
                </w:tcPr>
                <w:p w14:paraId="37E4D69B">
                  <w:pPr>
                    <w:snapToGrid w:val="0"/>
                    <w:jc w:val="center"/>
                    <w:rPr>
                      <w:rFonts w:hint="eastAsia" w:eastAsia="宋体"/>
                      <w:color w:val="auto"/>
                      <w:szCs w:val="21"/>
                      <w:lang w:val="en-US" w:eastAsia="zh-CN"/>
                    </w:rPr>
                  </w:pPr>
                  <w:r>
                    <w:rPr>
                      <w:rFonts w:hint="eastAsia" w:ascii="Times New Roman" w:hAnsi="Times New Roman" w:eastAsia="宋体" w:cs="Times New Roman"/>
                      <w:color w:val="auto"/>
                      <w:szCs w:val="21"/>
                      <w:lang w:val="en-US" w:eastAsia="zh-CN"/>
                    </w:rPr>
                    <w:t>酚类</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苯酚</w:t>
                  </w:r>
                  <w:r>
                    <w:rPr>
                      <w:rFonts w:hint="eastAsia" w:ascii="Times New Roman" w:hAnsi="Times New Roman" w:eastAsia="宋体" w:cs="Times New Roman"/>
                      <w:color w:val="auto"/>
                      <w:szCs w:val="21"/>
                      <w:lang w:eastAsia="zh-CN"/>
                    </w:rPr>
                    <w:t>）</w:t>
                  </w:r>
                </w:p>
              </w:tc>
              <w:tc>
                <w:tcPr>
                  <w:tcW w:w="1744" w:type="dxa"/>
                  <w:vAlign w:val="center"/>
                </w:tcPr>
                <w:p w14:paraId="67FFD1CF">
                  <w:pPr>
                    <w:pStyle w:val="23"/>
                    <w:spacing w:after="0" w:line="240" w:lineRule="auto"/>
                    <w:ind w:firstLine="0" w:firstLineChars="0"/>
                    <w:jc w:val="center"/>
                    <w:rPr>
                      <w:rFonts w:hint="default"/>
                      <w:color w:val="auto"/>
                      <w:sz w:val="21"/>
                      <w:szCs w:val="21"/>
                      <w:lang w:val="en-US" w:eastAsia="zh-CN"/>
                    </w:rPr>
                  </w:pPr>
                  <w:r>
                    <w:rPr>
                      <w:rFonts w:hint="eastAsia"/>
                      <w:color w:val="auto"/>
                      <w:sz w:val="21"/>
                      <w:szCs w:val="21"/>
                      <w:lang w:eastAsia="zh-CN"/>
                    </w:rPr>
                    <w:t>20</w:t>
                  </w:r>
                </w:p>
              </w:tc>
              <w:tc>
                <w:tcPr>
                  <w:tcW w:w="1692" w:type="dxa"/>
                  <w:vAlign w:val="center"/>
                </w:tcPr>
                <w:p w14:paraId="04D5E15B">
                  <w:pPr>
                    <w:pStyle w:val="23"/>
                    <w:spacing w:after="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0.072</w:t>
                  </w:r>
                </w:p>
              </w:tc>
              <w:tc>
                <w:tcPr>
                  <w:tcW w:w="2269" w:type="dxa"/>
                  <w:vMerge w:val="continue"/>
                  <w:vAlign w:val="center"/>
                </w:tcPr>
                <w:p w14:paraId="20385871">
                  <w:pPr>
                    <w:snapToGrid w:val="0"/>
                    <w:jc w:val="center"/>
                    <w:rPr>
                      <w:rFonts w:hint="eastAsia"/>
                      <w:bCs/>
                      <w:color w:val="auto"/>
                      <w:szCs w:val="21"/>
                    </w:rPr>
                  </w:pPr>
                </w:p>
              </w:tc>
            </w:tr>
          </w:tbl>
          <w:p w14:paraId="75F280DD">
            <w:pPr>
              <w:pStyle w:val="81"/>
              <w:snapToGrid w:val="0"/>
              <w:spacing w:beforeLines="50" w:line="240" w:lineRule="auto"/>
              <w:ind w:firstLine="0" w:firstLineChars="0"/>
              <w:jc w:val="center"/>
              <w:rPr>
                <w:rFonts w:ascii="Times New Roman"/>
                <w:b/>
                <w:color w:val="auto"/>
                <w:sz w:val="20"/>
              </w:rPr>
            </w:pPr>
            <w:r>
              <w:rPr>
                <w:rFonts w:ascii="Times New Roman" w:hAnsi="宋体"/>
                <w:b/>
                <w:color w:val="auto"/>
                <w:szCs w:val="21"/>
              </w:rPr>
              <w:t>表</w:t>
            </w:r>
            <w:r>
              <w:rPr>
                <w:rFonts w:ascii="Times New Roman"/>
                <w:b/>
                <w:color w:val="auto"/>
                <w:szCs w:val="21"/>
              </w:rPr>
              <w:t>3-</w:t>
            </w:r>
            <w:r>
              <w:rPr>
                <w:rFonts w:hint="eastAsia" w:ascii="Times New Roman"/>
                <w:b/>
                <w:color w:val="auto"/>
                <w:szCs w:val="21"/>
                <w:lang w:val="en-US" w:eastAsia="zh-CN"/>
              </w:rPr>
              <w:t>10</w:t>
            </w:r>
            <w:r>
              <w:rPr>
                <w:rFonts w:ascii="Times New Roman" w:hAnsi="宋体"/>
                <w:b/>
                <w:color w:val="auto"/>
                <w:szCs w:val="21"/>
              </w:rPr>
              <w:t>厂界无组织排放标准</w:t>
            </w:r>
          </w:p>
          <w:tbl>
            <w:tblPr>
              <w:tblStyle w:val="25"/>
              <w:tblW w:w="84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710"/>
              <w:gridCol w:w="1680"/>
              <w:gridCol w:w="930"/>
              <w:gridCol w:w="3009"/>
            </w:tblGrid>
            <w:tr w14:paraId="5BAE2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2" w:type="pct"/>
                  <w:gridSpan w:val="2"/>
                  <w:vAlign w:val="center"/>
                </w:tcPr>
                <w:p w14:paraId="5DB94D21">
                  <w:pPr>
                    <w:pStyle w:val="81"/>
                    <w:snapToGrid w:val="0"/>
                    <w:spacing w:line="240" w:lineRule="auto"/>
                    <w:ind w:firstLine="0" w:firstLineChars="0"/>
                    <w:jc w:val="center"/>
                    <w:rPr>
                      <w:rFonts w:ascii="Times New Roman"/>
                      <w:b/>
                      <w:bCs/>
                      <w:color w:val="auto"/>
                      <w:szCs w:val="21"/>
                    </w:rPr>
                  </w:pPr>
                  <w:r>
                    <w:rPr>
                      <w:rFonts w:ascii="Times New Roman" w:hAnsi="宋体"/>
                      <w:b/>
                      <w:bCs/>
                      <w:color w:val="auto"/>
                      <w:szCs w:val="21"/>
                    </w:rPr>
                    <w:t>污染物名称</w:t>
                  </w:r>
                </w:p>
              </w:tc>
              <w:tc>
                <w:tcPr>
                  <w:tcW w:w="997" w:type="pct"/>
                  <w:vAlign w:val="center"/>
                </w:tcPr>
                <w:p w14:paraId="67A0514D">
                  <w:pPr>
                    <w:pStyle w:val="81"/>
                    <w:snapToGrid w:val="0"/>
                    <w:spacing w:line="240" w:lineRule="auto"/>
                    <w:ind w:firstLine="0" w:firstLineChars="0"/>
                    <w:jc w:val="center"/>
                    <w:rPr>
                      <w:rFonts w:ascii="Times New Roman"/>
                      <w:b/>
                      <w:bCs/>
                      <w:color w:val="auto"/>
                      <w:szCs w:val="21"/>
                    </w:rPr>
                  </w:pPr>
                  <w:r>
                    <w:rPr>
                      <w:rFonts w:ascii="Times New Roman" w:hAnsi="宋体"/>
                      <w:b/>
                      <w:bCs/>
                      <w:color w:val="auto"/>
                      <w:szCs w:val="21"/>
                    </w:rPr>
                    <w:t>监控浓度限值（</w:t>
                  </w:r>
                  <w:r>
                    <w:rPr>
                      <w:rFonts w:ascii="Times New Roman"/>
                      <w:b/>
                      <w:bCs/>
                      <w:color w:val="auto"/>
                      <w:szCs w:val="21"/>
                    </w:rPr>
                    <w:t>mg/m</w:t>
                  </w:r>
                  <w:r>
                    <w:rPr>
                      <w:rFonts w:ascii="Times New Roman"/>
                      <w:b/>
                      <w:bCs/>
                      <w:color w:val="auto"/>
                      <w:szCs w:val="21"/>
                      <w:vertAlign w:val="superscript"/>
                    </w:rPr>
                    <w:t>3</w:t>
                  </w:r>
                  <w:r>
                    <w:rPr>
                      <w:rFonts w:ascii="Times New Roman" w:hAnsi="宋体"/>
                      <w:b/>
                      <w:bCs/>
                      <w:color w:val="auto"/>
                      <w:szCs w:val="21"/>
                    </w:rPr>
                    <w:t>）</w:t>
                  </w:r>
                </w:p>
              </w:tc>
              <w:tc>
                <w:tcPr>
                  <w:tcW w:w="552" w:type="pct"/>
                  <w:vAlign w:val="center"/>
                </w:tcPr>
                <w:p w14:paraId="4AE09752">
                  <w:pPr>
                    <w:pStyle w:val="81"/>
                    <w:snapToGrid w:val="0"/>
                    <w:spacing w:line="240" w:lineRule="auto"/>
                    <w:ind w:firstLine="0" w:firstLineChars="0"/>
                    <w:jc w:val="center"/>
                    <w:rPr>
                      <w:rFonts w:ascii="Times New Roman" w:hAnsi="宋体"/>
                      <w:b/>
                      <w:bCs/>
                      <w:color w:val="auto"/>
                      <w:szCs w:val="21"/>
                    </w:rPr>
                  </w:pPr>
                  <w:r>
                    <w:rPr>
                      <w:rFonts w:ascii="Times New Roman" w:hAnsi="宋体"/>
                      <w:b/>
                      <w:bCs/>
                      <w:color w:val="auto"/>
                      <w:szCs w:val="21"/>
                    </w:rPr>
                    <w:t>监控</w:t>
                  </w:r>
                </w:p>
                <w:p w14:paraId="6824B696">
                  <w:pPr>
                    <w:pStyle w:val="81"/>
                    <w:snapToGrid w:val="0"/>
                    <w:spacing w:line="240" w:lineRule="auto"/>
                    <w:ind w:firstLine="0" w:firstLineChars="0"/>
                    <w:jc w:val="center"/>
                    <w:rPr>
                      <w:rFonts w:ascii="Times New Roman"/>
                      <w:b/>
                      <w:bCs/>
                      <w:color w:val="auto"/>
                      <w:szCs w:val="21"/>
                    </w:rPr>
                  </w:pPr>
                  <w:r>
                    <w:rPr>
                      <w:rFonts w:ascii="Times New Roman" w:hAnsi="宋体"/>
                      <w:b/>
                      <w:bCs/>
                      <w:color w:val="auto"/>
                      <w:szCs w:val="21"/>
                    </w:rPr>
                    <w:t>位置</w:t>
                  </w:r>
                </w:p>
              </w:tc>
              <w:tc>
                <w:tcPr>
                  <w:tcW w:w="1787" w:type="pct"/>
                  <w:vAlign w:val="center"/>
                </w:tcPr>
                <w:p w14:paraId="1B360919">
                  <w:pPr>
                    <w:pStyle w:val="81"/>
                    <w:snapToGrid w:val="0"/>
                    <w:spacing w:line="240" w:lineRule="auto"/>
                    <w:ind w:firstLine="0" w:firstLineChars="0"/>
                    <w:jc w:val="center"/>
                    <w:rPr>
                      <w:rFonts w:ascii="Times New Roman"/>
                      <w:b/>
                      <w:bCs/>
                      <w:color w:val="auto"/>
                      <w:szCs w:val="21"/>
                    </w:rPr>
                  </w:pPr>
                  <w:r>
                    <w:rPr>
                      <w:rFonts w:ascii="Times New Roman" w:hAnsi="宋体"/>
                      <w:b/>
                      <w:bCs/>
                      <w:color w:val="auto"/>
                      <w:szCs w:val="21"/>
                    </w:rPr>
                    <w:t>依据</w:t>
                  </w:r>
                </w:p>
              </w:tc>
            </w:tr>
            <w:tr w14:paraId="1D529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7" w:type="pct"/>
                  <w:vAlign w:val="center"/>
                </w:tcPr>
                <w:p w14:paraId="1FE06D74">
                  <w:pPr>
                    <w:pStyle w:val="82"/>
                    <w:rPr>
                      <w:rFonts w:eastAsia="宋体"/>
                      <w:b w:val="0"/>
                      <w:bCs w:val="0"/>
                      <w:color w:val="auto"/>
                      <w:sz w:val="21"/>
                      <w:szCs w:val="21"/>
                    </w:rPr>
                  </w:pPr>
                  <w:r>
                    <w:rPr>
                      <w:rFonts w:hAnsi="宋体" w:eastAsia="宋体"/>
                      <w:b w:val="0"/>
                      <w:bCs w:val="0"/>
                      <w:color w:val="auto"/>
                      <w:sz w:val="21"/>
                      <w:szCs w:val="21"/>
                    </w:rPr>
                    <w:t>颗粒物</w:t>
                  </w:r>
                </w:p>
              </w:tc>
              <w:tc>
                <w:tcPr>
                  <w:tcW w:w="1015" w:type="pct"/>
                  <w:vAlign w:val="center"/>
                </w:tcPr>
                <w:p w14:paraId="6FEE58E4">
                  <w:pPr>
                    <w:pStyle w:val="82"/>
                    <w:rPr>
                      <w:rFonts w:eastAsia="宋体"/>
                      <w:b w:val="0"/>
                      <w:bCs w:val="0"/>
                      <w:color w:val="auto"/>
                      <w:sz w:val="21"/>
                      <w:szCs w:val="21"/>
                    </w:rPr>
                  </w:pPr>
                  <w:r>
                    <w:rPr>
                      <w:rFonts w:hAnsi="宋体" w:eastAsia="宋体"/>
                      <w:b w:val="0"/>
                      <w:bCs w:val="0"/>
                      <w:color w:val="auto"/>
                      <w:sz w:val="21"/>
                      <w:szCs w:val="21"/>
                    </w:rPr>
                    <w:t>其他颗粒物</w:t>
                  </w:r>
                </w:p>
              </w:tc>
              <w:tc>
                <w:tcPr>
                  <w:tcW w:w="997" w:type="pct"/>
                  <w:vAlign w:val="center"/>
                </w:tcPr>
                <w:p w14:paraId="1416B6C7">
                  <w:pPr>
                    <w:pStyle w:val="82"/>
                    <w:rPr>
                      <w:rFonts w:eastAsia="宋体"/>
                      <w:b w:val="0"/>
                      <w:bCs w:val="0"/>
                      <w:color w:val="auto"/>
                      <w:sz w:val="21"/>
                      <w:szCs w:val="21"/>
                    </w:rPr>
                  </w:pPr>
                  <w:r>
                    <w:rPr>
                      <w:rFonts w:eastAsia="宋体"/>
                      <w:b w:val="0"/>
                      <w:bCs w:val="0"/>
                      <w:color w:val="auto"/>
                      <w:sz w:val="21"/>
                      <w:szCs w:val="21"/>
                    </w:rPr>
                    <w:t>0.5</w:t>
                  </w:r>
                </w:p>
              </w:tc>
              <w:tc>
                <w:tcPr>
                  <w:tcW w:w="552" w:type="pct"/>
                  <w:vMerge w:val="restart"/>
                  <w:vAlign w:val="center"/>
                </w:tcPr>
                <w:p w14:paraId="5AE7C4B0">
                  <w:pPr>
                    <w:pStyle w:val="82"/>
                    <w:rPr>
                      <w:rFonts w:hAnsi="宋体" w:eastAsia="宋体"/>
                      <w:b w:val="0"/>
                      <w:bCs w:val="0"/>
                      <w:color w:val="auto"/>
                      <w:sz w:val="21"/>
                      <w:szCs w:val="21"/>
                    </w:rPr>
                  </w:pPr>
                  <w:r>
                    <w:rPr>
                      <w:rFonts w:hAnsi="宋体" w:eastAsia="宋体"/>
                      <w:b w:val="0"/>
                      <w:bCs w:val="0"/>
                      <w:color w:val="auto"/>
                      <w:sz w:val="21"/>
                      <w:szCs w:val="21"/>
                    </w:rPr>
                    <w:t>边界外浓度</w:t>
                  </w:r>
                </w:p>
                <w:p w14:paraId="2D0D6A1D">
                  <w:pPr>
                    <w:pStyle w:val="82"/>
                    <w:rPr>
                      <w:rFonts w:eastAsia="宋体"/>
                      <w:b w:val="0"/>
                      <w:bCs w:val="0"/>
                      <w:color w:val="auto"/>
                      <w:sz w:val="21"/>
                      <w:szCs w:val="21"/>
                    </w:rPr>
                  </w:pPr>
                  <w:r>
                    <w:rPr>
                      <w:rFonts w:hAnsi="宋体" w:eastAsia="宋体"/>
                      <w:b w:val="0"/>
                      <w:bCs w:val="0"/>
                      <w:color w:val="auto"/>
                      <w:sz w:val="21"/>
                      <w:szCs w:val="21"/>
                    </w:rPr>
                    <w:t>监控点</w:t>
                  </w:r>
                </w:p>
              </w:tc>
              <w:tc>
                <w:tcPr>
                  <w:tcW w:w="1787" w:type="pct"/>
                  <w:vMerge w:val="restart"/>
                  <w:vAlign w:val="center"/>
                </w:tcPr>
                <w:p w14:paraId="510850C6">
                  <w:pPr>
                    <w:pStyle w:val="82"/>
                    <w:rPr>
                      <w:rFonts w:eastAsia="宋体"/>
                      <w:b w:val="0"/>
                      <w:bCs w:val="0"/>
                      <w:color w:val="auto"/>
                      <w:sz w:val="21"/>
                      <w:szCs w:val="21"/>
                    </w:rPr>
                  </w:pPr>
                  <w:r>
                    <w:rPr>
                      <w:rFonts w:hAnsi="宋体" w:eastAsia="宋体"/>
                      <w:b w:val="0"/>
                      <w:bCs w:val="0"/>
                      <w:color w:val="auto"/>
                      <w:sz w:val="21"/>
                      <w:szCs w:val="21"/>
                    </w:rPr>
                    <w:t>《大气污染物综合排放标准》（</w:t>
                  </w:r>
                  <w:r>
                    <w:rPr>
                      <w:rFonts w:eastAsia="宋体"/>
                      <w:b w:val="0"/>
                      <w:bCs w:val="0"/>
                      <w:color w:val="auto"/>
                      <w:sz w:val="21"/>
                      <w:szCs w:val="21"/>
                    </w:rPr>
                    <w:t>DB32/4041-2021</w:t>
                  </w:r>
                  <w:r>
                    <w:rPr>
                      <w:rFonts w:hAnsi="宋体" w:eastAsia="宋体"/>
                      <w:b w:val="0"/>
                      <w:bCs w:val="0"/>
                      <w:color w:val="auto"/>
                      <w:sz w:val="21"/>
                      <w:szCs w:val="21"/>
                    </w:rPr>
                    <w:t>）</w:t>
                  </w:r>
                </w:p>
              </w:tc>
            </w:tr>
            <w:tr w14:paraId="6A636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62" w:type="pct"/>
                  <w:gridSpan w:val="2"/>
                  <w:vAlign w:val="center"/>
                </w:tcPr>
                <w:p w14:paraId="087AE631">
                  <w:pPr>
                    <w:pStyle w:val="82"/>
                    <w:rPr>
                      <w:rFonts w:eastAsia="宋体"/>
                      <w:b w:val="0"/>
                      <w:bCs w:val="0"/>
                      <w:color w:val="auto"/>
                      <w:sz w:val="21"/>
                      <w:szCs w:val="21"/>
                    </w:rPr>
                  </w:pPr>
                  <w:r>
                    <w:rPr>
                      <w:rFonts w:hAnsi="宋体" w:eastAsia="宋体"/>
                      <w:b w:val="0"/>
                      <w:bCs w:val="0"/>
                      <w:color w:val="auto"/>
                      <w:sz w:val="21"/>
                      <w:szCs w:val="21"/>
                    </w:rPr>
                    <w:t>非甲烷总烃</w:t>
                  </w:r>
                </w:p>
              </w:tc>
              <w:tc>
                <w:tcPr>
                  <w:tcW w:w="997" w:type="pct"/>
                  <w:vAlign w:val="center"/>
                </w:tcPr>
                <w:p w14:paraId="565FAB1A">
                  <w:pPr>
                    <w:pStyle w:val="82"/>
                    <w:rPr>
                      <w:rFonts w:eastAsia="宋体"/>
                      <w:b w:val="0"/>
                      <w:bCs w:val="0"/>
                      <w:color w:val="auto"/>
                      <w:sz w:val="21"/>
                      <w:szCs w:val="21"/>
                    </w:rPr>
                  </w:pPr>
                  <w:r>
                    <w:rPr>
                      <w:rFonts w:eastAsia="宋体"/>
                      <w:b w:val="0"/>
                      <w:bCs w:val="0"/>
                      <w:color w:val="auto"/>
                      <w:sz w:val="21"/>
                      <w:szCs w:val="21"/>
                    </w:rPr>
                    <w:t>4</w:t>
                  </w:r>
                </w:p>
              </w:tc>
              <w:tc>
                <w:tcPr>
                  <w:tcW w:w="552" w:type="pct"/>
                  <w:vMerge w:val="continue"/>
                  <w:vAlign w:val="center"/>
                </w:tcPr>
                <w:p w14:paraId="1757F27B">
                  <w:pPr>
                    <w:widowControl/>
                    <w:snapToGrid w:val="0"/>
                    <w:jc w:val="center"/>
                    <w:rPr>
                      <w:color w:val="auto"/>
                      <w:szCs w:val="21"/>
                    </w:rPr>
                  </w:pPr>
                </w:p>
              </w:tc>
              <w:tc>
                <w:tcPr>
                  <w:tcW w:w="1787" w:type="pct"/>
                  <w:vMerge w:val="continue"/>
                  <w:vAlign w:val="center"/>
                </w:tcPr>
                <w:p w14:paraId="730A268D">
                  <w:pPr>
                    <w:widowControl/>
                    <w:snapToGrid w:val="0"/>
                    <w:jc w:val="center"/>
                    <w:rPr>
                      <w:color w:val="auto"/>
                      <w:szCs w:val="21"/>
                    </w:rPr>
                  </w:pPr>
                </w:p>
              </w:tc>
            </w:tr>
            <w:tr w14:paraId="7C5BD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62" w:type="pct"/>
                  <w:gridSpan w:val="2"/>
                  <w:vAlign w:val="center"/>
                </w:tcPr>
                <w:p w14:paraId="1BD470E2">
                  <w:pPr>
                    <w:snapToGrid w:val="0"/>
                    <w:jc w:val="center"/>
                    <w:rPr>
                      <w:rFonts w:hAnsi="宋体" w:eastAsia="宋体"/>
                      <w:b w:val="0"/>
                      <w:bCs w:val="0"/>
                      <w:color w:val="auto"/>
                      <w:sz w:val="21"/>
                      <w:szCs w:val="21"/>
                    </w:rPr>
                  </w:pPr>
                  <w:r>
                    <w:rPr>
                      <w:rFonts w:hint="eastAsia"/>
                      <w:color w:val="auto"/>
                      <w:szCs w:val="21"/>
                      <w:lang w:val="en-US" w:eastAsia="zh-CN"/>
                    </w:rPr>
                    <w:t>甲醛</w:t>
                  </w:r>
                </w:p>
              </w:tc>
              <w:tc>
                <w:tcPr>
                  <w:tcW w:w="997" w:type="pct"/>
                  <w:vAlign w:val="center"/>
                </w:tcPr>
                <w:p w14:paraId="2F8D607B">
                  <w:pPr>
                    <w:pStyle w:val="82"/>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0.05</w:t>
                  </w:r>
                </w:p>
              </w:tc>
              <w:tc>
                <w:tcPr>
                  <w:tcW w:w="552" w:type="pct"/>
                  <w:vMerge w:val="continue"/>
                  <w:vAlign w:val="center"/>
                </w:tcPr>
                <w:p w14:paraId="1DBEA5BF">
                  <w:pPr>
                    <w:widowControl/>
                    <w:snapToGrid w:val="0"/>
                    <w:jc w:val="center"/>
                    <w:rPr>
                      <w:color w:val="auto"/>
                      <w:szCs w:val="21"/>
                    </w:rPr>
                  </w:pPr>
                </w:p>
              </w:tc>
              <w:tc>
                <w:tcPr>
                  <w:tcW w:w="1787" w:type="pct"/>
                  <w:vMerge w:val="continue"/>
                  <w:vAlign w:val="center"/>
                </w:tcPr>
                <w:p w14:paraId="213C7B11">
                  <w:pPr>
                    <w:widowControl/>
                    <w:snapToGrid w:val="0"/>
                    <w:jc w:val="center"/>
                    <w:rPr>
                      <w:color w:val="auto"/>
                      <w:szCs w:val="21"/>
                    </w:rPr>
                  </w:pPr>
                </w:p>
              </w:tc>
            </w:tr>
            <w:tr w14:paraId="330DF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62" w:type="pct"/>
                  <w:gridSpan w:val="2"/>
                  <w:vAlign w:val="center"/>
                </w:tcPr>
                <w:p w14:paraId="21324279">
                  <w:pPr>
                    <w:snapToGrid w:val="0"/>
                    <w:jc w:val="center"/>
                    <w:rPr>
                      <w:rFonts w:hAnsi="宋体" w:eastAsia="宋体"/>
                      <w:b w:val="0"/>
                      <w:bCs w:val="0"/>
                      <w:color w:val="auto"/>
                      <w:sz w:val="21"/>
                      <w:szCs w:val="21"/>
                    </w:rPr>
                  </w:pPr>
                  <w:r>
                    <w:rPr>
                      <w:rFonts w:hint="eastAsia" w:ascii="Times New Roman" w:hAnsi="Times New Roman" w:eastAsia="宋体" w:cs="Times New Roman"/>
                      <w:color w:val="auto"/>
                      <w:szCs w:val="21"/>
                      <w:lang w:val="en-US" w:eastAsia="zh-CN"/>
                    </w:rPr>
                    <w:t>酚类</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苯酚</w:t>
                  </w:r>
                  <w:r>
                    <w:rPr>
                      <w:rFonts w:hint="eastAsia" w:ascii="Times New Roman" w:hAnsi="Times New Roman" w:eastAsia="宋体" w:cs="Times New Roman"/>
                      <w:color w:val="auto"/>
                      <w:szCs w:val="21"/>
                      <w:lang w:eastAsia="zh-CN"/>
                    </w:rPr>
                    <w:t>）</w:t>
                  </w:r>
                </w:p>
              </w:tc>
              <w:tc>
                <w:tcPr>
                  <w:tcW w:w="997" w:type="pct"/>
                  <w:vAlign w:val="center"/>
                </w:tcPr>
                <w:p w14:paraId="78F7FCA5">
                  <w:pPr>
                    <w:pStyle w:val="82"/>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0.02</w:t>
                  </w:r>
                </w:p>
              </w:tc>
              <w:tc>
                <w:tcPr>
                  <w:tcW w:w="552" w:type="pct"/>
                  <w:vMerge w:val="continue"/>
                  <w:vAlign w:val="center"/>
                </w:tcPr>
                <w:p w14:paraId="1D817D28">
                  <w:pPr>
                    <w:widowControl/>
                    <w:snapToGrid w:val="0"/>
                    <w:jc w:val="center"/>
                    <w:rPr>
                      <w:color w:val="auto"/>
                      <w:szCs w:val="21"/>
                    </w:rPr>
                  </w:pPr>
                </w:p>
              </w:tc>
              <w:tc>
                <w:tcPr>
                  <w:tcW w:w="1787" w:type="pct"/>
                  <w:vMerge w:val="continue"/>
                  <w:vAlign w:val="center"/>
                </w:tcPr>
                <w:p w14:paraId="45970B08">
                  <w:pPr>
                    <w:widowControl/>
                    <w:snapToGrid w:val="0"/>
                    <w:jc w:val="center"/>
                    <w:rPr>
                      <w:color w:val="auto"/>
                      <w:szCs w:val="21"/>
                    </w:rPr>
                  </w:pPr>
                </w:p>
              </w:tc>
            </w:tr>
            <w:tr w14:paraId="09F3B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62" w:type="pct"/>
                  <w:gridSpan w:val="2"/>
                  <w:vAlign w:val="center"/>
                </w:tcPr>
                <w:p w14:paraId="0F12B924">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rPr>
                    <w:t>臭气浓度</w:t>
                  </w:r>
                </w:p>
              </w:tc>
              <w:tc>
                <w:tcPr>
                  <w:tcW w:w="997" w:type="pct"/>
                  <w:vAlign w:val="center"/>
                </w:tcPr>
                <w:p w14:paraId="1088F441">
                  <w:pPr>
                    <w:adjustRightInd w:val="0"/>
                    <w:snapToGrid w:val="0"/>
                    <w:jc w:val="center"/>
                    <w:rPr>
                      <w:rFonts w:hint="eastAsia" w:eastAsia="宋体"/>
                      <w:b w:val="0"/>
                      <w:bCs w:val="0"/>
                      <w:color w:val="auto"/>
                      <w:sz w:val="21"/>
                      <w:szCs w:val="21"/>
                      <w:lang w:val="en-US" w:eastAsia="zh-CN"/>
                    </w:rPr>
                  </w:pPr>
                  <w:r>
                    <w:rPr>
                      <w:rFonts w:hint="eastAsia"/>
                      <w:color w:val="auto"/>
                      <w:szCs w:val="21"/>
                    </w:rPr>
                    <w:t>20（无量纲）</w:t>
                  </w:r>
                </w:p>
              </w:tc>
              <w:tc>
                <w:tcPr>
                  <w:tcW w:w="552" w:type="pct"/>
                  <w:vMerge w:val="continue"/>
                  <w:vAlign w:val="center"/>
                </w:tcPr>
                <w:p w14:paraId="46B33915">
                  <w:pPr>
                    <w:widowControl/>
                    <w:snapToGrid w:val="0"/>
                    <w:jc w:val="center"/>
                    <w:rPr>
                      <w:color w:val="auto"/>
                      <w:szCs w:val="21"/>
                    </w:rPr>
                  </w:pPr>
                </w:p>
              </w:tc>
              <w:tc>
                <w:tcPr>
                  <w:tcW w:w="1787" w:type="pct"/>
                  <w:vAlign w:val="center"/>
                </w:tcPr>
                <w:p w14:paraId="5B4A574B">
                  <w:pPr>
                    <w:widowControl/>
                    <w:snapToGrid w:val="0"/>
                    <w:jc w:val="center"/>
                    <w:rPr>
                      <w:color w:val="auto"/>
                      <w:szCs w:val="21"/>
                    </w:rPr>
                  </w:pPr>
                  <w:r>
                    <w:rPr>
                      <w:rFonts w:hint="eastAsia"/>
                      <w:color w:val="auto"/>
                      <w:szCs w:val="21"/>
                    </w:rPr>
                    <w:t>《恶臭污染物排放标准》（GB14554-93）表1二级标准</w:t>
                  </w:r>
                </w:p>
              </w:tc>
            </w:tr>
          </w:tbl>
          <w:p w14:paraId="18E1B532">
            <w:pPr>
              <w:spacing w:beforeLines="50"/>
              <w:jc w:val="center"/>
              <w:rPr>
                <w:b/>
                <w:bCs/>
                <w:color w:val="auto"/>
                <w:kern w:val="0"/>
                <w:szCs w:val="21"/>
              </w:rPr>
            </w:pPr>
            <w:r>
              <w:rPr>
                <w:rFonts w:hAnsi="宋体"/>
                <w:b/>
                <w:color w:val="auto"/>
                <w:szCs w:val="21"/>
              </w:rPr>
              <w:t>表</w:t>
            </w:r>
            <w:r>
              <w:rPr>
                <w:b/>
                <w:color w:val="auto"/>
                <w:szCs w:val="21"/>
              </w:rPr>
              <w:t>3-</w:t>
            </w:r>
            <w:r>
              <w:rPr>
                <w:rFonts w:hint="eastAsia"/>
                <w:b/>
                <w:color w:val="auto"/>
                <w:szCs w:val="21"/>
                <w:lang w:val="en-US" w:eastAsia="zh-CN"/>
              </w:rPr>
              <w:t>11</w:t>
            </w:r>
            <w:r>
              <w:rPr>
                <w:rFonts w:hint="eastAsia"/>
                <w:b/>
                <w:color w:val="auto"/>
                <w:kern w:val="0"/>
                <w:szCs w:val="21"/>
              </w:rPr>
              <w:t>厂区内</w:t>
            </w:r>
            <w:r>
              <w:rPr>
                <w:rFonts w:hint="eastAsia"/>
                <w:b/>
                <w:color w:val="auto"/>
                <w:kern w:val="0"/>
                <w:szCs w:val="21"/>
                <w:lang w:val="en-US" w:eastAsia="zh-CN"/>
              </w:rPr>
              <w:t>颗粒物、VOCs</w:t>
            </w:r>
            <w:r>
              <w:rPr>
                <w:rFonts w:hint="eastAsia"/>
                <w:b/>
                <w:color w:val="auto"/>
                <w:kern w:val="0"/>
                <w:szCs w:val="21"/>
              </w:rPr>
              <w:t>无组织排放限值</w:t>
            </w:r>
            <w:r>
              <w:rPr>
                <w:rFonts w:hint="eastAsia"/>
                <w:b/>
                <w:color w:val="auto"/>
                <w:kern w:val="0"/>
                <w:szCs w:val="21"/>
                <w:lang w:eastAsia="zh-CN"/>
              </w:rPr>
              <w:t>（</w:t>
            </w:r>
            <w:r>
              <w:rPr>
                <w:rFonts w:hint="eastAsia"/>
                <w:b/>
                <w:color w:val="auto"/>
                <w:kern w:val="0"/>
                <w:szCs w:val="21"/>
              </w:rPr>
              <w:t>单位：</w:t>
            </w:r>
            <w:r>
              <w:rPr>
                <w:b/>
                <w:color w:val="auto"/>
                <w:kern w:val="0"/>
                <w:szCs w:val="21"/>
              </w:rPr>
              <w:t>mg/m</w:t>
            </w:r>
            <w:r>
              <w:rPr>
                <w:b/>
                <w:color w:val="auto"/>
                <w:kern w:val="0"/>
                <w:szCs w:val="21"/>
                <w:vertAlign w:val="superscript"/>
              </w:rPr>
              <w:t>3</w:t>
            </w:r>
            <w:r>
              <w:rPr>
                <w:rFonts w:hint="eastAsia"/>
                <w:b/>
                <w:color w:val="auto"/>
                <w:kern w:val="0"/>
                <w:szCs w:val="21"/>
                <w:lang w:eastAsia="zh-CN"/>
              </w:rPr>
              <w:t>）</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41"/>
              <w:gridCol w:w="1098"/>
              <w:gridCol w:w="2550"/>
              <w:gridCol w:w="1495"/>
              <w:gridCol w:w="2210"/>
            </w:tblGrid>
            <w:tr w14:paraId="3E0493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9" w:hRule="atLeast"/>
              </w:trPr>
              <w:tc>
                <w:tcPr>
                  <w:tcW w:w="567" w:type="pct"/>
                  <w:tcBorders>
                    <w:top w:val="single" w:color="auto" w:sz="12" w:space="0"/>
                    <w:left w:val="nil"/>
                    <w:bottom w:val="single" w:color="auto" w:sz="2" w:space="0"/>
                    <w:right w:val="single" w:color="auto" w:sz="2" w:space="0"/>
                  </w:tcBorders>
                  <w:vAlign w:val="center"/>
                </w:tcPr>
                <w:p w14:paraId="060CBC8E">
                  <w:pPr>
                    <w:widowControl/>
                    <w:jc w:val="center"/>
                    <w:rPr>
                      <w:b/>
                      <w:color w:val="auto"/>
                      <w:kern w:val="0"/>
                      <w:szCs w:val="21"/>
                    </w:rPr>
                  </w:pPr>
                  <w:r>
                    <w:rPr>
                      <w:rFonts w:hint="eastAsia"/>
                      <w:b/>
                      <w:color w:val="auto"/>
                      <w:kern w:val="0"/>
                      <w:szCs w:val="21"/>
                    </w:rPr>
                    <w:t>污染物</w:t>
                  </w:r>
                </w:p>
              </w:tc>
              <w:tc>
                <w:tcPr>
                  <w:tcW w:w="661" w:type="pct"/>
                  <w:tcBorders>
                    <w:top w:val="single" w:color="auto" w:sz="12" w:space="0"/>
                    <w:left w:val="single" w:color="auto" w:sz="2" w:space="0"/>
                    <w:bottom w:val="single" w:color="auto" w:sz="2" w:space="0"/>
                    <w:right w:val="single" w:color="auto" w:sz="2" w:space="0"/>
                  </w:tcBorders>
                  <w:vAlign w:val="center"/>
                </w:tcPr>
                <w:p w14:paraId="18989389">
                  <w:pPr>
                    <w:widowControl/>
                    <w:jc w:val="center"/>
                    <w:rPr>
                      <w:b/>
                      <w:color w:val="auto"/>
                      <w:kern w:val="0"/>
                      <w:szCs w:val="21"/>
                    </w:rPr>
                  </w:pPr>
                  <w:r>
                    <w:rPr>
                      <w:rFonts w:hint="eastAsia"/>
                      <w:b/>
                      <w:color w:val="auto"/>
                      <w:kern w:val="0"/>
                      <w:szCs w:val="21"/>
                    </w:rPr>
                    <w:t>特别排放</w:t>
                  </w:r>
                </w:p>
                <w:p w14:paraId="527213AF">
                  <w:pPr>
                    <w:widowControl/>
                    <w:jc w:val="center"/>
                    <w:rPr>
                      <w:b/>
                      <w:color w:val="auto"/>
                      <w:kern w:val="0"/>
                      <w:szCs w:val="21"/>
                    </w:rPr>
                  </w:pPr>
                  <w:r>
                    <w:rPr>
                      <w:rFonts w:hint="eastAsia"/>
                      <w:b/>
                      <w:color w:val="auto"/>
                      <w:kern w:val="0"/>
                      <w:szCs w:val="21"/>
                    </w:rPr>
                    <w:t>限值</w:t>
                  </w:r>
                </w:p>
              </w:tc>
              <w:tc>
                <w:tcPr>
                  <w:tcW w:w="1537" w:type="pct"/>
                  <w:tcBorders>
                    <w:top w:val="single" w:color="auto" w:sz="12" w:space="0"/>
                    <w:left w:val="single" w:color="auto" w:sz="2" w:space="0"/>
                    <w:bottom w:val="single" w:color="auto" w:sz="2" w:space="0"/>
                    <w:right w:val="single" w:color="auto" w:sz="2" w:space="0"/>
                  </w:tcBorders>
                  <w:vAlign w:val="center"/>
                </w:tcPr>
                <w:p w14:paraId="1C1FEBC1">
                  <w:pPr>
                    <w:widowControl/>
                    <w:jc w:val="center"/>
                    <w:rPr>
                      <w:b/>
                      <w:color w:val="auto"/>
                      <w:kern w:val="0"/>
                      <w:szCs w:val="21"/>
                    </w:rPr>
                  </w:pPr>
                  <w:r>
                    <w:rPr>
                      <w:rFonts w:hint="eastAsia"/>
                      <w:b/>
                      <w:color w:val="auto"/>
                      <w:kern w:val="0"/>
                      <w:szCs w:val="21"/>
                    </w:rPr>
                    <w:t>限值含义</w:t>
                  </w:r>
                </w:p>
              </w:tc>
              <w:tc>
                <w:tcPr>
                  <w:tcW w:w="901" w:type="pct"/>
                  <w:tcBorders>
                    <w:top w:val="single" w:color="auto" w:sz="12" w:space="0"/>
                    <w:left w:val="single" w:color="auto" w:sz="2" w:space="0"/>
                    <w:bottom w:val="single" w:color="auto" w:sz="2" w:space="0"/>
                    <w:right w:val="single" w:color="auto" w:sz="4" w:space="0"/>
                  </w:tcBorders>
                  <w:vAlign w:val="center"/>
                </w:tcPr>
                <w:p w14:paraId="599CAF59">
                  <w:pPr>
                    <w:widowControl/>
                    <w:jc w:val="center"/>
                    <w:rPr>
                      <w:b/>
                      <w:color w:val="auto"/>
                      <w:kern w:val="0"/>
                      <w:szCs w:val="21"/>
                    </w:rPr>
                  </w:pPr>
                  <w:r>
                    <w:rPr>
                      <w:rFonts w:hint="eastAsia"/>
                      <w:b/>
                      <w:color w:val="auto"/>
                      <w:kern w:val="0"/>
                      <w:szCs w:val="21"/>
                    </w:rPr>
                    <w:t>无组织排放监控位置</w:t>
                  </w:r>
                </w:p>
              </w:tc>
              <w:tc>
                <w:tcPr>
                  <w:tcW w:w="1332" w:type="pct"/>
                  <w:tcBorders>
                    <w:top w:val="single" w:color="auto" w:sz="12" w:space="0"/>
                    <w:left w:val="single" w:color="auto" w:sz="4" w:space="0"/>
                    <w:bottom w:val="single" w:color="auto" w:sz="2" w:space="0"/>
                    <w:right w:val="nil"/>
                  </w:tcBorders>
                  <w:vAlign w:val="center"/>
                </w:tcPr>
                <w:p w14:paraId="46E10D78">
                  <w:pPr>
                    <w:widowControl/>
                    <w:jc w:val="center"/>
                    <w:rPr>
                      <w:b/>
                      <w:color w:val="auto"/>
                      <w:kern w:val="0"/>
                      <w:szCs w:val="21"/>
                    </w:rPr>
                  </w:pPr>
                  <w:r>
                    <w:rPr>
                      <w:rFonts w:hint="eastAsia"/>
                      <w:b/>
                      <w:color w:val="auto"/>
                      <w:kern w:val="0"/>
                      <w:szCs w:val="21"/>
                    </w:rPr>
                    <w:t>标准来源</w:t>
                  </w:r>
                </w:p>
              </w:tc>
            </w:tr>
            <w:tr w14:paraId="17B1B2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4" w:hRule="atLeast"/>
              </w:trPr>
              <w:tc>
                <w:tcPr>
                  <w:tcW w:w="567" w:type="pct"/>
                  <w:vMerge w:val="restart"/>
                  <w:tcBorders>
                    <w:top w:val="single" w:color="auto" w:sz="2" w:space="0"/>
                    <w:left w:val="nil"/>
                    <w:bottom w:val="single" w:color="auto" w:sz="12" w:space="0"/>
                    <w:right w:val="single" w:color="auto" w:sz="2" w:space="0"/>
                  </w:tcBorders>
                  <w:vAlign w:val="center"/>
                </w:tcPr>
                <w:p w14:paraId="155AD4CB">
                  <w:pPr>
                    <w:widowControl/>
                    <w:jc w:val="center"/>
                    <w:rPr>
                      <w:color w:val="auto"/>
                      <w:kern w:val="0"/>
                      <w:szCs w:val="21"/>
                    </w:rPr>
                  </w:pPr>
                  <w:r>
                    <w:rPr>
                      <w:color w:val="auto"/>
                      <w:kern w:val="0"/>
                      <w:szCs w:val="21"/>
                    </w:rPr>
                    <w:t>NMHC</w:t>
                  </w:r>
                </w:p>
              </w:tc>
              <w:tc>
                <w:tcPr>
                  <w:tcW w:w="661" w:type="pct"/>
                  <w:tcBorders>
                    <w:top w:val="single" w:color="auto" w:sz="2" w:space="0"/>
                    <w:left w:val="single" w:color="auto" w:sz="2" w:space="0"/>
                    <w:bottom w:val="single" w:color="auto" w:sz="2" w:space="0"/>
                    <w:right w:val="single" w:color="auto" w:sz="2" w:space="0"/>
                  </w:tcBorders>
                  <w:vAlign w:val="center"/>
                </w:tcPr>
                <w:p w14:paraId="1FA0695C">
                  <w:pPr>
                    <w:widowControl/>
                    <w:jc w:val="center"/>
                    <w:rPr>
                      <w:rFonts w:hint="default" w:eastAsia="宋体"/>
                      <w:color w:val="auto"/>
                      <w:kern w:val="0"/>
                      <w:szCs w:val="21"/>
                      <w:lang w:val="en-US" w:eastAsia="zh-CN"/>
                    </w:rPr>
                  </w:pPr>
                  <w:r>
                    <w:rPr>
                      <w:rFonts w:hint="eastAsia"/>
                      <w:color w:val="auto"/>
                      <w:kern w:val="0"/>
                      <w:szCs w:val="21"/>
                      <w:lang w:val="en-US" w:eastAsia="zh-CN"/>
                    </w:rPr>
                    <w:t>10</w:t>
                  </w:r>
                </w:p>
              </w:tc>
              <w:tc>
                <w:tcPr>
                  <w:tcW w:w="1537" w:type="pct"/>
                  <w:tcBorders>
                    <w:top w:val="single" w:color="auto" w:sz="2" w:space="0"/>
                    <w:left w:val="single" w:color="auto" w:sz="2" w:space="0"/>
                    <w:bottom w:val="single" w:color="auto" w:sz="2" w:space="0"/>
                    <w:right w:val="single" w:color="auto" w:sz="2" w:space="0"/>
                  </w:tcBorders>
                  <w:vAlign w:val="center"/>
                </w:tcPr>
                <w:p w14:paraId="0898D0E5">
                  <w:pPr>
                    <w:widowControl/>
                    <w:jc w:val="center"/>
                    <w:rPr>
                      <w:color w:val="auto"/>
                      <w:kern w:val="0"/>
                      <w:szCs w:val="21"/>
                    </w:rPr>
                  </w:pPr>
                  <w:r>
                    <w:rPr>
                      <w:rFonts w:hint="eastAsia"/>
                      <w:color w:val="auto"/>
                      <w:kern w:val="0"/>
                      <w:szCs w:val="21"/>
                    </w:rPr>
                    <w:t>监控点处</w:t>
                  </w:r>
                  <w:r>
                    <w:rPr>
                      <w:color w:val="auto"/>
                      <w:kern w:val="0"/>
                      <w:szCs w:val="21"/>
                    </w:rPr>
                    <w:t>1h</w:t>
                  </w:r>
                  <w:r>
                    <w:rPr>
                      <w:rFonts w:hint="eastAsia"/>
                      <w:color w:val="auto"/>
                      <w:kern w:val="0"/>
                      <w:szCs w:val="21"/>
                    </w:rPr>
                    <w:t>平均浓度值</w:t>
                  </w:r>
                </w:p>
              </w:tc>
              <w:tc>
                <w:tcPr>
                  <w:tcW w:w="901" w:type="pct"/>
                  <w:vMerge w:val="restart"/>
                  <w:tcBorders>
                    <w:top w:val="single" w:color="auto" w:sz="2" w:space="0"/>
                    <w:left w:val="single" w:color="auto" w:sz="2" w:space="0"/>
                    <w:right w:val="single" w:color="auto" w:sz="4" w:space="0"/>
                  </w:tcBorders>
                  <w:vAlign w:val="center"/>
                </w:tcPr>
                <w:p w14:paraId="4E65CA6F">
                  <w:pPr>
                    <w:widowControl/>
                    <w:jc w:val="center"/>
                    <w:rPr>
                      <w:color w:val="auto"/>
                      <w:kern w:val="0"/>
                      <w:szCs w:val="21"/>
                    </w:rPr>
                  </w:pPr>
                  <w:r>
                    <w:rPr>
                      <w:rFonts w:hint="eastAsia"/>
                      <w:color w:val="auto"/>
                      <w:kern w:val="0"/>
                      <w:szCs w:val="21"/>
                    </w:rPr>
                    <w:t>在厂房外设置监控点</w:t>
                  </w:r>
                </w:p>
              </w:tc>
              <w:tc>
                <w:tcPr>
                  <w:tcW w:w="1332" w:type="pct"/>
                  <w:vMerge w:val="restart"/>
                  <w:tcBorders>
                    <w:top w:val="single" w:color="auto" w:sz="2" w:space="0"/>
                    <w:left w:val="single" w:color="auto" w:sz="4" w:space="0"/>
                    <w:right w:val="nil"/>
                  </w:tcBorders>
                  <w:vAlign w:val="center"/>
                </w:tcPr>
                <w:p w14:paraId="3D236D18">
                  <w:pPr>
                    <w:widowControl/>
                    <w:jc w:val="center"/>
                    <w:rPr>
                      <w:color w:val="auto"/>
                      <w:kern w:val="0"/>
                      <w:szCs w:val="21"/>
                    </w:rPr>
                  </w:pPr>
                  <w:r>
                    <w:rPr>
                      <w:rFonts w:hint="eastAsia"/>
                      <w:color w:val="auto"/>
                      <w:kern w:val="0"/>
                      <w:szCs w:val="21"/>
                    </w:rPr>
                    <w:t>《铸造工业大气污染物排放标准》（GB39726-2020）</w:t>
                  </w:r>
                </w:p>
              </w:tc>
            </w:tr>
            <w:tr w14:paraId="5BBAEE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37" w:hRule="atLeast"/>
              </w:trPr>
              <w:tc>
                <w:tcPr>
                  <w:tcW w:w="567" w:type="pct"/>
                  <w:vMerge w:val="continue"/>
                  <w:tcBorders>
                    <w:top w:val="single" w:color="auto" w:sz="2" w:space="0"/>
                    <w:left w:val="nil"/>
                    <w:bottom w:val="single" w:color="auto" w:sz="2" w:space="0"/>
                    <w:right w:val="single" w:color="auto" w:sz="2" w:space="0"/>
                  </w:tcBorders>
                  <w:vAlign w:val="center"/>
                </w:tcPr>
                <w:p w14:paraId="2E1DC772">
                  <w:pPr>
                    <w:widowControl/>
                    <w:jc w:val="left"/>
                    <w:rPr>
                      <w:color w:val="auto"/>
                      <w:kern w:val="0"/>
                      <w:szCs w:val="21"/>
                    </w:rPr>
                  </w:pPr>
                </w:p>
              </w:tc>
              <w:tc>
                <w:tcPr>
                  <w:tcW w:w="661" w:type="pct"/>
                  <w:tcBorders>
                    <w:top w:val="single" w:color="auto" w:sz="2" w:space="0"/>
                    <w:left w:val="single" w:color="auto" w:sz="2" w:space="0"/>
                    <w:bottom w:val="single" w:color="auto" w:sz="2" w:space="0"/>
                    <w:right w:val="single" w:color="auto" w:sz="2" w:space="0"/>
                  </w:tcBorders>
                  <w:vAlign w:val="center"/>
                </w:tcPr>
                <w:p w14:paraId="12489FEB">
                  <w:pPr>
                    <w:widowControl/>
                    <w:jc w:val="center"/>
                    <w:rPr>
                      <w:rFonts w:hint="default" w:eastAsia="宋体"/>
                      <w:color w:val="auto"/>
                      <w:kern w:val="0"/>
                      <w:szCs w:val="21"/>
                      <w:lang w:val="en-US" w:eastAsia="zh-CN"/>
                    </w:rPr>
                  </w:pPr>
                  <w:r>
                    <w:rPr>
                      <w:rFonts w:hint="eastAsia"/>
                      <w:color w:val="auto"/>
                      <w:kern w:val="0"/>
                      <w:szCs w:val="21"/>
                      <w:lang w:val="en-US" w:eastAsia="zh-CN"/>
                    </w:rPr>
                    <w:t>30</w:t>
                  </w:r>
                </w:p>
              </w:tc>
              <w:tc>
                <w:tcPr>
                  <w:tcW w:w="1537" w:type="pct"/>
                  <w:tcBorders>
                    <w:top w:val="single" w:color="auto" w:sz="2" w:space="0"/>
                    <w:left w:val="single" w:color="auto" w:sz="2" w:space="0"/>
                    <w:bottom w:val="single" w:color="auto" w:sz="2" w:space="0"/>
                    <w:right w:val="single" w:color="auto" w:sz="2" w:space="0"/>
                  </w:tcBorders>
                  <w:vAlign w:val="center"/>
                </w:tcPr>
                <w:p w14:paraId="5BBCBCF9">
                  <w:pPr>
                    <w:widowControl/>
                    <w:jc w:val="center"/>
                    <w:rPr>
                      <w:color w:val="auto"/>
                      <w:kern w:val="0"/>
                      <w:szCs w:val="21"/>
                    </w:rPr>
                  </w:pPr>
                  <w:r>
                    <w:rPr>
                      <w:rFonts w:hint="eastAsia"/>
                      <w:color w:val="auto"/>
                      <w:kern w:val="0"/>
                      <w:szCs w:val="21"/>
                    </w:rPr>
                    <w:t>监控点处任意一次浓度值</w:t>
                  </w:r>
                </w:p>
              </w:tc>
              <w:tc>
                <w:tcPr>
                  <w:tcW w:w="901" w:type="pct"/>
                  <w:vMerge w:val="continue"/>
                  <w:tcBorders>
                    <w:left w:val="single" w:color="auto" w:sz="2" w:space="0"/>
                    <w:right w:val="single" w:color="auto" w:sz="4" w:space="0"/>
                  </w:tcBorders>
                  <w:vAlign w:val="center"/>
                </w:tcPr>
                <w:p w14:paraId="341F84D6">
                  <w:pPr>
                    <w:widowControl/>
                    <w:jc w:val="left"/>
                    <w:rPr>
                      <w:color w:val="auto"/>
                      <w:kern w:val="0"/>
                      <w:szCs w:val="21"/>
                    </w:rPr>
                  </w:pPr>
                </w:p>
              </w:tc>
              <w:tc>
                <w:tcPr>
                  <w:tcW w:w="1332" w:type="pct"/>
                  <w:vMerge w:val="continue"/>
                  <w:tcBorders>
                    <w:left w:val="single" w:color="auto" w:sz="4" w:space="0"/>
                    <w:right w:val="nil"/>
                  </w:tcBorders>
                  <w:vAlign w:val="center"/>
                </w:tcPr>
                <w:p w14:paraId="411C1C02">
                  <w:pPr>
                    <w:widowControl/>
                    <w:jc w:val="left"/>
                    <w:rPr>
                      <w:color w:val="auto"/>
                      <w:kern w:val="0"/>
                      <w:szCs w:val="21"/>
                    </w:rPr>
                  </w:pPr>
                </w:p>
              </w:tc>
            </w:tr>
            <w:tr w14:paraId="182A67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4" w:hRule="atLeast"/>
              </w:trPr>
              <w:tc>
                <w:tcPr>
                  <w:tcW w:w="567" w:type="pct"/>
                  <w:tcBorders>
                    <w:top w:val="single" w:color="auto" w:sz="2" w:space="0"/>
                    <w:left w:val="nil"/>
                    <w:bottom w:val="single" w:color="auto" w:sz="12" w:space="0"/>
                    <w:right w:val="single" w:color="auto" w:sz="2" w:space="0"/>
                  </w:tcBorders>
                  <w:vAlign w:val="center"/>
                </w:tcPr>
                <w:p w14:paraId="7FC2A619">
                  <w:pPr>
                    <w:widowControl/>
                    <w:jc w:val="center"/>
                    <w:rPr>
                      <w:color w:val="auto"/>
                      <w:kern w:val="0"/>
                      <w:szCs w:val="21"/>
                    </w:rPr>
                  </w:pPr>
                  <w:r>
                    <w:rPr>
                      <w:rFonts w:hint="eastAsia"/>
                      <w:color w:val="auto"/>
                      <w:kern w:val="0"/>
                      <w:szCs w:val="21"/>
                    </w:rPr>
                    <w:t>颗粒物</w:t>
                  </w:r>
                </w:p>
              </w:tc>
              <w:tc>
                <w:tcPr>
                  <w:tcW w:w="661" w:type="pct"/>
                  <w:tcBorders>
                    <w:top w:val="single" w:color="auto" w:sz="2" w:space="0"/>
                    <w:left w:val="single" w:color="auto" w:sz="2" w:space="0"/>
                    <w:bottom w:val="single" w:color="auto" w:sz="12" w:space="0"/>
                    <w:right w:val="single" w:color="auto" w:sz="2" w:space="0"/>
                  </w:tcBorders>
                  <w:vAlign w:val="center"/>
                </w:tcPr>
                <w:p w14:paraId="56F1D81F">
                  <w:pPr>
                    <w:widowControl/>
                    <w:jc w:val="center"/>
                    <w:rPr>
                      <w:color w:val="auto"/>
                      <w:kern w:val="0"/>
                      <w:szCs w:val="21"/>
                    </w:rPr>
                  </w:pPr>
                  <w:r>
                    <w:rPr>
                      <w:rFonts w:hint="eastAsia"/>
                      <w:color w:val="auto"/>
                      <w:kern w:val="0"/>
                      <w:szCs w:val="21"/>
                    </w:rPr>
                    <w:t>5</w:t>
                  </w:r>
                </w:p>
              </w:tc>
              <w:tc>
                <w:tcPr>
                  <w:tcW w:w="1537" w:type="pct"/>
                  <w:tcBorders>
                    <w:top w:val="single" w:color="auto" w:sz="2" w:space="0"/>
                    <w:left w:val="single" w:color="auto" w:sz="2" w:space="0"/>
                    <w:bottom w:val="single" w:color="auto" w:sz="12" w:space="0"/>
                    <w:right w:val="single" w:color="auto" w:sz="2" w:space="0"/>
                  </w:tcBorders>
                  <w:vAlign w:val="center"/>
                </w:tcPr>
                <w:p w14:paraId="3BAB5F65">
                  <w:pPr>
                    <w:widowControl/>
                    <w:jc w:val="center"/>
                    <w:rPr>
                      <w:color w:val="auto"/>
                      <w:kern w:val="0"/>
                      <w:szCs w:val="21"/>
                    </w:rPr>
                  </w:pPr>
                  <w:r>
                    <w:rPr>
                      <w:rFonts w:hint="eastAsia"/>
                      <w:color w:val="auto"/>
                      <w:kern w:val="0"/>
                      <w:szCs w:val="21"/>
                    </w:rPr>
                    <w:t>监控点处1h平均浓度值</w:t>
                  </w:r>
                </w:p>
              </w:tc>
              <w:tc>
                <w:tcPr>
                  <w:tcW w:w="901" w:type="pct"/>
                  <w:vMerge w:val="continue"/>
                  <w:tcBorders>
                    <w:left w:val="single" w:color="auto" w:sz="2" w:space="0"/>
                    <w:bottom w:val="single" w:color="auto" w:sz="12" w:space="0"/>
                    <w:right w:val="single" w:color="auto" w:sz="4" w:space="0"/>
                  </w:tcBorders>
                  <w:vAlign w:val="center"/>
                </w:tcPr>
                <w:p w14:paraId="058FE99F">
                  <w:pPr>
                    <w:widowControl/>
                    <w:jc w:val="left"/>
                    <w:rPr>
                      <w:color w:val="auto"/>
                      <w:kern w:val="0"/>
                      <w:szCs w:val="21"/>
                    </w:rPr>
                  </w:pPr>
                </w:p>
              </w:tc>
              <w:tc>
                <w:tcPr>
                  <w:tcW w:w="1332" w:type="pct"/>
                  <w:vMerge w:val="continue"/>
                  <w:tcBorders>
                    <w:left w:val="single" w:color="auto" w:sz="4" w:space="0"/>
                    <w:bottom w:val="single" w:color="auto" w:sz="12" w:space="0"/>
                    <w:right w:val="nil"/>
                  </w:tcBorders>
                  <w:vAlign w:val="center"/>
                </w:tcPr>
                <w:p w14:paraId="26011297">
                  <w:pPr>
                    <w:widowControl/>
                    <w:jc w:val="center"/>
                    <w:rPr>
                      <w:color w:val="auto"/>
                      <w:kern w:val="0"/>
                      <w:szCs w:val="21"/>
                    </w:rPr>
                  </w:pPr>
                </w:p>
              </w:tc>
            </w:tr>
          </w:tbl>
          <w:p w14:paraId="48DD26B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Times New Roman" w:hAnsi="Times New Roman" w:eastAsia="宋体"/>
                <w:b/>
                <w:color w:val="auto"/>
                <w:szCs w:val="21"/>
              </w:rPr>
            </w:pPr>
            <w:r>
              <w:rPr>
                <w:rFonts w:ascii="Times New Roman" w:hAnsi="Times New Roman" w:eastAsia="宋体"/>
                <w:b/>
                <w:color w:val="auto"/>
                <w:szCs w:val="21"/>
              </w:rPr>
              <w:t>2、水污染物排放标准</w:t>
            </w:r>
          </w:p>
          <w:p w14:paraId="39954772">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olor w:val="auto"/>
                <w:szCs w:val="21"/>
              </w:rPr>
            </w:pPr>
            <w:r>
              <w:rPr>
                <w:rFonts w:hint="eastAsia" w:ascii="Times New Roman" w:hAnsi="Times New Roman" w:eastAsia="宋体"/>
                <w:color w:val="auto"/>
                <w:szCs w:val="21"/>
              </w:rPr>
              <w:t>本项目实行“雨污分流”制，</w:t>
            </w:r>
            <w:r>
              <w:rPr>
                <w:rFonts w:hint="eastAsia" w:ascii="Times New Roman" w:hAnsi="Times New Roman" w:eastAsia="宋体"/>
                <w:color w:val="auto"/>
                <w:sz w:val="21"/>
                <w:szCs w:val="21"/>
                <w:lang w:eastAsia="zh-CN"/>
              </w:rPr>
              <w:t>后期</w:t>
            </w:r>
            <w:r>
              <w:rPr>
                <w:rFonts w:ascii="Times New Roman" w:hAnsi="Times New Roman" w:eastAsia="宋体"/>
                <w:color w:val="auto"/>
                <w:sz w:val="21"/>
                <w:szCs w:val="21"/>
              </w:rPr>
              <w:t>雨水经收集排入雨水管网，</w:t>
            </w:r>
            <w:r>
              <w:rPr>
                <w:rFonts w:hint="eastAsia"/>
                <w:color w:val="auto"/>
                <w:sz w:val="21"/>
                <w:szCs w:val="21"/>
                <w:lang w:val="en-US" w:eastAsia="zh-CN"/>
              </w:rPr>
              <w:t>流入北侧小</w:t>
            </w:r>
            <w:r>
              <w:rPr>
                <w:rFonts w:hint="eastAsia" w:ascii="Times New Roman" w:hAnsi="Times New Roman" w:eastAsia="宋体"/>
                <w:color w:val="auto"/>
                <w:szCs w:val="21"/>
                <w:lang w:val="en-US" w:eastAsia="zh-CN"/>
              </w:rPr>
              <w:t>河</w:t>
            </w:r>
            <w:r>
              <w:rPr>
                <w:rFonts w:hint="eastAsia"/>
                <w:color w:val="auto"/>
                <w:szCs w:val="21"/>
                <w:lang w:val="en-US" w:eastAsia="zh-CN"/>
              </w:rPr>
              <w:t>，最终汇入</w:t>
            </w:r>
            <w:r>
              <w:rPr>
                <w:rFonts w:hint="eastAsia"/>
                <w:color w:val="auto"/>
                <w:szCs w:val="24"/>
              </w:rPr>
              <w:t>殷港河</w:t>
            </w:r>
            <w:r>
              <w:rPr>
                <w:rFonts w:hint="eastAsia" w:ascii="Times New Roman" w:hAnsi="Times New Roman" w:eastAsia="宋体"/>
                <w:color w:val="auto"/>
                <w:szCs w:val="21"/>
              </w:rPr>
              <w:t>；生活污水</w:t>
            </w:r>
            <w:r>
              <w:rPr>
                <w:rFonts w:hint="eastAsia" w:ascii="Times New Roman" w:hAnsi="Times New Roman" w:eastAsia="宋体"/>
                <w:color w:val="auto"/>
                <w:szCs w:val="21"/>
                <w:lang w:val="en-US" w:eastAsia="zh-CN"/>
              </w:rPr>
              <w:t>经化粪池预处理后</w:t>
            </w:r>
            <w:r>
              <w:rPr>
                <w:rFonts w:hint="eastAsia"/>
                <w:color w:val="auto"/>
                <w:szCs w:val="21"/>
                <w:lang w:val="en-US" w:eastAsia="zh-CN"/>
              </w:rPr>
              <w:t>用作液态肥料，待接管后</w:t>
            </w:r>
            <w:r>
              <w:rPr>
                <w:rFonts w:hint="eastAsia" w:ascii="Times New Roman" w:hAnsi="Times New Roman" w:eastAsia="宋体"/>
                <w:color w:val="auto"/>
                <w:szCs w:val="21"/>
                <w:lang w:val="en-US" w:eastAsia="zh-CN"/>
              </w:rPr>
              <w:t>接管至</w:t>
            </w:r>
            <w:r>
              <w:rPr>
                <w:rFonts w:hint="eastAsia"/>
                <w:color w:val="auto"/>
                <w:szCs w:val="21"/>
                <w:lang w:val="en-US" w:eastAsia="zh-CN"/>
              </w:rPr>
              <w:t>南通皋开水务发展有限公司(原为：如皋市海鹏污水处理厂）集中处理</w:t>
            </w:r>
            <w:r>
              <w:rPr>
                <w:rFonts w:hint="eastAsia" w:ascii="Times New Roman" w:hAnsi="Times New Roman" w:eastAsia="宋体"/>
                <w:color w:val="auto"/>
                <w:szCs w:val="21"/>
                <w:lang w:val="en-US" w:eastAsia="zh-CN"/>
              </w:rPr>
              <w:t>，</w:t>
            </w:r>
            <w:r>
              <w:rPr>
                <w:rFonts w:hint="eastAsia" w:hAnsi="宋体"/>
                <w:color w:val="auto"/>
              </w:rPr>
              <w:t>执行《污水综合排放标准》（GB8978-1996）表4中三级标准，尾水排放执行《城镇污水处理厂污染物排放标准》（GB18918－2002）中的一级A标准</w:t>
            </w:r>
            <w:r>
              <w:rPr>
                <w:rFonts w:hint="eastAsia" w:hAnsi="宋体"/>
                <w:color w:val="auto"/>
                <w:lang w:eastAsia="zh-CN"/>
              </w:rPr>
              <w:t>，</w:t>
            </w:r>
            <w:r>
              <w:rPr>
                <w:rFonts w:hint="eastAsia" w:ascii="Times New Roman" w:hAnsi="Times New Roman" w:eastAsia="宋体"/>
                <w:color w:val="auto"/>
                <w:szCs w:val="21"/>
                <w:lang w:val="en-US" w:eastAsia="zh-CN"/>
              </w:rPr>
              <w:t>排入</w:t>
            </w:r>
            <w:r>
              <w:rPr>
                <w:rFonts w:hint="eastAsia"/>
                <w:color w:val="auto"/>
                <w:szCs w:val="24"/>
              </w:rPr>
              <w:t>殷港河</w:t>
            </w:r>
            <w:r>
              <w:rPr>
                <w:rFonts w:ascii="Times New Roman" w:hAnsi="Times New Roman" w:eastAsia="宋体"/>
                <w:color w:val="auto"/>
                <w:szCs w:val="21"/>
              </w:rPr>
              <w:t>。</w:t>
            </w:r>
          </w:p>
          <w:p w14:paraId="19060A71">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olor w:val="auto"/>
                <w:szCs w:val="21"/>
              </w:rPr>
            </w:pPr>
            <w:r>
              <w:rPr>
                <w:rFonts w:hint="eastAsia" w:ascii="Times New Roman" w:hAnsi="Times New Roman" w:eastAsia="宋体"/>
                <w:color w:val="auto"/>
                <w:szCs w:val="21"/>
              </w:rPr>
              <w:t>雨水排放标准：</w:t>
            </w:r>
            <w:r>
              <w:rPr>
                <w:rFonts w:hint="eastAsia" w:ascii="Times New Roman" w:hAnsi="Times New Roman" w:eastAsia="宋体"/>
                <w:color w:val="auto"/>
                <w:szCs w:val="21"/>
                <w:lang w:val="en-US" w:eastAsia="zh-CN"/>
              </w:rPr>
              <w:t>根据南通市管理要求，</w:t>
            </w:r>
            <w:r>
              <w:rPr>
                <w:rFonts w:hint="eastAsia"/>
                <w:color w:val="auto"/>
                <w:szCs w:val="21"/>
              </w:rPr>
              <w:t>雨水排放执行《江苏省重点行业工业企业雨水排放管理办法（试行）》，COD、石油类执行《地表水环境质量标准》中Ⅲ类标准，即COD≤20mg/L，石油类≤0.05mg/L</w:t>
            </w:r>
            <w:r>
              <w:rPr>
                <w:rFonts w:hint="eastAsia" w:ascii="Times New Roman" w:hAnsi="Times New Roman" w:eastAsia="宋体"/>
                <w:color w:val="auto"/>
                <w:szCs w:val="21"/>
              </w:rPr>
              <w:t>。</w:t>
            </w:r>
          </w:p>
          <w:p w14:paraId="1A484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表3-</w:t>
            </w:r>
            <w:r>
              <w:rPr>
                <w:rFonts w:hint="eastAsia" w:cs="Times New Roman"/>
                <w:b/>
                <w:color w:val="auto"/>
                <w:lang w:val="en-US" w:eastAsia="zh-CN"/>
              </w:rPr>
              <w:t>12</w:t>
            </w:r>
            <w:r>
              <w:rPr>
                <w:rFonts w:hint="default" w:ascii="Times New Roman" w:hAnsi="Times New Roman" w:eastAsia="宋体" w:cs="Times New Roman"/>
                <w:b/>
                <w:color w:val="auto"/>
              </w:rPr>
              <w:t xml:space="preserve"> </w:t>
            </w:r>
            <w:r>
              <w:rPr>
                <w:rFonts w:hint="eastAsia" w:cs="Times New Roman"/>
                <w:b/>
                <w:color w:val="auto"/>
                <w:lang w:eastAsia="zh-CN"/>
              </w:rPr>
              <w:t>南通皋开水务发展有限公司</w:t>
            </w:r>
            <w:r>
              <w:rPr>
                <w:rFonts w:hint="default" w:ascii="Times New Roman" w:hAnsi="Times New Roman" w:eastAsia="宋体" w:cs="Times New Roman"/>
                <w:b/>
                <w:color w:val="auto"/>
              </w:rPr>
              <w:t>接管要求和尾水排放标准</w:t>
            </w:r>
          </w:p>
          <w:tbl>
            <w:tblPr>
              <w:tblStyle w:val="25"/>
              <w:tblW w:w="837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671"/>
              <w:gridCol w:w="1373"/>
              <w:gridCol w:w="2584"/>
              <w:gridCol w:w="2751"/>
            </w:tblGrid>
            <w:tr w14:paraId="132721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231" w:hRule="atLeast"/>
                <w:jc w:val="center"/>
              </w:trPr>
              <w:tc>
                <w:tcPr>
                  <w:tcW w:w="1671" w:type="dxa"/>
                  <w:vMerge w:val="restart"/>
                  <w:noWrap w:val="0"/>
                  <w:vAlign w:val="center"/>
                </w:tcPr>
                <w:p w14:paraId="3A97676C">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污染物名称</w:t>
                  </w:r>
                </w:p>
              </w:tc>
              <w:tc>
                <w:tcPr>
                  <w:tcW w:w="1373" w:type="dxa"/>
                  <w:vMerge w:val="restart"/>
                  <w:noWrap w:val="0"/>
                  <w:vAlign w:val="center"/>
                </w:tcPr>
                <w:p w14:paraId="01BCCB8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单位</w:t>
                  </w:r>
                </w:p>
              </w:tc>
              <w:tc>
                <w:tcPr>
                  <w:tcW w:w="2584" w:type="dxa"/>
                  <w:noWrap w:val="0"/>
                  <w:vAlign w:val="center"/>
                </w:tcPr>
                <w:p w14:paraId="2EBFA86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接管要求</w:t>
                  </w:r>
                </w:p>
              </w:tc>
              <w:tc>
                <w:tcPr>
                  <w:tcW w:w="2751" w:type="dxa"/>
                  <w:noWrap w:val="0"/>
                  <w:vAlign w:val="center"/>
                </w:tcPr>
                <w:p w14:paraId="0F3E852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尾水排放标准</w:t>
                  </w:r>
                </w:p>
              </w:tc>
            </w:tr>
            <w:tr w14:paraId="06BF20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546" w:hRule="atLeast"/>
                <w:jc w:val="center"/>
              </w:trPr>
              <w:tc>
                <w:tcPr>
                  <w:tcW w:w="1671" w:type="dxa"/>
                  <w:vMerge w:val="continue"/>
                  <w:noWrap w:val="0"/>
                  <w:vAlign w:val="center"/>
                </w:tcPr>
                <w:p w14:paraId="1EC9229F">
                  <w:pPr>
                    <w:adjustRightInd w:val="0"/>
                    <w:snapToGrid w:val="0"/>
                    <w:jc w:val="center"/>
                    <w:rPr>
                      <w:rFonts w:hint="default" w:ascii="Times New Roman" w:hAnsi="Times New Roman" w:eastAsia="宋体" w:cs="Times New Roman"/>
                      <w:b/>
                      <w:color w:val="auto"/>
                      <w:szCs w:val="21"/>
                    </w:rPr>
                  </w:pPr>
                </w:p>
              </w:tc>
              <w:tc>
                <w:tcPr>
                  <w:tcW w:w="1373" w:type="dxa"/>
                  <w:vMerge w:val="continue"/>
                  <w:noWrap w:val="0"/>
                  <w:vAlign w:val="center"/>
                </w:tcPr>
                <w:p w14:paraId="74FA956A">
                  <w:pPr>
                    <w:adjustRightInd w:val="0"/>
                    <w:snapToGrid w:val="0"/>
                    <w:jc w:val="center"/>
                    <w:rPr>
                      <w:rFonts w:hint="default" w:ascii="Times New Roman" w:hAnsi="Times New Roman" w:eastAsia="宋体" w:cs="Times New Roman"/>
                      <w:b/>
                      <w:color w:val="auto"/>
                      <w:szCs w:val="21"/>
                    </w:rPr>
                  </w:pPr>
                </w:p>
              </w:tc>
              <w:tc>
                <w:tcPr>
                  <w:tcW w:w="2584" w:type="dxa"/>
                  <w:noWrap w:val="0"/>
                  <w:vAlign w:val="center"/>
                </w:tcPr>
                <w:p w14:paraId="0CF18F9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《污水综合排放标准》（GB8978-1996）</w:t>
                  </w:r>
                </w:p>
              </w:tc>
              <w:tc>
                <w:tcPr>
                  <w:tcW w:w="2751" w:type="dxa"/>
                  <w:noWrap w:val="0"/>
                  <w:vAlign w:val="center"/>
                </w:tcPr>
                <w:p w14:paraId="16C5C1A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《城镇污水处理厂污染物排放标准》（GB18918-2002）中一级A标准</w:t>
                  </w:r>
                </w:p>
              </w:tc>
            </w:tr>
            <w:tr w14:paraId="43B660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80" w:hRule="atLeast"/>
                <w:jc w:val="center"/>
              </w:trPr>
              <w:tc>
                <w:tcPr>
                  <w:tcW w:w="1671" w:type="dxa"/>
                  <w:noWrap w:val="0"/>
                  <w:vAlign w:val="center"/>
                </w:tcPr>
                <w:p w14:paraId="347CFF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373" w:type="dxa"/>
                  <w:noWrap w:val="0"/>
                  <w:vAlign w:val="center"/>
                </w:tcPr>
                <w:p w14:paraId="057D41C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584" w:type="dxa"/>
                  <w:noWrap w:val="0"/>
                  <w:vAlign w:val="center"/>
                </w:tcPr>
                <w:p w14:paraId="0010F55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2751" w:type="dxa"/>
                  <w:noWrap w:val="0"/>
                  <w:vAlign w:val="center"/>
                </w:tcPr>
                <w:p w14:paraId="4604ABFE">
                  <w:pPr>
                    <w:pStyle w:val="4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r>
            <w:tr w14:paraId="73D49C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80" w:hRule="atLeast"/>
                <w:jc w:val="center"/>
              </w:trPr>
              <w:tc>
                <w:tcPr>
                  <w:tcW w:w="1671" w:type="dxa"/>
                  <w:noWrap w:val="0"/>
                  <w:vAlign w:val="center"/>
                </w:tcPr>
                <w:p w14:paraId="47143DA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373" w:type="dxa"/>
                  <w:noWrap w:val="0"/>
                  <w:vAlign w:val="center"/>
                </w:tcPr>
                <w:p w14:paraId="7410D4E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c>
                <w:tcPr>
                  <w:tcW w:w="2584" w:type="dxa"/>
                  <w:noWrap w:val="0"/>
                  <w:vAlign w:val="center"/>
                </w:tcPr>
                <w:p w14:paraId="2BA195D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2751" w:type="dxa"/>
                  <w:noWrap w:val="0"/>
                  <w:vAlign w:val="center"/>
                </w:tcPr>
                <w:p w14:paraId="3885D73A">
                  <w:pPr>
                    <w:pStyle w:val="4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14:paraId="395139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80" w:hRule="atLeast"/>
                <w:jc w:val="center"/>
              </w:trPr>
              <w:tc>
                <w:tcPr>
                  <w:tcW w:w="1671" w:type="dxa"/>
                  <w:noWrap w:val="0"/>
                  <w:vAlign w:val="center"/>
                </w:tcPr>
                <w:p w14:paraId="688B9E7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1373" w:type="dxa"/>
                  <w:noWrap w:val="0"/>
                  <w:vAlign w:val="center"/>
                </w:tcPr>
                <w:p w14:paraId="5C8BC22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c>
                <w:tcPr>
                  <w:tcW w:w="2584" w:type="dxa"/>
                  <w:noWrap w:val="0"/>
                  <w:vAlign w:val="center"/>
                </w:tcPr>
                <w:p w14:paraId="40A215F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45①</w:t>
                  </w:r>
                </w:p>
              </w:tc>
              <w:tc>
                <w:tcPr>
                  <w:tcW w:w="2751" w:type="dxa"/>
                  <w:noWrap w:val="0"/>
                  <w:vAlign w:val="center"/>
                </w:tcPr>
                <w:p w14:paraId="47028DB1">
                  <w:pPr>
                    <w:pStyle w:val="4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5（8）*</w:t>
                  </w:r>
                </w:p>
              </w:tc>
            </w:tr>
            <w:tr w14:paraId="0DD1A0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80" w:hRule="atLeast"/>
                <w:jc w:val="center"/>
              </w:trPr>
              <w:tc>
                <w:tcPr>
                  <w:tcW w:w="1671" w:type="dxa"/>
                  <w:noWrap w:val="0"/>
                  <w:vAlign w:val="center"/>
                </w:tcPr>
                <w:p w14:paraId="70491D7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373" w:type="dxa"/>
                  <w:noWrap w:val="0"/>
                  <w:vAlign w:val="center"/>
                </w:tcPr>
                <w:p w14:paraId="44AA0F1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c>
                <w:tcPr>
                  <w:tcW w:w="2584" w:type="dxa"/>
                  <w:noWrap w:val="0"/>
                  <w:vAlign w:val="center"/>
                </w:tcPr>
                <w:p w14:paraId="3643B80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400</w:t>
                  </w:r>
                </w:p>
              </w:tc>
              <w:tc>
                <w:tcPr>
                  <w:tcW w:w="2751" w:type="dxa"/>
                  <w:noWrap w:val="0"/>
                  <w:vAlign w:val="center"/>
                </w:tcPr>
                <w:p w14:paraId="63A331F5">
                  <w:pPr>
                    <w:pStyle w:val="4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5E8CCF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80" w:hRule="atLeast"/>
                <w:jc w:val="center"/>
              </w:trPr>
              <w:tc>
                <w:tcPr>
                  <w:tcW w:w="1671" w:type="dxa"/>
                  <w:noWrap w:val="0"/>
                  <w:vAlign w:val="center"/>
                </w:tcPr>
                <w:p w14:paraId="74BDE19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1373" w:type="dxa"/>
                  <w:noWrap w:val="0"/>
                  <w:vAlign w:val="center"/>
                </w:tcPr>
                <w:p w14:paraId="6D9FEE5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c>
                <w:tcPr>
                  <w:tcW w:w="2584" w:type="dxa"/>
                  <w:noWrap w:val="0"/>
                  <w:vAlign w:val="center"/>
                </w:tcPr>
                <w:p w14:paraId="6FAC0DB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8①</w:t>
                  </w:r>
                </w:p>
              </w:tc>
              <w:tc>
                <w:tcPr>
                  <w:tcW w:w="2751" w:type="dxa"/>
                  <w:noWrap w:val="0"/>
                  <w:vAlign w:val="center"/>
                </w:tcPr>
                <w:p w14:paraId="091950B0">
                  <w:pPr>
                    <w:pStyle w:val="4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r>
            <w:tr w14:paraId="0D052E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12" w:hRule="atLeast"/>
                <w:jc w:val="center"/>
              </w:trPr>
              <w:tc>
                <w:tcPr>
                  <w:tcW w:w="1671" w:type="dxa"/>
                  <w:noWrap w:val="0"/>
                  <w:vAlign w:val="center"/>
                </w:tcPr>
                <w:p w14:paraId="5326973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总氮</w:t>
                  </w:r>
                </w:p>
              </w:tc>
              <w:tc>
                <w:tcPr>
                  <w:tcW w:w="1373" w:type="dxa"/>
                  <w:noWrap w:val="0"/>
                  <w:vAlign w:val="center"/>
                </w:tcPr>
                <w:p w14:paraId="11F6D55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c>
                <w:tcPr>
                  <w:tcW w:w="2584" w:type="dxa"/>
                  <w:noWrap w:val="0"/>
                  <w:vAlign w:val="center"/>
                </w:tcPr>
                <w:p w14:paraId="73615E2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70①</w:t>
                  </w:r>
                </w:p>
              </w:tc>
              <w:tc>
                <w:tcPr>
                  <w:tcW w:w="2751" w:type="dxa"/>
                  <w:noWrap w:val="0"/>
                  <w:vAlign w:val="center"/>
                </w:tcPr>
                <w:p w14:paraId="4C65F56E">
                  <w:pPr>
                    <w:pStyle w:val="4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r>
          </w:tbl>
          <w:p w14:paraId="2B1C26C1">
            <w:pPr>
              <w:adjustRightInd w:val="0"/>
              <w:snapToGri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注：注：①参照《污水排入城镇下水道水质标准》（GB/T31962-2015）</w:t>
            </w:r>
          </w:p>
          <w:p w14:paraId="5DC14099">
            <w:pPr>
              <w:tabs>
                <w:tab w:val="left" w:pos="5142"/>
              </w:tabs>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②</w:t>
            </w:r>
            <w:r>
              <w:rPr>
                <w:rFonts w:hint="default" w:ascii="Times New Roman" w:hAnsi="Times New Roman" w:eastAsia="宋体" w:cs="Times New Roman"/>
                <w:color w:val="auto"/>
                <w:sz w:val="18"/>
                <w:szCs w:val="18"/>
              </w:rPr>
              <w:t>*尾水排放标准中括号外数值为水温&gt;12℃时的控制指标，括号内的数值为水温≤12℃时的控制指标。</w:t>
            </w:r>
          </w:p>
          <w:p w14:paraId="264638C6">
            <w:pPr>
              <w:tabs>
                <w:tab w:val="left" w:pos="5142"/>
              </w:tabs>
              <w:snapToGrid w:val="0"/>
              <w:spacing w:line="460" w:lineRule="exact"/>
              <w:ind w:firstLine="422" w:firstLineChars="200"/>
              <w:rPr>
                <w:rFonts w:ascii="Times New Roman" w:hAnsi="Times New Roman" w:eastAsia="宋体"/>
                <w:b/>
                <w:color w:val="auto"/>
                <w:szCs w:val="21"/>
              </w:rPr>
            </w:pPr>
            <w:r>
              <w:rPr>
                <w:rFonts w:ascii="Times New Roman" w:hAnsi="Times New Roman" w:eastAsia="宋体"/>
                <w:b/>
                <w:color w:val="auto"/>
                <w:szCs w:val="21"/>
              </w:rPr>
              <w:t>3、噪声排放标准</w:t>
            </w:r>
          </w:p>
          <w:p w14:paraId="4293A86B">
            <w:pPr>
              <w:spacing w:line="460" w:lineRule="exact"/>
              <w:ind w:firstLine="480"/>
              <w:rPr>
                <w:rFonts w:ascii="Times New Roman" w:hAnsi="Times New Roman" w:eastAsia="宋体"/>
                <w:color w:val="auto"/>
                <w:szCs w:val="21"/>
              </w:rPr>
            </w:pPr>
            <w:r>
              <w:rPr>
                <w:rFonts w:ascii="Times New Roman" w:hAnsi="Times New Roman" w:eastAsia="宋体"/>
                <w:color w:val="auto"/>
                <w:szCs w:val="21"/>
              </w:rPr>
              <w:t>本项目噪声排放执行《工业企业厂界环境噪声排放标准》（GB12348-2008）中</w:t>
            </w:r>
            <w:r>
              <w:rPr>
                <w:rFonts w:hint="eastAsia"/>
                <w:color w:val="auto"/>
                <w:szCs w:val="21"/>
                <w:lang w:val="en-US" w:eastAsia="zh-CN"/>
              </w:rPr>
              <w:t>2</w:t>
            </w:r>
            <w:r>
              <w:rPr>
                <w:rFonts w:ascii="Times New Roman" w:hAnsi="Times New Roman" w:eastAsia="宋体"/>
                <w:color w:val="auto"/>
                <w:szCs w:val="21"/>
              </w:rPr>
              <w:t>类标准。具体见表3-</w:t>
            </w:r>
            <w:r>
              <w:rPr>
                <w:rFonts w:hint="eastAsia"/>
                <w:color w:val="auto"/>
                <w:szCs w:val="21"/>
                <w:lang w:val="en-US" w:eastAsia="zh-CN"/>
              </w:rPr>
              <w:t>13</w:t>
            </w:r>
            <w:r>
              <w:rPr>
                <w:rFonts w:ascii="Times New Roman" w:hAnsi="Times New Roman" w:eastAsia="宋体"/>
                <w:color w:val="auto"/>
                <w:szCs w:val="21"/>
              </w:rPr>
              <w:t>。</w:t>
            </w:r>
          </w:p>
          <w:p w14:paraId="7737BD12">
            <w:pPr>
              <w:tabs>
                <w:tab w:val="left" w:pos="5142"/>
              </w:tabs>
              <w:snapToGrid w:val="0"/>
              <w:spacing w:line="460" w:lineRule="exact"/>
              <w:jc w:val="center"/>
              <w:rPr>
                <w:rFonts w:ascii="Times New Roman" w:hAnsi="Times New Roman" w:eastAsia="宋体"/>
                <w:b/>
                <w:color w:val="auto"/>
                <w:szCs w:val="21"/>
              </w:rPr>
            </w:pPr>
            <w:r>
              <w:rPr>
                <w:rFonts w:ascii="Times New Roman" w:hAnsi="Times New Roman" w:eastAsia="宋体"/>
                <w:b/>
                <w:color w:val="auto"/>
                <w:szCs w:val="21"/>
              </w:rPr>
              <w:t>表3-</w:t>
            </w:r>
            <w:r>
              <w:rPr>
                <w:rFonts w:hint="eastAsia"/>
                <w:b/>
                <w:color w:val="auto"/>
                <w:szCs w:val="21"/>
                <w:lang w:val="en-US" w:eastAsia="zh-CN"/>
              </w:rPr>
              <w:t>13</w:t>
            </w:r>
            <w:r>
              <w:rPr>
                <w:rFonts w:ascii="Times New Roman" w:hAnsi="Times New Roman" w:eastAsia="宋体"/>
                <w:b/>
                <w:color w:val="auto"/>
                <w:szCs w:val="21"/>
              </w:rPr>
              <w:t>工业企业厂界环境噪声排放标准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79"/>
              <w:gridCol w:w="1597"/>
              <w:gridCol w:w="1342"/>
              <w:gridCol w:w="1364"/>
              <w:gridCol w:w="2809"/>
            </w:tblGrid>
            <w:tr w14:paraId="7DFD07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11" w:type="pct"/>
                  <w:vMerge w:val="restart"/>
                  <w:noWrap w:val="0"/>
                  <w:tcMar>
                    <w:left w:w="0" w:type="dxa"/>
                    <w:right w:w="0" w:type="dxa"/>
                  </w:tcMar>
                  <w:vAlign w:val="center"/>
                </w:tcPr>
                <w:p w14:paraId="7644C93C">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适用区域</w:t>
                  </w:r>
                </w:p>
              </w:tc>
              <w:tc>
                <w:tcPr>
                  <w:tcW w:w="963" w:type="pct"/>
                  <w:vMerge w:val="restart"/>
                  <w:noWrap w:val="0"/>
                  <w:tcMar>
                    <w:left w:w="0" w:type="dxa"/>
                    <w:right w:w="0" w:type="dxa"/>
                  </w:tcMar>
                  <w:vAlign w:val="center"/>
                </w:tcPr>
                <w:p w14:paraId="10401A31">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功能区类别</w:t>
                  </w:r>
                </w:p>
              </w:tc>
              <w:tc>
                <w:tcPr>
                  <w:tcW w:w="1631" w:type="pct"/>
                  <w:gridSpan w:val="2"/>
                  <w:noWrap w:val="0"/>
                  <w:tcMar>
                    <w:left w:w="0" w:type="dxa"/>
                    <w:right w:w="0" w:type="dxa"/>
                  </w:tcMar>
                  <w:vAlign w:val="center"/>
                </w:tcPr>
                <w:p w14:paraId="3BF55ECD">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标准限值（dB（A））</w:t>
                  </w:r>
                </w:p>
              </w:tc>
              <w:tc>
                <w:tcPr>
                  <w:tcW w:w="1693" w:type="pct"/>
                  <w:vMerge w:val="restart"/>
                  <w:noWrap w:val="0"/>
                  <w:vAlign w:val="center"/>
                </w:tcPr>
                <w:p w14:paraId="7D3F2160">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执行标准</w:t>
                  </w:r>
                </w:p>
              </w:tc>
            </w:tr>
            <w:tr w14:paraId="5A41CB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11" w:type="pct"/>
                  <w:vMerge w:val="continue"/>
                  <w:noWrap w:val="0"/>
                  <w:tcMar>
                    <w:left w:w="0" w:type="dxa"/>
                    <w:right w:w="0" w:type="dxa"/>
                  </w:tcMar>
                  <w:vAlign w:val="center"/>
                </w:tcPr>
                <w:p w14:paraId="1EB50B62">
                  <w:pPr>
                    <w:spacing w:line="320" w:lineRule="exact"/>
                    <w:jc w:val="center"/>
                    <w:rPr>
                      <w:rFonts w:ascii="Times New Roman" w:hAnsi="Times New Roman" w:eastAsia="宋体"/>
                      <w:color w:val="auto"/>
                      <w:szCs w:val="21"/>
                    </w:rPr>
                  </w:pPr>
                </w:p>
              </w:tc>
              <w:tc>
                <w:tcPr>
                  <w:tcW w:w="963" w:type="pct"/>
                  <w:vMerge w:val="continue"/>
                  <w:noWrap w:val="0"/>
                  <w:tcMar>
                    <w:left w:w="0" w:type="dxa"/>
                    <w:right w:w="0" w:type="dxa"/>
                  </w:tcMar>
                  <w:vAlign w:val="center"/>
                </w:tcPr>
                <w:p w14:paraId="1C25A7B4">
                  <w:pPr>
                    <w:spacing w:line="320" w:lineRule="exact"/>
                    <w:jc w:val="center"/>
                    <w:rPr>
                      <w:rFonts w:ascii="Times New Roman" w:hAnsi="Times New Roman" w:eastAsia="宋体"/>
                      <w:color w:val="auto"/>
                      <w:szCs w:val="21"/>
                    </w:rPr>
                  </w:pPr>
                </w:p>
              </w:tc>
              <w:tc>
                <w:tcPr>
                  <w:tcW w:w="809" w:type="pct"/>
                  <w:noWrap w:val="0"/>
                  <w:tcMar>
                    <w:left w:w="0" w:type="dxa"/>
                    <w:right w:w="0" w:type="dxa"/>
                  </w:tcMar>
                  <w:vAlign w:val="center"/>
                </w:tcPr>
                <w:p w14:paraId="0C8FB746">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昼间</w:t>
                  </w:r>
                </w:p>
              </w:tc>
              <w:tc>
                <w:tcPr>
                  <w:tcW w:w="822" w:type="pct"/>
                  <w:noWrap w:val="0"/>
                  <w:tcMar>
                    <w:left w:w="0" w:type="dxa"/>
                    <w:right w:w="0" w:type="dxa"/>
                  </w:tcMar>
                  <w:vAlign w:val="center"/>
                </w:tcPr>
                <w:p w14:paraId="3715DD3C">
                  <w:pPr>
                    <w:spacing w:line="320" w:lineRule="exact"/>
                    <w:jc w:val="center"/>
                    <w:rPr>
                      <w:rFonts w:ascii="Times New Roman" w:hAnsi="Times New Roman" w:eastAsia="宋体"/>
                      <w:b/>
                      <w:color w:val="auto"/>
                      <w:szCs w:val="21"/>
                    </w:rPr>
                  </w:pPr>
                  <w:r>
                    <w:rPr>
                      <w:rFonts w:ascii="Times New Roman" w:hAnsi="Times New Roman" w:eastAsia="宋体"/>
                      <w:b/>
                      <w:color w:val="auto"/>
                      <w:szCs w:val="21"/>
                    </w:rPr>
                    <w:t>夜间</w:t>
                  </w:r>
                </w:p>
              </w:tc>
              <w:tc>
                <w:tcPr>
                  <w:tcW w:w="1693" w:type="pct"/>
                  <w:vMerge w:val="continue"/>
                  <w:noWrap w:val="0"/>
                  <w:vAlign w:val="center"/>
                </w:tcPr>
                <w:p w14:paraId="4678E288">
                  <w:pPr>
                    <w:spacing w:line="320" w:lineRule="exact"/>
                    <w:jc w:val="center"/>
                    <w:rPr>
                      <w:rFonts w:ascii="Times New Roman" w:hAnsi="Times New Roman" w:eastAsia="宋体"/>
                      <w:b/>
                      <w:color w:val="auto"/>
                      <w:szCs w:val="21"/>
                    </w:rPr>
                  </w:pPr>
                </w:p>
              </w:tc>
            </w:tr>
            <w:tr w14:paraId="7F0CD0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11" w:type="pct"/>
                  <w:noWrap w:val="0"/>
                  <w:tcMar>
                    <w:left w:w="0" w:type="dxa"/>
                    <w:right w:w="0" w:type="dxa"/>
                  </w:tcMar>
                  <w:vAlign w:val="center"/>
                </w:tcPr>
                <w:p w14:paraId="212B06BF">
                  <w:pPr>
                    <w:spacing w:line="320" w:lineRule="exact"/>
                    <w:jc w:val="center"/>
                    <w:rPr>
                      <w:rFonts w:ascii="Times New Roman" w:hAnsi="Times New Roman" w:eastAsia="宋体"/>
                      <w:color w:val="auto"/>
                      <w:szCs w:val="21"/>
                    </w:rPr>
                  </w:pPr>
                  <w:r>
                    <w:rPr>
                      <w:rFonts w:ascii="Times New Roman" w:hAnsi="Times New Roman" w:eastAsia="宋体"/>
                      <w:color w:val="auto"/>
                      <w:szCs w:val="21"/>
                    </w:rPr>
                    <w:t>厂界</w:t>
                  </w:r>
                </w:p>
              </w:tc>
              <w:tc>
                <w:tcPr>
                  <w:tcW w:w="963" w:type="pct"/>
                  <w:noWrap w:val="0"/>
                  <w:tcMar>
                    <w:left w:w="0" w:type="dxa"/>
                    <w:right w:w="0" w:type="dxa"/>
                  </w:tcMar>
                  <w:vAlign w:val="center"/>
                </w:tcPr>
                <w:p w14:paraId="62C99AF2">
                  <w:pPr>
                    <w:spacing w:line="320" w:lineRule="exact"/>
                    <w:jc w:val="center"/>
                    <w:rPr>
                      <w:rFonts w:ascii="Times New Roman" w:hAnsi="Times New Roman" w:eastAsia="宋体"/>
                      <w:color w:val="auto"/>
                      <w:szCs w:val="21"/>
                    </w:rPr>
                  </w:pPr>
                  <w:r>
                    <w:rPr>
                      <w:rFonts w:hint="eastAsia"/>
                      <w:color w:val="auto"/>
                      <w:szCs w:val="21"/>
                      <w:lang w:val="en-US" w:eastAsia="zh-CN"/>
                    </w:rPr>
                    <w:t>2</w:t>
                  </w:r>
                  <w:r>
                    <w:rPr>
                      <w:rFonts w:ascii="Times New Roman" w:hAnsi="Times New Roman" w:eastAsia="宋体"/>
                      <w:color w:val="auto"/>
                      <w:szCs w:val="21"/>
                    </w:rPr>
                    <w:t>类</w:t>
                  </w:r>
                </w:p>
              </w:tc>
              <w:tc>
                <w:tcPr>
                  <w:tcW w:w="809" w:type="pct"/>
                  <w:noWrap w:val="0"/>
                  <w:tcMar>
                    <w:left w:w="0" w:type="dxa"/>
                    <w:right w:w="0" w:type="dxa"/>
                  </w:tcMar>
                  <w:vAlign w:val="center"/>
                </w:tcPr>
                <w:p w14:paraId="2E5E2616">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60</w:t>
                  </w:r>
                </w:p>
              </w:tc>
              <w:tc>
                <w:tcPr>
                  <w:tcW w:w="822" w:type="pct"/>
                  <w:noWrap w:val="0"/>
                  <w:tcMar>
                    <w:left w:w="0" w:type="dxa"/>
                    <w:right w:w="0" w:type="dxa"/>
                  </w:tcMar>
                  <w:vAlign w:val="center"/>
                </w:tcPr>
                <w:p w14:paraId="1708C63C">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1693" w:type="pct"/>
                  <w:noWrap w:val="0"/>
                  <w:vAlign w:val="center"/>
                </w:tcPr>
                <w:p w14:paraId="2AA4C351">
                  <w:pPr>
                    <w:spacing w:line="320" w:lineRule="exact"/>
                    <w:jc w:val="center"/>
                    <w:rPr>
                      <w:rFonts w:ascii="Times New Roman" w:hAnsi="Times New Roman" w:eastAsia="宋体"/>
                      <w:color w:val="auto"/>
                      <w:szCs w:val="21"/>
                    </w:rPr>
                  </w:pPr>
                  <w:r>
                    <w:rPr>
                      <w:rFonts w:ascii="Times New Roman" w:hAnsi="Times New Roman" w:eastAsia="宋体"/>
                      <w:color w:val="auto"/>
                      <w:szCs w:val="21"/>
                    </w:rPr>
                    <w:t>《工业企业厂界环境噪声排放标准》（GB12348-2008）</w:t>
                  </w:r>
                </w:p>
              </w:tc>
            </w:tr>
          </w:tbl>
          <w:p w14:paraId="7A9E68F7">
            <w:pPr>
              <w:tabs>
                <w:tab w:val="left" w:pos="5142"/>
              </w:tabs>
              <w:snapToGrid w:val="0"/>
              <w:spacing w:line="460" w:lineRule="exact"/>
              <w:ind w:firstLine="422" w:firstLineChars="200"/>
              <w:rPr>
                <w:rFonts w:ascii="Times New Roman" w:hAnsi="Times New Roman" w:eastAsia="宋体"/>
                <w:b/>
                <w:color w:val="auto"/>
                <w:szCs w:val="21"/>
              </w:rPr>
            </w:pPr>
            <w:r>
              <w:rPr>
                <w:rFonts w:ascii="Times New Roman" w:hAnsi="Times New Roman" w:eastAsia="宋体"/>
                <w:b/>
                <w:color w:val="auto"/>
                <w:szCs w:val="21"/>
              </w:rPr>
              <w:t>4、固体废物排放标准</w:t>
            </w:r>
          </w:p>
          <w:p w14:paraId="296DE20E">
            <w:pPr>
              <w:tabs>
                <w:tab w:val="left" w:pos="5142"/>
              </w:tabs>
              <w:snapToGrid w:val="0"/>
              <w:spacing w:line="460" w:lineRule="exact"/>
              <w:ind w:firstLine="420"/>
              <w:rPr>
                <w:color w:val="auto"/>
                <w:sz w:val="21"/>
                <w:szCs w:val="21"/>
              </w:rPr>
            </w:pPr>
            <w:r>
              <w:rPr>
                <w:color w:val="auto"/>
                <w:sz w:val="21"/>
                <w:szCs w:val="21"/>
              </w:rPr>
              <w:t>本项目产生的一般工业固体废物储存执行《一般工业固体废物贮存和填埋污染控制标准》（GB18599-2020）及《关于发布&lt;一般工业固体废物贮存、处置场污染控制标准&gt;（GB18599-2020）等三项固体废物污染物控制标准的公告》（2020年第65号公告）中的相关规定。</w:t>
            </w:r>
          </w:p>
          <w:p w14:paraId="0B3049C3">
            <w:pPr>
              <w:tabs>
                <w:tab w:val="left" w:pos="5142"/>
              </w:tabs>
              <w:snapToGrid w:val="0"/>
              <w:spacing w:line="460" w:lineRule="exact"/>
              <w:ind w:firstLine="420"/>
              <w:rPr>
                <w:color w:val="auto"/>
                <w:sz w:val="21"/>
                <w:szCs w:val="21"/>
              </w:rPr>
            </w:pPr>
            <w:r>
              <w:rPr>
                <w:color w:val="auto"/>
                <w:sz w:val="21"/>
                <w:szCs w:val="21"/>
              </w:rPr>
              <w:t>危险废物在厂内储放执行《危险废物贮存污染控制标准》（</w:t>
            </w:r>
            <w:r>
              <w:rPr>
                <w:rFonts w:hint="eastAsia"/>
                <w:color w:val="auto"/>
                <w:sz w:val="21"/>
                <w:szCs w:val="21"/>
              </w:rPr>
              <w:t>GB18597-2023</w:t>
            </w:r>
            <w:r>
              <w:rPr>
                <w:color w:val="auto"/>
                <w:sz w:val="21"/>
                <w:szCs w:val="21"/>
              </w:rPr>
              <w:t>）、《危险废物收集储存运输技术规范》（HJ2025-2012）、</w:t>
            </w:r>
            <w:r>
              <w:rPr>
                <w:rFonts w:hint="eastAsia"/>
                <w:color w:val="auto"/>
                <w:sz w:val="21"/>
                <w:szCs w:val="21"/>
              </w:rPr>
              <w:t>省生态环境厅关于印发《江苏省固体废物全过程环境监管工作意见》的通知（苏环办〔2024〕16号）</w:t>
            </w:r>
            <w:r>
              <w:rPr>
                <w:color w:val="auto"/>
                <w:sz w:val="21"/>
                <w:szCs w:val="21"/>
              </w:rPr>
              <w:t>、《关于进一步加强危险废物环境管理工作的通知》（苏环办〔2021〕207号）中相关规定要求进行危险废物的包装、贮存设施的选址、设计、运行、安全防护、监测和关闭等要求进行合理的贮存。</w:t>
            </w:r>
          </w:p>
          <w:p w14:paraId="072DD99B">
            <w:pPr>
              <w:tabs>
                <w:tab w:val="left" w:pos="5142"/>
              </w:tabs>
              <w:snapToGrid w:val="0"/>
              <w:spacing w:line="460" w:lineRule="exact"/>
              <w:ind w:firstLine="420" w:firstLineChars="200"/>
              <w:rPr>
                <w:color w:val="auto"/>
                <w:sz w:val="21"/>
                <w:szCs w:val="21"/>
              </w:rPr>
            </w:pPr>
            <w:r>
              <w:rPr>
                <w:color w:val="auto"/>
                <w:sz w:val="21"/>
                <w:szCs w:val="21"/>
              </w:rPr>
              <w:t>生活垃圾管理执行中华人民共和国建设部令第157号《城市生活垃圾管理规定》。</w:t>
            </w:r>
          </w:p>
          <w:p w14:paraId="5EB871B3">
            <w:pPr>
              <w:tabs>
                <w:tab w:val="left" w:pos="5142"/>
              </w:tabs>
              <w:snapToGrid w:val="0"/>
              <w:spacing w:line="460" w:lineRule="exact"/>
              <w:ind w:firstLine="422" w:firstLineChars="200"/>
              <w:rPr>
                <w:rFonts w:ascii="Times New Roman" w:hAnsi="Times New Roman" w:eastAsia="宋体"/>
                <w:b/>
                <w:color w:val="auto"/>
                <w:szCs w:val="21"/>
              </w:rPr>
            </w:pPr>
          </w:p>
          <w:p w14:paraId="7E3653A8">
            <w:pPr>
              <w:tabs>
                <w:tab w:val="left" w:pos="5142"/>
              </w:tabs>
              <w:snapToGrid w:val="0"/>
              <w:spacing w:line="460" w:lineRule="exact"/>
              <w:ind w:firstLine="422" w:firstLineChars="200"/>
              <w:rPr>
                <w:rFonts w:ascii="Times New Roman" w:hAnsi="Times New Roman" w:eastAsia="宋体"/>
                <w:b/>
                <w:color w:val="auto"/>
                <w:szCs w:val="21"/>
              </w:rPr>
            </w:pPr>
          </w:p>
          <w:p w14:paraId="65A77A32">
            <w:pPr>
              <w:tabs>
                <w:tab w:val="left" w:pos="5142"/>
              </w:tabs>
              <w:snapToGrid w:val="0"/>
              <w:spacing w:line="460" w:lineRule="exact"/>
              <w:ind w:firstLine="422" w:firstLineChars="200"/>
              <w:rPr>
                <w:rFonts w:ascii="Times New Roman" w:hAnsi="Times New Roman" w:eastAsia="宋体"/>
                <w:b/>
                <w:color w:val="auto"/>
                <w:szCs w:val="21"/>
              </w:rPr>
            </w:pPr>
          </w:p>
          <w:p w14:paraId="6E511669">
            <w:pPr>
              <w:tabs>
                <w:tab w:val="left" w:pos="5142"/>
              </w:tabs>
              <w:snapToGrid w:val="0"/>
              <w:spacing w:line="460" w:lineRule="exact"/>
              <w:ind w:firstLine="422" w:firstLineChars="200"/>
              <w:rPr>
                <w:rFonts w:ascii="Times New Roman" w:hAnsi="Times New Roman" w:eastAsia="宋体"/>
                <w:b/>
                <w:color w:val="auto"/>
                <w:szCs w:val="21"/>
              </w:rPr>
            </w:pPr>
          </w:p>
          <w:p w14:paraId="3FAF9E61">
            <w:pPr>
              <w:tabs>
                <w:tab w:val="left" w:pos="5142"/>
              </w:tabs>
              <w:snapToGrid w:val="0"/>
              <w:spacing w:line="460" w:lineRule="exact"/>
              <w:ind w:firstLine="422" w:firstLineChars="200"/>
              <w:rPr>
                <w:rFonts w:ascii="Times New Roman" w:hAnsi="Times New Roman" w:eastAsia="宋体"/>
                <w:b/>
                <w:color w:val="auto"/>
                <w:szCs w:val="21"/>
              </w:rPr>
            </w:pPr>
          </w:p>
          <w:p w14:paraId="1B2C3F90">
            <w:pPr>
              <w:tabs>
                <w:tab w:val="left" w:pos="5142"/>
              </w:tabs>
              <w:snapToGrid w:val="0"/>
              <w:spacing w:line="460" w:lineRule="exact"/>
              <w:ind w:firstLine="422" w:firstLineChars="200"/>
              <w:rPr>
                <w:rFonts w:ascii="Times New Roman" w:hAnsi="Times New Roman" w:eastAsia="宋体"/>
                <w:b/>
                <w:color w:val="auto"/>
                <w:szCs w:val="21"/>
              </w:rPr>
            </w:pPr>
          </w:p>
          <w:p w14:paraId="5AD3C1DF">
            <w:pPr>
              <w:tabs>
                <w:tab w:val="left" w:pos="5142"/>
              </w:tabs>
              <w:snapToGrid w:val="0"/>
              <w:spacing w:line="460" w:lineRule="exact"/>
              <w:ind w:firstLine="422" w:firstLineChars="200"/>
              <w:rPr>
                <w:rFonts w:ascii="Times New Roman" w:hAnsi="Times New Roman" w:eastAsia="宋体"/>
                <w:b/>
                <w:color w:val="auto"/>
                <w:szCs w:val="21"/>
              </w:rPr>
            </w:pPr>
          </w:p>
          <w:p w14:paraId="020C5EC7">
            <w:pPr>
              <w:tabs>
                <w:tab w:val="left" w:pos="5142"/>
              </w:tabs>
              <w:snapToGrid w:val="0"/>
              <w:spacing w:line="460" w:lineRule="exact"/>
              <w:ind w:firstLine="422" w:firstLineChars="200"/>
              <w:rPr>
                <w:rFonts w:ascii="Times New Roman" w:hAnsi="Times New Roman" w:eastAsia="宋体"/>
                <w:b/>
                <w:color w:val="auto"/>
                <w:szCs w:val="21"/>
              </w:rPr>
            </w:pPr>
          </w:p>
          <w:p w14:paraId="072D2F58">
            <w:pPr>
              <w:tabs>
                <w:tab w:val="left" w:pos="5142"/>
              </w:tabs>
              <w:snapToGrid w:val="0"/>
              <w:spacing w:line="460" w:lineRule="exact"/>
              <w:ind w:firstLine="422" w:firstLineChars="200"/>
              <w:rPr>
                <w:rFonts w:ascii="Times New Roman" w:hAnsi="Times New Roman" w:eastAsia="宋体"/>
                <w:b/>
                <w:color w:val="auto"/>
                <w:szCs w:val="21"/>
              </w:rPr>
            </w:pPr>
          </w:p>
          <w:p w14:paraId="7BD405EF">
            <w:pPr>
              <w:tabs>
                <w:tab w:val="left" w:pos="5142"/>
              </w:tabs>
              <w:snapToGrid w:val="0"/>
              <w:spacing w:line="460" w:lineRule="exact"/>
              <w:ind w:firstLine="422" w:firstLineChars="200"/>
              <w:rPr>
                <w:rFonts w:ascii="Times New Roman" w:hAnsi="Times New Roman" w:eastAsia="宋体"/>
                <w:b/>
                <w:color w:val="auto"/>
                <w:szCs w:val="21"/>
              </w:rPr>
            </w:pPr>
          </w:p>
          <w:p w14:paraId="1F1849AB">
            <w:pPr>
              <w:tabs>
                <w:tab w:val="left" w:pos="5142"/>
              </w:tabs>
              <w:snapToGrid w:val="0"/>
              <w:spacing w:line="460" w:lineRule="exact"/>
              <w:ind w:firstLine="422" w:firstLineChars="200"/>
              <w:rPr>
                <w:rFonts w:ascii="Times New Roman" w:hAnsi="Times New Roman" w:eastAsia="宋体"/>
                <w:b/>
                <w:color w:val="auto"/>
                <w:szCs w:val="21"/>
              </w:rPr>
            </w:pPr>
          </w:p>
          <w:p w14:paraId="7EBB8212">
            <w:pPr>
              <w:tabs>
                <w:tab w:val="left" w:pos="5142"/>
              </w:tabs>
              <w:snapToGrid w:val="0"/>
              <w:spacing w:line="460" w:lineRule="exact"/>
              <w:ind w:firstLine="422" w:firstLineChars="200"/>
              <w:rPr>
                <w:rFonts w:ascii="Times New Roman" w:hAnsi="Times New Roman" w:eastAsia="宋体"/>
                <w:b/>
                <w:color w:val="auto"/>
                <w:szCs w:val="21"/>
              </w:rPr>
            </w:pPr>
          </w:p>
          <w:p w14:paraId="2C977DDA">
            <w:pPr>
              <w:tabs>
                <w:tab w:val="left" w:pos="5142"/>
              </w:tabs>
              <w:snapToGrid w:val="0"/>
              <w:spacing w:line="460" w:lineRule="exact"/>
              <w:ind w:firstLine="422" w:firstLineChars="200"/>
              <w:rPr>
                <w:rFonts w:ascii="Times New Roman" w:hAnsi="Times New Roman" w:eastAsia="宋体"/>
                <w:b/>
                <w:color w:val="auto"/>
                <w:szCs w:val="21"/>
              </w:rPr>
            </w:pPr>
          </w:p>
          <w:p w14:paraId="563B3495">
            <w:pPr>
              <w:tabs>
                <w:tab w:val="left" w:pos="5142"/>
              </w:tabs>
              <w:snapToGrid w:val="0"/>
              <w:spacing w:line="460" w:lineRule="exact"/>
              <w:ind w:firstLine="422" w:firstLineChars="200"/>
              <w:rPr>
                <w:rFonts w:ascii="Times New Roman" w:hAnsi="Times New Roman" w:eastAsia="宋体"/>
                <w:b/>
                <w:color w:val="auto"/>
                <w:szCs w:val="21"/>
              </w:rPr>
            </w:pPr>
          </w:p>
          <w:p w14:paraId="7BAA001F">
            <w:pPr>
              <w:tabs>
                <w:tab w:val="left" w:pos="5142"/>
              </w:tabs>
              <w:snapToGrid w:val="0"/>
              <w:spacing w:line="460" w:lineRule="exact"/>
              <w:ind w:firstLine="422" w:firstLineChars="200"/>
              <w:rPr>
                <w:rFonts w:ascii="Times New Roman" w:hAnsi="Times New Roman" w:eastAsia="宋体"/>
                <w:b/>
                <w:color w:val="auto"/>
                <w:szCs w:val="21"/>
              </w:rPr>
            </w:pPr>
          </w:p>
          <w:p w14:paraId="6FF44E39">
            <w:pPr>
              <w:tabs>
                <w:tab w:val="left" w:pos="5142"/>
              </w:tabs>
              <w:snapToGrid w:val="0"/>
              <w:spacing w:line="460" w:lineRule="exact"/>
              <w:ind w:firstLine="422" w:firstLineChars="200"/>
              <w:rPr>
                <w:rFonts w:ascii="Times New Roman" w:hAnsi="Times New Roman" w:eastAsia="宋体"/>
                <w:b/>
                <w:color w:val="auto"/>
                <w:szCs w:val="21"/>
              </w:rPr>
            </w:pPr>
          </w:p>
          <w:p w14:paraId="18CB9A9D">
            <w:pPr>
              <w:tabs>
                <w:tab w:val="left" w:pos="5142"/>
              </w:tabs>
              <w:snapToGrid w:val="0"/>
              <w:spacing w:line="460" w:lineRule="exact"/>
              <w:ind w:firstLine="422" w:firstLineChars="200"/>
              <w:rPr>
                <w:rFonts w:ascii="Times New Roman" w:hAnsi="Times New Roman" w:eastAsia="宋体"/>
                <w:b/>
                <w:color w:val="auto"/>
                <w:szCs w:val="21"/>
              </w:rPr>
            </w:pPr>
          </w:p>
          <w:p w14:paraId="26EDC665">
            <w:pPr>
              <w:tabs>
                <w:tab w:val="left" w:pos="5142"/>
              </w:tabs>
              <w:snapToGrid w:val="0"/>
              <w:spacing w:line="460" w:lineRule="exact"/>
              <w:ind w:firstLine="422" w:firstLineChars="200"/>
              <w:rPr>
                <w:rFonts w:ascii="Times New Roman" w:hAnsi="Times New Roman" w:eastAsia="宋体"/>
                <w:b/>
                <w:color w:val="auto"/>
                <w:szCs w:val="21"/>
              </w:rPr>
            </w:pPr>
          </w:p>
          <w:p w14:paraId="7B4E4D74">
            <w:pPr>
              <w:tabs>
                <w:tab w:val="left" w:pos="5142"/>
              </w:tabs>
              <w:snapToGrid w:val="0"/>
              <w:spacing w:line="460" w:lineRule="exact"/>
              <w:rPr>
                <w:rFonts w:ascii="Times New Roman" w:hAnsi="Times New Roman" w:eastAsia="宋体"/>
                <w:color w:val="auto"/>
                <w:kern w:val="0"/>
                <w:szCs w:val="21"/>
              </w:rPr>
            </w:pPr>
          </w:p>
          <w:p w14:paraId="2578F025">
            <w:pPr>
              <w:tabs>
                <w:tab w:val="left" w:pos="5142"/>
              </w:tabs>
              <w:snapToGrid w:val="0"/>
              <w:spacing w:line="460" w:lineRule="exact"/>
              <w:rPr>
                <w:rFonts w:ascii="Times New Roman" w:hAnsi="Times New Roman" w:eastAsia="宋体"/>
                <w:color w:val="auto"/>
                <w:kern w:val="0"/>
                <w:szCs w:val="21"/>
              </w:rPr>
            </w:pPr>
          </w:p>
          <w:p w14:paraId="1957F1CE">
            <w:pPr>
              <w:tabs>
                <w:tab w:val="left" w:pos="5142"/>
              </w:tabs>
              <w:snapToGrid w:val="0"/>
              <w:spacing w:line="460" w:lineRule="exact"/>
              <w:rPr>
                <w:rFonts w:ascii="Times New Roman" w:hAnsi="Times New Roman" w:eastAsia="宋体"/>
                <w:color w:val="auto"/>
                <w:kern w:val="0"/>
                <w:szCs w:val="21"/>
              </w:rPr>
            </w:pPr>
          </w:p>
          <w:p w14:paraId="7DF1D18C">
            <w:pPr>
              <w:tabs>
                <w:tab w:val="left" w:pos="5142"/>
              </w:tabs>
              <w:snapToGrid w:val="0"/>
              <w:spacing w:line="460" w:lineRule="exact"/>
              <w:rPr>
                <w:rFonts w:ascii="Times New Roman" w:hAnsi="Times New Roman" w:eastAsia="宋体"/>
                <w:color w:val="auto"/>
                <w:kern w:val="0"/>
                <w:szCs w:val="21"/>
              </w:rPr>
            </w:pPr>
          </w:p>
          <w:p w14:paraId="10FB4E63">
            <w:pPr>
              <w:tabs>
                <w:tab w:val="left" w:pos="5142"/>
              </w:tabs>
              <w:snapToGrid w:val="0"/>
              <w:spacing w:line="460" w:lineRule="exact"/>
              <w:rPr>
                <w:rFonts w:ascii="Times New Roman" w:hAnsi="Times New Roman" w:eastAsia="宋体"/>
                <w:color w:val="auto"/>
                <w:kern w:val="0"/>
                <w:szCs w:val="21"/>
              </w:rPr>
            </w:pPr>
          </w:p>
          <w:p w14:paraId="3FB6AFA1">
            <w:pPr>
              <w:tabs>
                <w:tab w:val="left" w:pos="5142"/>
              </w:tabs>
              <w:snapToGrid w:val="0"/>
              <w:spacing w:line="460" w:lineRule="exact"/>
              <w:rPr>
                <w:rFonts w:ascii="Times New Roman" w:hAnsi="Times New Roman" w:eastAsia="宋体"/>
                <w:color w:val="auto"/>
                <w:kern w:val="0"/>
                <w:szCs w:val="21"/>
              </w:rPr>
            </w:pPr>
          </w:p>
        </w:tc>
      </w:tr>
      <w:tr w14:paraId="5B6FF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18" w:type="pct"/>
            <w:noWrap w:val="0"/>
            <w:vAlign w:val="center"/>
          </w:tcPr>
          <w:p w14:paraId="5F787650">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总量</w:t>
            </w:r>
          </w:p>
          <w:p w14:paraId="3E7DB71B">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控制</w:t>
            </w:r>
          </w:p>
          <w:p w14:paraId="564B3CEA">
            <w:pPr>
              <w:adjustRightInd w:val="0"/>
              <w:snapToGrid w:val="0"/>
              <w:spacing w:line="320" w:lineRule="exact"/>
              <w:jc w:val="center"/>
              <w:rPr>
                <w:rFonts w:ascii="Times New Roman" w:hAnsi="Times New Roman" w:eastAsia="宋体"/>
                <w:color w:val="auto"/>
                <w:kern w:val="0"/>
                <w:szCs w:val="21"/>
              </w:rPr>
            </w:pPr>
            <w:r>
              <w:rPr>
                <w:rFonts w:ascii="Times New Roman" w:hAnsi="Times New Roman" w:eastAsia="宋体"/>
                <w:color w:val="auto"/>
                <w:kern w:val="0"/>
                <w:szCs w:val="21"/>
              </w:rPr>
              <w:t>指标</w:t>
            </w:r>
          </w:p>
        </w:tc>
        <w:tc>
          <w:tcPr>
            <w:tcW w:w="4581" w:type="pct"/>
            <w:noWrap w:val="0"/>
            <w:vAlign w:val="center"/>
          </w:tcPr>
          <w:p w14:paraId="24031A06">
            <w:pPr>
              <w:spacing w:line="360" w:lineRule="auto"/>
              <w:ind w:firstLine="482"/>
              <w:rPr>
                <w:rFonts w:ascii="Times New Roman" w:hAnsi="Times New Roman" w:eastAsia="宋体"/>
                <w:b/>
                <w:bCs/>
                <w:color w:val="auto"/>
              </w:rPr>
            </w:pPr>
            <w:r>
              <w:rPr>
                <w:rFonts w:ascii="Times New Roman" w:hAnsi="Times New Roman" w:eastAsia="宋体"/>
                <w:b/>
                <w:bCs/>
                <w:color w:val="auto"/>
              </w:rPr>
              <w:t>1、总量控制指标</w:t>
            </w:r>
          </w:p>
          <w:p w14:paraId="3875054C">
            <w:pPr>
              <w:spacing w:line="360" w:lineRule="auto"/>
              <w:ind w:firstLine="480"/>
              <w:rPr>
                <w:rFonts w:ascii="Times New Roman" w:hAnsi="Times New Roman" w:eastAsia="宋体"/>
                <w:color w:val="auto"/>
              </w:rPr>
            </w:pPr>
            <w:r>
              <w:rPr>
                <w:rFonts w:ascii="Times New Roman" w:hAnsi="Times New Roman" w:eastAsia="宋体"/>
                <w:color w:val="auto"/>
              </w:rPr>
              <w:t>本项目污染物排放总量控制（考核）指标见表</w:t>
            </w:r>
            <w:r>
              <w:rPr>
                <w:rFonts w:hint="eastAsia" w:ascii="Times New Roman" w:hAnsi="Times New Roman" w:eastAsia="宋体"/>
                <w:color w:val="auto"/>
              </w:rPr>
              <w:t>3-</w:t>
            </w:r>
            <w:r>
              <w:rPr>
                <w:rFonts w:hint="eastAsia"/>
                <w:color w:val="auto"/>
                <w:lang w:val="en-US" w:eastAsia="zh-CN"/>
              </w:rPr>
              <w:t>14</w:t>
            </w:r>
            <w:r>
              <w:rPr>
                <w:rFonts w:ascii="Times New Roman" w:hAnsi="Times New Roman" w:eastAsia="宋体"/>
                <w:color w:val="auto"/>
              </w:rPr>
              <w:t>。</w:t>
            </w:r>
          </w:p>
          <w:p w14:paraId="24ADD1C0">
            <w:pPr>
              <w:spacing w:line="320" w:lineRule="exact"/>
              <w:jc w:val="center"/>
              <w:rPr>
                <w:rFonts w:ascii="Times New Roman" w:hAnsi="Times New Roman" w:eastAsia="宋体"/>
                <w:b/>
                <w:bCs/>
                <w:color w:val="auto"/>
              </w:rPr>
            </w:pPr>
            <w:r>
              <w:rPr>
                <w:rFonts w:ascii="Times New Roman" w:hAnsi="Times New Roman" w:eastAsia="宋体"/>
                <w:b/>
                <w:bCs/>
                <w:color w:val="auto"/>
              </w:rPr>
              <w:t>表</w:t>
            </w:r>
            <w:r>
              <w:rPr>
                <w:rFonts w:hint="eastAsia" w:ascii="Times New Roman" w:hAnsi="Times New Roman" w:eastAsia="宋体"/>
                <w:b/>
                <w:bCs/>
                <w:color w:val="auto"/>
              </w:rPr>
              <w:t>3-</w:t>
            </w:r>
            <w:r>
              <w:rPr>
                <w:rFonts w:hint="eastAsia"/>
                <w:b/>
                <w:bCs/>
                <w:color w:val="auto"/>
                <w:lang w:val="en-US" w:eastAsia="zh-CN"/>
              </w:rPr>
              <w:t>14</w:t>
            </w:r>
            <w:r>
              <w:rPr>
                <w:rFonts w:ascii="Times New Roman" w:hAnsi="Times New Roman" w:eastAsia="宋体"/>
                <w:b/>
                <w:bCs/>
                <w:color w:val="auto"/>
              </w:rPr>
              <w:t>污染物排放总量控制（考核）指标</w:t>
            </w:r>
            <w:r>
              <w:rPr>
                <w:rFonts w:hint="eastAsia" w:ascii="Times New Roman" w:hAnsi="Times New Roman" w:eastAsia="宋体"/>
                <w:b/>
                <w:bCs/>
                <w:color w:val="auto"/>
              </w:rPr>
              <w:t xml:space="preserve">    </w:t>
            </w:r>
            <w:r>
              <w:rPr>
                <w:rFonts w:ascii="Times New Roman" w:hAnsi="Times New Roman" w:eastAsia="宋体"/>
                <w:b/>
                <w:bCs/>
                <w:color w:val="auto"/>
              </w:rPr>
              <w:t>单位：t/a</w:t>
            </w:r>
          </w:p>
          <w:tbl>
            <w:tblPr>
              <w:tblStyle w:val="25"/>
              <w:tblW w:w="484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88"/>
              <w:gridCol w:w="975"/>
              <w:gridCol w:w="2070"/>
              <w:gridCol w:w="1478"/>
              <w:gridCol w:w="1199"/>
              <w:gridCol w:w="1327"/>
            </w:tblGrid>
            <w:tr w14:paraId="75867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99" w:hRule="atLeast"/>
                <w:jc w:val="center"/>
              </w:trPr>
              <w:tc>
                <w:tcPr>
                  <w:tcW w:w="614" w:type="pct"/>
                  <w:vAlign w:val="center"/>
                </w:tcPr>
                <w:p w14:paraId="4D6037D9">
                  <w:pPr>
                    <w:adjustRightInd w:val="0"/>
                    <w:snapToGrid w:val="0"/>
                    <w:jc w:val="center"/>
                    <w:rPr>
                      <w:b/>
                      <w:color w:val="auto"/>
                      <w:szCs w:val="21"/>
                    </w:rPr>
                  </w:pPr>
                  <w:r>
                    <w:rPr>
                      <w:b/>
                      <w:color w:val="auto"/>
                      <w:szCs w:val="21"/>
                    </w:rPr>
                    <w:t>类别</w:t>
                  </w:r>
                </w:p>
              </w:tc>
              <w:tc>
                <w:tcPr>
                  <w:tcW w:w="1894" w:type="pct"/>
                  <w:gridSpan w:val="2"/>
                  <w:vAlign w:val="center"/>
                </w:tcPr>
                <w:p w14:paraId="56D85029">
                  <w:pPr>
                    <w:adjustRightInd w:val="0"/>
                    <w:snapToGrid w:val="0"/>
                    <w:jc w:val="center"/>
                    <w:rPr>
                      <w:b/>
                      <w:color w:val="auto"/>
                      <w:szCs w:val="21"/>
                    </w:rPr>
                  </w:pPr>
                  <w:r>
                    <w:rPr>
                      <w:rFonts w:hint="eastAsia"/>
                      <w:b/>
                      <w:color w:val="auto"/>
                      <w:szCs w:val="21"/>
                    </w:rPr>
                    <w:t>污染物名称</w:t>
                  </w:r>
                </w:p>
              </w:tc>
              <w:tc>
                <w:tcPr>
                  <w:tcW w:w="919" w:type="pct"/>
                  <w:vAlign w:val="center"/>
                </w:tcPr>
                <w:p w14:paraId="0D15170F">
                  <w:pPr>
                    <w:adjustRightInd w:val="0"/>
                    <w:snapToGrid w:val="0"/>
                    <w:jc w:val="center"/>
                    <w:rPr>
                      <w:b/>
                      <w:color w:val="auto"/>
                      <w:szCs w:val="21"/>
                    </w:rPr>
                  </w:pPr>
                  <w:r>
                    <w:rPr>
                      <w:rFonts w:hint="eastAsia"/>
                      <w:b/>
                      <w:color w:val="auto"/>
                      <w:szCs w:val="21"/>
                    </w:rPr>
                    <w:t>产生量</w:t>
                  </w:r>
                </w:p>
                <w:p w14:paraId="65600983">
                  <w:pPr>
                    <w:adjustRightInd w:val="0"/>
                    <w:snapToGrid w:val="0"/>
                    <w:jc w:val="center"/>
                    <w:rPr>
                      <w:b/>
                      <w:color w:val="auto"/>
                      <w:szCs w:val="21"/>
                    </w:rPr>
                  </w:pPr>
                  <w:r>
                    <w:rPr>
                      <w:rFonts w:hint="eastAsia"/>
                      <w:b/>
                      <w:color w:val="auto"/>
                      <w:szCs w:val="21"/>
                    </w:rPr>
                    <w:t>（t/a）</w:t>
                  </w:r>
                </w:p>
              </w:tc>
              <w:tc>
                <w:tcPr>
                  <w:tcW w:w="745" w:type="pct"/>
                  <w:vAlign w:val="center"/>
                </w:tcPr>
                <w:p w14:paraId="3685B8E8">
                  <w:pPr>
                    <w:adjustRightInd w:val="0"/>
                    <w:snapToGrid w:val="0"/>
                    <w:jc w:val="center"/>
                    <w:rPr>
                      <w:b/>
                      <w:color w:val="auto"/>
                      <w:szCs w:val="21"/>
                    </w:rPr>
                  </w:pPr>
                  <w:r>
                    <w:rPr>
                      <w:b/>
                      <w:color w:val="auto"/>
                      <w:szCs w:val="21"/>
                    </w:rPr>
                    <w:t>削减量</w:t>
                  </w:r>
                </w:p>
                <w:p w14:paraId="3F1711B1">
                  <w:pPr>
                    <w:adjustRightInd w:val="0"/>
                    <w:snapToGrid w:val="0"/>
                    <w:jc w:val="center"/>
                    <w:rPr>
                      <w:b/>
                      <w:color w:val="auto"/>
                      <w:szCs w:val="21"/>
                    </w:rPr>
                  </w:pPr>
                  <w:r>
                    <w:rPr>
                      <w:b/>
                      <w:color w:val="auto"/>
                      <w:szCs w:val="21"/>
                    </w:rPr>
                    <w:t>（t/a）</w:t>
                  </w:r>
                </w:p>
              </w:tc>
              <w:tc>
                <w:tcPr>
                  <w:tcW w:w="825" w:type="pct"/>
                  <w:vAlign w:val="center"/>
                </w:tcPr>
                <w:p w14:paraId="307DDBBA">
                  <w:pPr>
                    <w:adjustRightInd w:val="0"/>
                    <w:snapToGrid w:val="0"/>
                    <w:jc w:val="center"/>
                    <w:rPr>
                      <w:b/>
                      <w:color w:val="auto"/>
                      <w:szCs w:val="21"/>
                    </w:rPr>
                  </w:pPr>
                  <w:r>
                    <w:rPr>
                      <w:rFonts w:hint="eastAsia"/>
                      <w:b/>
                      <w:color w:val="auto"/>
                      <w:szCs w:val="21"/>
                      <w:lang w:val="en-US" w:eastAsia="zh-CN"/>
                    </w:rPr>
                    <w:t>排放</w:t>
                  </w:r>
                  <w:r>
                    <w:rPr>
                      <w:b/>
                      <w:color w:val="auto"/>
                      <w:szCs w:val="21"/>
                    </w:rPr>
                    <w:t>量</w:t>
                  </w:r>
                </w:p>
                <w:p w14:paraId="1B269584">
                  <w:pPr>
                    <w:adjustRightInd w:val="0"/>
                    <w:snapToGrid w:val="0"/>
                    <w:jc w:val="center"/>
                    <w:rPr>
                      <w:b/>
                      <w:color w:val="auto"/>
                      <w:szCs w:val="21"/>
                    </w:rPr>
                  </w:pPr>
                  <w:r>
                    <w:rPr>
                      <w:b/>
                      <w:color w:val="auto"/>
                      <w:szCs w:val="21"/>
                    </w:rPr>
                    <w:t>（t/a）</w:t>
                  </w:r>
                </w:p>
              </w:tc>
            </w:tr>
            <w:tr w14:paraId="10899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92" w:hRule="atLeast"/>
                <w:jc w:val="center"/>
              </w:trPr>
              <w:tc>
                <w:tcPr>
                  <w:tcW w:w="614" w:type="pct"/>
                  <w:vMerge w:val="restart"/>
                  <w:vAlign w:val="center"/>
                </w:tcPr>
                <w:p w14:paraId="1F68AD01">
                  <w:pPr>
                    <w:adjustRightInd w:val="0"/>
                    <w:snapToGrid w:val="0"/>
                    <w:jc w:val="center"/>
                    <w:rPr>
                      <w:color w:val="auto"/>
                      <w:szCs w:val="21"/>
                    </w:rPr>
                  </w:pPr>
                  <w:r>
                    <w:rPr>
                      <w:rFonts w:hint="eastAsia"/>
                      <w:color w:val="auto"/>
                      <w:szCs w:val="21"/>
                    </w:rPr>
                    <w:t>废气</w:t>
                  </w:r>
                </w:p>
              </w:tc>
              <w:tc>
                <w:tcPr>
                  <w:tcW w:w="606" w:type="pct"/>
                  <w:vMerge w:val="restart"/>
                  <w:vAlign w:val="center"/>
                </w:tcPr>
                <w:p w14:paraId="216CA13B">
                  <w:pPr>
                    <w:adjustRightInd w:val="0"/>
                    <w:snapToGrid w:val="0"/>
                    <w:jc w:val="center"/>
                    <w:rPr>
                      <w:color w:val="auto"/>
                      <w:szCs w:val="21"/>
                    </w:rPr>
                  </w:pPr>
                  <w:r>
                    <w:rPr>
                      <w:rFonts w:hint="eastAsia"/>
                      <w:color w:val="auto"/>
                      <w:szCs w:val="21"/>
                    </w:rPr>
                    <w:t>有组织</w:t>
                  </w:r>
                </w:p>
              </w:tc>
              <w:tc>
                <w:tcPr>
                  <w:tcW w:w="1287" w:type="pct"/>
                  <w:vAlign w:val="center"/>
                </w:tcPr>
                <w:p w14:paraId="3D1BA0FD">
                  <w:pPr>
                    <w:adjustRightInd w:val="0"/>
                    <w:snapToGrid w:val="0"/>
                    <w:jc w:val="center"/>
                    <w:rPr>
                      <w:color w:val="auto"/>
                      <w:szCs w:val="21"/>
                    </w:rPr>
                  </w:pPr>
                  <w:r>
                    <w:rPr>
                      <w:rFonts w:hint="eastAsia"/>
                      <w:color w:val="auto"/>
                      <w:szCs w:val="21"/>
                    </w:rPr>
                    <w:t>颗粒物</w:t>
                  </w:r>
                </w:p>
              </w:tc>
              <w:tc>
                <w:tcPr>
                  <w:tcW w:w="919" w:type="pct"/>
                  <w:vAlign w:val="center"/>
                </w:tcPr>
                <w:p w14:paraId="00A06E2B">
                  <w:pPr>
                    <w:jc w:val="center"/>
                    <w:rPr>
                      <w:rFonts w:hint="default" w:eastAsia="宋体"/>
                      <w:color w:val="auto"/>
                      <w:szCs w:val="21"/>
                      <w:lang w:val="en-US" w:eastAsia="zh-CN"/>
                    </w:rPr>
                  </w:pPr>
                  <w:r>
                    <w:rPr>
                      <w:rFonts w:hint="eastAsia"/>
                      <w:color w:val="auto"/>
                      <w:szCs w:val="21"/>
                      <w:lang w:val="en-US" w:eastAsia="zh-CN"/>
                    </w:rPr>
                    <w:t>58.5155</w:t>
                  </w:r>
                </w:p>
              </w:tc>
              <w:tc>
                <w:tcPr>
                  <w:tcW w:w="745" w:type="pct"/>
                  <w:vAlign w:val="center"/>
                </w:tcPr>
                <w:p w14:paraId="37D3A895">
                  <w:pPr>
                    <w:jc w:val="center"/>
                    <w:rPr>
                      <w:rFonts w:hint="default" w:eastAsia="宋体"/>
                      <w:color w:val="auto"/>
                      <w:szCs w:val="21"/>
                      <w:lang w:val="en-US" w:eastAsia="zh-CN"/>
                    </w:rPr>
                  </w:pPr>
                  <w:r>
                    <w:rPr>
                      <w:rFonts w:hint="eastAsia"/>
                      <w:color w:val="auto"/>
                      <w:szCs w:val="21"/>
                      <w:lang w:val="en-US" w:eastAsia="zh-CN"/>
                    </w:rPr>
                    <w:t>57.7006</w:t>
                  </w:r>
                </w:p>
              </w:tc>
              <w:tc>
                <w:tcPr>
                  <w:tcW w:w="825" w:type="pct"/>
                  <w:vAlign w:val="center"/>
                </w:tcPr>
                <w:p w14:paraId="6691B6A9">
                  <w:pPr>
                    <w:adjustRightInd w:val="0"/>
                    <w:snapToGrid w:val="0"/>
                    <w:jc w:val="center"/>
                    <w:rPr>
                      <w:rFonts w:hint="default" w:eastAsia="宋体"/>
                      <w:color w:val="auto"/>
                      <w:szCs w:val="21"/>
                      <w:lang w:val="en-US" w:eastAsia="zh-CN"/>
                    </w:rPr>
                  </w:pPr>
                  <w:r>
                    <w:rPr>
                      <w:rFonts w:hint="eastAsia"/>
                      <w:color w:val="auto"/>
                      <w:szCs w:val="21"/>
                      <w:lang w:val="en-US" w:eastAsia="zh-CN"/>
                    </w:rPr>
                    <w:t>0.8149</w:t>
                  </w:r>
                </w:p>
              </w:tc>
            </w:tr>
            <w:tr w14:paraId="41F8F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5" w:hRule="atLeast"/>
                <w:jc w:val="center"/>
              </w:trPr>
              <w:tc>
                <w:tcPr>
                  <w:tcW w:w="614" w:type="pct"/>
                  <w:vMerge w:val="continue"/>
                  <w:vAlign w:val="center"/>
                </w:tcPr>
                <w:p w14:paraId="2C6472B2">
                  <w:pPr>
                    <w:adjustRightInd w:val="0"/>
                    <w:snapToGrid w:val="0"/>
                    <w:jc w:val="center"/>
                    <w:rPr>
                      <w:color w:val="auto"/>
                      <w:szCs w:val="21"/>
                    </w:rPr>
                  </w:pPr>
                </w:p>
              </w:tc>
              <w:tc>
                <w:tcPr>
                  <w:tcW w:w="606" w:type="pct"/>
                  <w:vMerge w:val="continue"/>
                  <w:vAlign w:val="center"/>
                </w:tcPr>
                <w:p w14:paraId="66AE08D1">
                  <w:pPr>
                    <w:adjustRightInd w:val="0"/>
                    <w:snapToGrid w:val="0"/>
                    <w:jc w:val="center"/>
                    <w:rPr>
                      <w:color w:val="auto"/>
                      <w:szCs w:val="21"/>
                    </w:rPr>
                  </w:pPr>
                </w:p>
              </w:tc>
              <w:tc>
                <w:tcPr>
                  <w:tcW w:w="1287" w:type="pct"/>
                  <w:vAlign w:val="center"/>
                </w:tcPr>
                <w:p w14:paraId="15F92810">
                  <w:pPr>
                    <w:adjustRightInd w:val="0"/>
                    <w:snapToGrid w:val="0"/>
                    <w:jc w:val="center"/>
                    <w:rPr>
                      <w:rFonts w:hint="eastAsia" w:eastAsia="宋体"/>
                      <w:color w:val="auto"/>
                      <w:szCs w:val="21"/>
                      <w:lang w:eastAsia="zh-CN"/>
                    </w:rPr>
                  </w:pPr>
                  <w:r>
                    <w:rPr>
                      <w:rFonts w:hint="eastAsia"/>
                      <w:color w:val="auto"/>
                      <w:szCs w:val="21"/>
                    </w:rPr>
                    <w:t>非甲烷总烃</w:t>
                  </w:r>
                </w:p>
              </w:tc>
              <w:tc>
                <w:tcPr>
                  <w:tcW w:w="919" w:type="pct"/>
                  <w:vAlign w:val="center"/>
                </w:tcPr>
                <w:p w14:paraId="2E0D251B">
                  <w:pPr>
                    <w:jc w:val="center"/>
                    <w:rPr>
                      <w:rFonts w:hint="default" w:eastAsia="宋体"/>
                      <w:color w:val="auto"/>
                      <w:szCs w:val="21"/>
                      <w:lang w:val="en-US" w:eastAsia="zh-CN"/>
                    </w:rPr>
                  </w:pPr>
                  <w:r>
                    <w:rPr>
                      <w:rFonts w:hint="eastAsia"/>
                      <w:color w:val="auto"/>
                      <w:szCs w:val="21"/>
                      <w:lang w:val="en-US" w:eastAsia="zh-CN"/>
                    </w:rPr>
                    <w:t>1.4823</w:t>
                  </w:r>
                </w:p>
              </w:tc>
              <w:tc>
                <w:tcPr>
                  <w:tcW w:w="745" w:type="pct"/>
                  <w:vAlign w:val="center"/>
                </w:tcPr>
                <w:p w14:paraId="6CA8F6AB">
                  <w:pPr>
                    <w:jc w:val="center"/>
                    <w:rPr>
                      <w:rFonts w:hint="default" w:eastAsia="宋体"/>
                      <w:color w:val="auto"/>
                      <w:szCs w:val="21"/>
                      <w:lang w:val="en-US" w:eastAsia="zh-CN"/>
                    </w:rPr>
                  </w:pPr>
                  <w:r>
                    <w:rPr>
                      <w:rFonts w:hint="eastAsia"/>
                      <w:color w:val="auto"/>
                      <w:szCs w:val="21"/>
                      <w:lang w:val="en-US" w:eastAsia="zh-CN"/>
                    </w:rPr>
                    <w:t>1.3341</w:t>
                  </w:r>
                </w:p>
              </w:tc>
              <w:tc>
                <w:tcPr>
                  <w:tcW w:w="825" w:type="pct"/>
                  <w:vAlign w:val="center"/>
                </w:tcPr>
                <w:p w14:paraId="0C3E25F6">
                  <w:pPr>
                    <w:jc w:val="center"/>
                    <w:rPr>
                      <w:rFonts w:hint="default" w:eastAsia="宋体"/>
                      <w:color w:val="auto"/>
                      <w:szCs w:val="21"/>
                      <w:lang w:val="en-US" w:eastAsia="zh-CN"/>
                    </w:rPr>
                  </w:pPr>
                  <w:r>
                    <w:rPr>
                      <w:rFonts w:hint="eastAsia"/>
                      <w:color w:val="auto"/>
                      <w:szCs w:val="21"/>
                      <w:lang w:val="en-US" w:eastAsia="zh-CN"/>
                    </w:rPr>
                    <w:t>0.1482</w:t>
                  </w:r>
                </w:p>
              </w:tc>
            </w:tr>
            <w:tr w14:paraId="6DEB9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9" w:hRule="atLeast"/>
                <w:jc w:val="center"/>
              </w:trPr>
              <w:tc>
                <w:tcPr>
                  <w:tcW w:w="614" w:type="pct"/>
                  <w:vMerge w:val="continue"/>
                  <w:vAlign w:val="center"/>
                </w:tcPr>
                <w:p w14:paraId="70CAE2E2">
                  <w:pPr>
                    <w:adjustRightInd w:val="0"/>
                    <w:snapToGrid w:val="0"/>
                    <w:jc w:val="center"/>
                    <w:rPr>
                      <w:color w:val="auto"/>
                      <w:szCs w:val="21"/>
                    </w:rPr>
                  </w:pPr>
                </w:p>
              </w:tc>
              <w:tc>
                <w:tcPr>
                  <w:tcW w:w="606" w:type="pct"/>
                  <w:vMerge w:val="continue"/>
                  <w:vAlign w:val="center"/>
                </w:tcPr>
                <w:p w14:paraId="78492DB4">
                  <w:pPr>
                    <w:adjustRightInd w:val="0"/>
                    <w:snapToGrid w:val="0"/>
                    <w:jc w:val="center"/>
                    <w:rPr>
                      <w:color w:val="auto"/>
                      <w:szCs w:val="21"/>
                    </w:rPr>
                  </w:pPr>
                </w:p>
              </w:tc>
              <w:tc>
                <w:tcPr>
                  <w:tcW w:w="1287" w:type="pct"/>
                  <w:vAlign w:val="center"/>
                </w:tcPr>
                <w:p w14:paraId="16AD3327">
                  <w:pPr>
                    <w:adjustRightInd w:val="0"/>
                    <w:snapToGrid w:val="0"/>
                    <w:jc w:val="center"/>
                    <w:rPr>
                      <w:rFonts w:hint="eastAsia" w:eastAsia="宋体"/>
                      <w:color w:val="auto"/>
                      <w:szCs w:val="21"/>
                      <w:lang w:val="en-US" w:eastAsia="zh-CN"/>
                    </w:rPr>
                  </w:pPr>
                  <w:r>
                    <w:rPr>
                      <w:rFonts w:hint="eastAsia"/>
                      <w:color w:val="auto"/>
                      <w:szCs w:val="21"/>
                      <w:lang w:val="en-US" w:eastAsia="zh-CN"/>
                    </w:rPr>
                    <w:t>甲醛</w:t>
                  </w:r>
                </w:p>
              </w:tc>
              <w:tc>
                <w:tcPr>
                  <w:tcW w:w="919" w:type="pct"/>
                  <w:vAlign w:val="center"/>
                </w:tcPr>
                <w:p w14:paraId="0E5C2011">
                  <w:pPr>
                    <w:jc w:val="center"/>
                    <w:rPr>
                      <w:rFonts w:hint="default"/>
                      <w:color w:val="auto"/>
                      <w:szCs w:val="21"/>
                      <w:lang w:val="en-US" w:eastAsia="zh-CN"/>
                    </w:rPr>
                  </w:pPr>
                  <w:r>
                    <w:rPr>
                      <w:rFonts w:hint="eastAsia"/>
                      <w:color w:val="auto"/>
                      <w:szCs w:val="21"/>
                      <w:lang w:val="en-US" w:eastAsia="zh-CN"/>
                    </w:rPr>
                    <w:t>0.027</w:t>
                  </w:r>
                </w:p>
              </w:tc>
              <w:tc>
                <w:tcPr>
                  <w:tcW w:w="745" w:type="pct"/>
                  <w:vAlign w:val="center"/>
                </w:tcPr>
                <w:p w14:paraId="01833122">
                  <w:pPr>
                    <w:jc w:val="center"/>
                    <w:rPr>
                      <w:rFonts w:hint="default"/>
                      <w:color w:val="auto"/>
                      <w:szCs w:val="21"/>
                      <w:lang w:val="en-US" w:eastAsia="zh-CN"/>
                    </w:rPr>
                  </w:pPr>
                  <w:r>
                    <w:rPr>
                      <w:rFonts w:hint="eastAsia"/>
                      <w:color w:val="auto"/>
                      <w:szCs w:val="21"/>
                      <w:lang w:val="en-US" w:eastAsia="zh-CN"/>
                    </w:rPr>
                    <w:t>0.024</w:t>
                  </w:r>
                </w:p>
              </w:tc>
              <w:tc>
                <w:tcPr>
                  <w:tcW w:w="825" w:type="pct"/>
                  <w:vAlign w:val="center"/>
                </w:tcPr>
                <w:p w14:paraId="7B0F5096">
                  <w:pPr>
                    <w:jc w:val="center"/>
                    <w:rPr>
                      <w:rFonts w:hint="default"/>
                      <w:color w:val="auto"/>
                      <w:szCs w:val="21"/>
                      <w:lang w:val="en-US" w:eastAsia="zh-CN"/>
                    </w:rPr>
                  </w:pPr>
                  <w:r>
                    <w:rPr>
                      <w:rFonts w:hint="eastAsia"/>
                      <w:color w:val="auto"/>
                      <w:szCs w:val="21"/>
                      <w:lang w:val="en-US" w:eastAsia="zh-CN"/>
                    </w:rPr>
                    <w:t>0.003</w:t>
                  </w:r>
                </w:p>
              </w:tc>
            </w:tr>
            <w:tr w14:paraId="72BF0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24" w:hRule="atLeast"/>
                <w:jc w:val="center"/>
              </w:trPr>
              <w:tc>
                <w:tcPr>
                  <w:tcW w:w="614" w:type="pct"/>
                  <w:vMerge w:val="continue"/>
                  <w:vAlign w:val="center"/>
                </w:tcPr>
                <w:p w14:paraId="66486F13">
                  <w:pPr>
                    <w:adjustRightInd w:val="0"/>
                    <w:snapToGrid w:val="0"/>
                    <w:jc w:val="center"/>
                    <w:rPr>
                      <w:color w:val="auto"/>
                      <w:szCs w:val="21"/>
                    </w:rPr>
                  </w:pPr>
                </w:p>
              </w:tc>
              <w:tc>
                <w:tcPr>
                  <w:tcW w:w="606" w:type="pct"/>
                  <w:vMerge w:val="continue"/>
                  <w:vAlign w:val="center"/>
                </w:tcPr>
                <w:p w14:paraId="57056CB0">
                  <w:pPr>
                    <w:adjustRightInd w:val="0"/>
                    <w:snapToGrid w:val="0"/>
                    <w:jc w:val="center"/>
                    <w:rPr>
                      <w:color w:val="auto"/>
                      <w:szCs w:val="21"/>
                    </w:rPr>
                  </w:pPr>
                </w:p>
              </w:tc>
              <w:tc>
                <w:tcPr>
                  <w:tcW w:w="1287" w:type="pct"/>
                  <w:vAlign w:val="center"/>
                </w:tcPr>
                <w:p w14:paraId="1EAF7ABC">
                  <w:pPr>
                    <w:adjustRightInd w:val="0"/>
                    <w:snapToGrid w:val="0"/>
                    <w:jc w:val="center"/>
                    <w:rPr>
                      <w:rFonts w:hint="eastAsia" w:eastAsia="宋体"/>
                      <w:color w:val="auto"/>
                      <w:szCs w:val="21"/>
                      <w:lang w:val="en-US" w:eastAsia="zh-CN"/>
                    </w:rPr>
                  </w:pPr>
                  <w:r>
                    <w:rPr>
                      <w:rFonts w:hint="eastAsia"/>
                      <w:color w:val="auto"/>
                      <w:szCs w:val="21"/>
                      <w:lang w:val="en-US" w:eastAsia="zh-CN"/>
                    </w:rPr>
                    <w:t>酚类</w:t>
                  </w:r>
                </w:p>
              </w:tc>
              <w:tc>
                <w:tcPr>
                  <w:tcW w:w="919" w:type="pct"/>
                  <w:vAlign w:val="center"/>
                </w:tcPr>
                <w:p w14:paraId="6D7B9E5B">
                  <w:pPr>
                    <w:jc w:val="center"/>
                    <w:rPr>
                      <w:rFonts w:hint="default"/>
                      <w:color w:val="auto"/>
                      <w:szCs w:val="21"/>
                      <w:lang w:val="en-US" w:eastAsia="zh-CN"/>
                    </w:rPr>
                  </w:pPr>
                  <w:r>
                    <w:rPr>
                      <w:rFonts w:hint="eastAsia"/>
                      <w:color w:val="auto"/>
                      <w:szCs w:val="21"/>
                      <w:lang w:val="en-US" w:eastAsia="zh-CN"/>
                    </w:rPr>
                    <w:t>0.081</w:t>
                  </w:r>
                </w:p>
              </w:tc>
              <w:tc>
                <w:tcPr>
                  <w:tcW w:w="745" w:type="pct"/>
                  <w:vAlign w:val="center"/>
                </w:tcPr>
                <w:p w14:paraId="55F19E78">
                  <w:pPr>
                    <w:jc w:val="center"/>
                    <w:rPr>
                      <w:rFonts w:hint="default"/>
                      <w:color w:val="auto"/>
                      <w:szCs w:val="21"/>
                      <w:lang w:val="en-US" w:eastAsia="zh-CN"/>
                    </w:rPr>
                  </w:pPr>
                  <w:r>
                    <w:rPr>
                      <w:rFonts w:hint="eastAsia"/>
                      <w:color w:val="auto"/>
                      <w:szCs w:val="21"/>
                      <w:lang w:val="en-US" w:eastAsia="zh-CN"/>
                    </w:rPr>
                    <w:t>0.073</w:t>
                  </w:r>
                </w:p>
              </w:tc>
              <w:tc>
                <w:tcPr>
                  <w:tcW w:w="825" w:type="pct"/>
                  <w:vAlign w:val="center"/>
                </w:tcPr>
                <w:p w14:paraId="74FE1F72">
                  <w:pPr>
                    <w:jc w:val="center"/>
                    <w:rPr>
                      <w:rFonts w:hint="default"/>
                      <w:color w:val="auto"/>
                      <w:szCs w:val="21"/>
                      <w:lang w:val="en-US" w:eastAsia="zh-CN"/>
                    </w:rPr>
                  </w:pPr>
                  <w:r>
                    <w:rPr>
                      <w:rFonts w:hint="eastAsia"/>
                      <w:color w:val="auto"/>
                      <w:szCs w:val="21"/>
                      <w:lang w:val="en-US" w:eastAsia="zh-CN"/>
                    </w:rPr>
                    <w:t>0.008</w:t>
                  </w:r>
                </w:p>
              </w:tc>
            </w:tr>
            <w:tr w14:paraId="3316E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4" w:hRule="atLeast"/>
                <w:jc w:val="center"/>
              </w:trPr>
              <w:tc>
                <w:tcPr>
                  <w:tcW w:w="614" w:type="pct"/>
                  <w:vMerge w:val="continue"/>
                  <w:vAlign w:val="center"/>
                </w:tcPr>
                <w:p w14:paraId="0AB50332">
                  <w:pPr>
                    <w:adjustRightInd w:val="0"/>
                    <w:snapToGrid w:val="0"/>
                    <w:jc w:val="center"/>
                    <w:rPr>
                      <w:color w:val="auto"/>
                      <w:szCs w:val="21"/>
                    </w:rPr>
                  </w:pPr>
                </w:p>
              </w:tc>
              <w:tc>
                <w:tcPr>
                  <w:tcW w:w="606" w:type="pct"/>
                  <w:vMerge w:val="restart"/>
                  <w:vAlign w:val="center"/>
                </w:tcPr>
                <w:p w14:paraId="0ACFE4F2">
                  <w:pPr>
                    <w:adjustRightInd w:val="0"/>
                    <w:snapToGrid w:val="0"/>
                    <w:jc w:val="center"/>
                    <w:rPr>
                      <w:color w:val="auto"/>
                      <w:szCs w:val="21"/>
                    </w:rPr>
                  </w:pPr>
                  <w:r>
                    <w:rPr>
                      <w:rFonts w:hint="eastAsia"/>
                      <w:color w:val="auto"/>
                      <w:szCs w:val="21"/>
                    </w:rPr>
                    <w:t>无组织</w:t>
                  </w:r>
                </w:p>
              </w:tc>
              <w:tc>
                <w:tcPr>
                  <w:tcW w:w="1287" w:type="pct"/>
                  <w:vAlign w:val="center"/>
                </w:tcPr>
                <w:p w14:paraId="348C31D8">
                  <w:pPr>
                    <w:adjustRightInd w:val="0"/>
                    <w:snapToGrid w:val="0"/>
                    <w:jc w:val="center"/>
                    <w:rPr>
                      <w:color w:val="auto"/>
                      <w:szCs w:val="21"/>
                    </w:rPr>
                  </w:pPr>
                  <w:r>
                    <w:rPr>
                      <w:rFonts w:hint="eastAsia"/>
                      <w:color w:val="auto"/>
                      <w:szCs w:val="21"/>
                    </w:rPr>
                    <w:t>颗粒物</w:t>
                  </w:r>
                </w:p>
              </w:tc>
              <w:tc>
                <w:tcPr>
                  <w:tcW w:w="919" w:type="pct"/>
                  <w:vAlign w:val="center"/>
                </w:tcPr>
                <w:p w14:paraId="6A2F78FE">
                  <w:pPr>
                    <w:jc w:val="center"/>
                    <w:rPr>
                      <w:rFonts w:hint="default" w:eastAsia="宋体"/>
                      <w:color w:val="auto"/>
                      <w:szCs w:val="21"/>
                      <w:lang w:val="en-US" w:eastAsia="zh-CN"/>
                    </w:rPr>
                  </w:pPr>
                  <w:r>
                    <w:rPr>
                      <w:rFonts w:hint="eastAsia" w:ascii="Times New Roman" w:hAnsi="Times New Roman" w:eastAsia="宋体" w:cs="Times New Roman"/>
                      <w:color w:val="auto"/>
                      <w:szCs w:val="21"/>
                      <w:lang w:val="en-US" w:eastAsia="zh-CN"/>
                    </w:rPr>
                    <w:t>0.2567</w:t>
                  </w:r>
                </w:p>
              </w:tc>
              <w:tc>
                <w:tcPr>
                  <w:tcW w:w="745" w:type="pct"/>
                  <w:vAlign w:val="center"/>
                </w:tcPr>
                <w:p w14:paraId="660C676B">
                  <w:pPr>
                    <w:jc w:val="center"/>
                    <w:rPr>
                      <w:rFonts w:hint="default" w:eastAsia="宋体"/>
                      <w:color w:val="auto"/>
                      <w:szCs w:val="21"/>
                      <w:lang w:val="en-US" w:eastAsia="zh-CN"/>
                    </w:rPr>
                  </w:pPr>
                  <w:r>
                    <w:rPr>
                      <w:rFonts w:hint="eastAsia"/>
                      <w:color w:val="auto"/>
                      <w:szCs w:val="21"/>
                      <w:lang w:val="en-US" w:eastAsia="zh-CN"/>
                    </w:rPr>
                    <w:t>0</w:t>
                  </w:r>
                </w:p>
              </w:tc>
              <w:tc>
                <w:tcPr>
                  <w:tcW w:w="825" w:type="pct"/>
                  <w:vAlign w:val="center"/>
                </w:tcPr>
                <w:p w14:paraId="2B59453A">
                  <w:pPr>
                    <w:jc w:val="center"/>
                    <w:rPr>
                      <w:rFonts w:hint="default"/>
                      <w:color w:val="auto"/>
                      <w:szCs w:val="21"/>
                      <w:lang w:val="en-US"/>
                    </w:rPr>
                  </w:pPr>
                  <w:r>
                    <w:rPr>
                      <w:rFonts w:hint="eastAsia" w:ascii="Times New Roman" w:hAnsi="Times New Roman" w:eastAsia="宋体" w:cs="Times New Roman"/>
                      <w:color w:val="auto"/>
                      <w:szCs w:val="21"/>
                      <w:lang w:val="en-US" w:eastAsia="zh-CN"/>
                    </w:rPr>
                    <w:t>0.2567</w:t>
                  </w:r>
                </w:p>
              </w:tc>
            </w:tr>
            <w:tr w14:paraId="6A1BD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7" w:hRule="atLeast"/>
                <w:jc w:val="center"/>
              </w:trPr>
              <w:tc>
                <w:tcPr>
                  <w:tcW w:w="614" w:type="pct"/>
                  <w:vMerge w:val="continue"/>
                  <w:vAlign w:val="center"/>
                </w:tcPr>
                <w:p w14:paraId="4BAAD87C">
                  <w:pPr>
                    <w:adjustRightInd w:val="0"/>
                    <w:snapToGrid w:val="0"/>
                    <w:jc w:val="center"/>
                    <w:rPr>
                      <w:color w:val="auto"/>
                      <w:szCs w:val="21"/>
                    </w:rPr>
                  </w:pPr>
                </w:p>
              </w:tc>
              <w:tc>
                <w:tcPr>
                  <w:tcW w:w="606" w:type="pct"/>
                  <w:vMerge w:val="continue"/>
                  <w:vAlign w:val="center"/>
                </w:tcPr>
                <w:p w14:paraId="56CC890C">
                  <w:pPr>
                    <w:adjustRightInd w:val="0"/>
                    <w:snapToGrid w:val="0"/>
                    <w:jc w:val="center"/>
                    <w:rPr>
                      <w:color w:val="auto"/>
                      <w:szCs w:val="21"/>
                    </w:rPr>
                  </w:pPr>
                </w:p>
              </w:tc>
              <w:tc>
                <w:tcPr>
                  <w:tcW w:w="1287" w:type="pct"/>
                  <w:vAlign w:val="center"/>
                </w:tcPr>
                <w:p w14:paraId="52F5E29E">
                  <w:pPr>
                    <w:adjustRightInd w:val="0"/>
                    <w:snapToGrid w:val="0"/>
                    <w:jc w:val="center"/>
                    <w:rPr>
                      <w:color w:val="auto"/>
                      <w:szCs w:val="21"/>
                    </w:rPr>
                  </w:pPr>
                  <w:r>
                    <w:rPr>
                      <w:rFonts w:hint="eastAsia"/>
                      <w:color w:val="auto"/>
                      <w:szCs w:val="21"/>
                    </w:rPr>
                    <w:t>非甲烷总烃</w:t>
                  </w:r>
                </w:p>
              </w:tc>
              <w:tc>
                <w:tcPr>
                  <w:tcW w:w="919" w:type="pct"/>
                  <w:vAlign w:val="center"/>
                </w:tcPr>
                <w:p w14:paraId="1C1AEC24">
                  <w:pPr>
                    <w:jc w:val="center"/>
                    <w:rPr>
                      <w:rFonts w:hint="default" w:eastAsia="宋体"/>
                      <w:color w:val="auto"/>
                      <w:szCs w:val="21"/>
                      <w:lang w:val="en-US" w:eastAsia="zh-CN"/>
                    </w:rPr>
                  </w:pPr>
                  <w:r>
                    <w:rPr>
                      <w:rFonts w:hint="eastAsia" w:ascii="Times New Roman" w:hAnsi="Times New Roman" w:eastAsia="宋体" w:cs="Times New Roman"/>
                      <w:color w:val="auto"/>
                      <w:szCs w:val="21"/>
                      <w:lang w:val="en-US" w:eastAsia="zh-CN"/>
                    </w:rPr>
                    <w:t>0.1677</w:t>
                  </w:r>
                </w:p>
              </w:tc>
              <w:tc>
                <w:tcPr>
                  <w:tcW w:w="745" w:type="pct"/>
                  <w:vAlign w:val="center"/>
                </w:tcPr>
                <w:p w14:paraId="30DF8BDF">
                  <w:pPr>
                    <w:jc w:val="center"/>
                    <w:rPr>
                      <w:rFonts w:hint="default" w:eastAsia="宋体"/>
                      <w:color w:val="auto"/>
                      <w:szCs w:val="21"/>
                      <w:lang w:val="en-US" w:eastAsia="zh-CN"/>
                    </w:rPr>
                  </w:pPr>
                  <w:r>
                    <w:rPr>
                      <w:rFonts w:hint="eastAsia"/>
                      <w:color w:val="auto"/>
                      <w:szCs w:val="21"/>
                      <w:lang w:val="en-US" w:eastAsia="zh-CN"/>
                    </w:rPr>
                    <w:t>0</w:t>
                  </w:r>
                </w:p>
              </w:tc>
              <w:tc>
                <w:tcPr>
                  <w:tcW w:w="825" w:type="pct"/>
                  <w:vAlign w:val="center"/>
                </w:tcPr>
                <w:p w14:paraId="0D36AF74">
                  <w:pPr>
                    <w:jc w:val="center"/>
                    <w:rPr>
                      <w:rFonts w:hint="default"/>
                      <w:color w:val="auto"/>
                      <w:szCs w:val="21"/>
                      <w:lang w:val="en-US"/>
                    </w:rPr>
                  </w:pPr>
                  <w:r>
                    <w:rPr>
                      <w:rFonts w:hint="eastAsia" w:ascii="Times New Roman" w:hAnsi="Times New Roman" w:eastAsia="宋体" w:cs="Times New Roman"/>
                      <w:color w:val="auto"/>
                      <w:szCs w:val="21"/>
                      <w:lang w:val="en-US" w:eastAsia="zh-CN"/>
                    </w:rPr>
                    <w:t>0.1677</w:t>
                  </w:r>
                </w:p>
              </w:tc>
            </w:tr>
            <w:tr w14:paraId="472E3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92" w:hRule="atLeast"/>
                <w:jc w:val="center"/>
              </w:trPr>
              <w:tc>
                <w:tcPr>
                  <w:tcW w:w="614" w:type="pct"/>
                  <w:vMerge w:val="continue"/>
                  <w:vAlign w:val="center"/>
                </w:tcPr>
                <w:p w14:paraId="12707D2E">
                  <w:pPr>
                    <w:adjustRightInd w:val="0"/>
                    <w:snapToGrid w:val="0"/>
                    <w:jc w:val="center"/>
                    <w:rPr>
                      <w:color w:val="auto"/>
                      <w:szCs w:val="21"/>
                    </w:rPr>
                  </w:pPr>
                </w:p>
              </w:tc>
              <w:tc>
                <w:tcPr>
                  <w:tcW w:w="606" w:type="pct"/>
                  <w:vMerge w:val="continue"/>
                  <w:vAlign w:val="center"/>
                </w:tcPr>
                <w:p w14:paraId="620485BA">
                  <w:pPr>
                    <w:adjustRightInd w:val="0"/>
                    <w:snapToGrid w:val="0"/>
                    <w:jc w:val="center"/>
                    <w:rPr>
                      <w:color w:val="auto"/>
                      <w:szCs w:val="21"/>
                    </w:rPr>
                  </w:pPr>
                </w:p>
              </w:tc>
              <w:tc>
                <w:tcPr>
                  <w:tcW w:w="1287" w:type="pct"/>
                  <w:vAlign w:val="center"/>
                </w:tcPr>
                <w:p w14:paraId="1A890A1E">
                  <w:pPr>
                    <w:adjustRightInd w:val="0"/>
                    <w:snapToGrid w:val="0"/>
                    <w:jc w:val="center"/>
                    <w:rPr>
                      <w:rFonts w:hint="eastAsia"/>
                      <w:color w:val="auto"/>
                      <w:szCs w:val="21"/>
                    </w:rPr>
                  </w:pPr>
                  <w:r>
                    <w:rPr>
                      <w:rFonts w:hint="eastAsia"/>
                      <w:color w:val="auto"/>
                      <w:szCs w:val="21"/>
                      <w:lang w:val="en-US" w:eastAsia="zh-CN"/>
                    </w:rPr>
                    <w:t>甲醛</w:t>
                  </w:r>
                </w:p>
              </w:tc>
              <w:tc>
                <w:tcPr>
                  <w:tcW w:w="919" w:type="pct"/>
                  <w:vAlign w:val="center"/>
                </w:tcPr>
                <w:p w14:paraId="54B7920E">
                  <w:pPr>
                    <w:jc w:val="center"/>
                    <w:rPr>
                      <w:rFonts w:hint="default"/>
                      <w:color w:val="auto"/>
                      <w:szCs w:val="21"/>
                      <w:lang w:val="en-US" w:eastAsia="zh-CN"/>
                    </w:rPr>
                  </w:pPr>
                  <w:r>
                    <w:rPr>
                      <w:rFonts w:hint="eastAsia" w:ascii="Times New Roman" w:hAnsi="Times New Roman" w:eastAsia="宋体" w:cs="Times New Roman"/>
                      <w:color w:val="auto"/>
                      <w:szCs w:val="21"/>
                      <w:lang w:val="en-US" w:eastAsia="zh-CN"/>
                    </w:rPr>
                    <w:t>0.003</w:t>
                  </w:r>
                </w:p>
              </w:tc>
              <w:tc>
                <w:tcPr>
                  <w:tcW w:w="745" w:type="pct"/>
                  <w:vAlign w:val="center"/>
                </w:tcPr>
                <w:p w14:paraId="546CF2EF">
                  <w:pPr>
                    <w:jc w:val="center"/>
                    <w:rPr>
                      <w:rFonts w:hint="default"/>
                      <w:color w:val="auto"/>
                      <w:szCs w:val="21"/>
                      <w:lang w:val="en-US" w:eastAsia="zh-CN"/>
                    </w:rPr>
                  </w:pPr>
                  <w:r>
                    <w:rPr>
                      <w:rFonts w:hint="eastAsia"/>
                      <w:color w:val="auto"/>
                      <w:szCs w:val="21"/>
                      <w:lang w:val="en-US" w:eastAsia="zh-CN"/>
                    </w:rPr>
                    <w:t>0</w:t>
                  </w:r>
                </w:p>
              </w:tc>
              <w:tc>
                <w:tcPr>
                  <w:tcW w:w="825" w:type="pct"/>
                  <w:vAlign w:val="center"/>
                </w:tcPr>
                <w:p w14:paraId="2FF3E5EF">
                  <w:pPr>
                    <w:jc w:val="center"/>
                    <w:rPr>
                      <w:color w:val="auto"/>
                    </w:rPr>
                  </w:pPr>
                  <w:r>
                    <w:rPr>
                      <w:rFonts w:hint="eastAsia" w:ascii="Times New Roman" w:hAnsi="Times New Roman" w:eastAsia="宋体" w:cs="Times New Roman"/>
                      <w:color w:val="auto"/>
                      <w:szCs w:val="21"/>
                      <w:lang w:val="en-US" w:eastAsia="zh-CN"/>
                    </w:rPr>
                    <w:t>0.003</w:t>
                  </w:r>
                </w:p>
              </w:tc>
            </w:tr>
            <w:tr w14:paraId="0EDCD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21" w:hRule="atLeast"/>
                <w:jc w:val="center"/>
              </w:trPr>
              <w:tc>
                <w:tcPr>
                  <w:tcW w:w="614" w:type="pct"/>
                  <w:vMerge w:val="continue"/>
                  <w:vAlign w:val="center"/>
                </w:tcPr>
                <w:p w14:paraId="4577B0B7">
                  <w:pPr>
                    <w:adjustRightInd w:val="0"/>
                    <w:snapToGrid w:val="0"/>
                    <w:jc w:val="center"/>
                    <w:rPr>
                      <w:color w:val="auto"/>
                      <w:szCs w:val="21"/>
                    </w:rPr>
                  </w:pPr>
                </w:p>
              </w:tc>
              <w:tc>
                <w:tcPr>
                  <w:tcW w:w="606" w:type="pct"/>
                  <w:vMerge w:val="continue"/>
                  <w:vAlign w:val="center"/>
                </w:tcPr>
                <w:p w14:paraId="0F19E0A8">
                  <w:pPr>
                    <w:adjustRightInd w:val="0"/>
                    <w:snapToGrid w:val="0"/>
                    <w:jc w:val="center"/>
                    <w:rPr>
                      <w:color w:val="auto"/>
                      <w:szCs w:val="21"/>
                    </w:rPr>
                  </w:pPr>
                </w:p>
              </w:tc>
              <w:tc>
                <w:tcPr>
                  <w:tcW w:w="1287" w:type="pct"/>
                  <w:vAlign w:val="center"/>
                </w:tcPr>
                <w:p w14:paraId="05E53DB5">
                  <w:pPr>
                    <w:adjustRightInd w:val="0"/>
                    <w:snapToGrid w:val="0"/>
                    <w:jc w:val="center"/>
                    <w:rPr>
                      <w:rFonts w:hint="eastAsia"/>
                      <w:color w:val="auto"/>
                      <w:szCs w:val="21"/>
                    </w:rPr>
                  </w:pPr>
                  <w:r>
                    <w:rPr>
                      <w:rFonts w:hint="eastAsia"/>
                      <w:color w:val="auto"/>
                      <w:szCs w:val="21"/>
                      <w:lang w:val="en-US" w:eastAsia="zh-CN"/>
                    </w:rPr>
                    <w:t>酚类</w:t>
                  </w:r>
                </w:p>
              </w:tc>
              <w:tc>
                <w:tcPr>
                  <w:tcW w:w="919" w:type="pct"/>
                  <w:vAlign w:val="center"/>
                </w:tcPr>
                <w:p w14:paraId="09EE86F4">
                  <w:pPr>
                    <w:jc w:val="center"/>
                    <w:rPr>
                      <w:rFonts w:hint="default"/>
                      <w:color w:val="auto"/>
                      <w:szCs w:val="21"/>
                      <w:lang w:val="en-US" w:eastAsia="zh-CN"/>
                    </w:rPr>
                  </w:pPr>
                  <w:r>
                    <w:rPr>
                      <w:rFonts w:hint="eastAsia" w:ascii="Times New Roman" w:hAnsi="Times New Roman" w:eastAsia="宋体" w:cs="Times New Roman"/>
                      <w:color w:val="auto"/>
                      <w:szCs w:val="21"/>
                      <w:lang w:val="en-US" w:eastAsia="zh-CN"/>
                    </w:rPr>
                    <w:t>0.009</w:t>
                  </w:r>
                </w:p>
              </w:tc>
              <w:tc>
                <w:tcPr>
                  <w:tcW w:w="745" w:type="pct"/>
                  <w:vAlign w:val="center"/>
                </w:tcPr>
                <w:p w14:paraId="5727ACF2">
                  <w:pPr>
                    <w:jc w:val="center"/>
                    <w:rPr>
                      <w:rFonts w:hint="default"/>
                      <w:color w:val="auto"/>
                      <w:szCs w:val="21"/>
                      <w:lang w:val="en-US" w:eastAsia="zh-CN"/>
                    </w:rPr>
                  </w:pPr>
                  <w:r>
                    <w:rPr>
                      <w:rFonts w:hint="eastAsia"/>
                      <w:color w:val="auto"/>
                      <w:szCs w:val="21"/>
                      <w:lang w:val="en-US" w:eastAsia="zh-CN"/>
                    </w:rPr>
                    <w:t>0</w:t>
                  </w:r>
                </w:p>
              </w:tc>
              <w:tc>
                <w:tcPr>
                  <w:tcW w:w="825" w:type="pct"/>
                  <w:vAlign w:val="center"/>
                </w:tcPr>
                <w:p w14:paraId="0CCB7A4B">
                  <w:pPr>
                    <w:jc w:val="center"/>
                    <w:rPr>
                      <w:color w:val="auto"/>
                    </w:rPr>
                  </w:pPr>
                  <w:r>
                    <w:rPr>
                      <w:rFonts w:hint="eastAsia" w:ascii="Times New Roman" w:hAnsi="Times New Roman" w:eastAsia="宋体" w:cs="Times New Roman"/>
                      <w:color w:val="auto"/>
                      <w:szCs w:val="21"/>
                      <w:lang w:val="en-US" w:eastAsia="zh-CN"/>
                    </w:rPr>
                    <w:t>0.009</w:t>
                  </w:r>
                </w:p>
              </w:tc>
            </w:tr>
            <w:tr w14:paraId="3ACAC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614" w:type="pct"/>
                  <w:vMerge w:val="restart"/>
                  <w:vAlign w:val="center"/>
                </w:tcPr>
                <w:p w14:paraId="11D8A562">
                  <w:pPr>
                    <w:adjustRightInd w:val="0"/>
                    <w:snapToGrid w:val="0"/>
                    <w:jc w:val="center"/>
                    <w:rPr>
                      <w:color w:val="auto"/>
                      <w:szCs w:val="21"/>
                    </w:rPr>
                  </w:pPr>
                  <w:r>
                    <w:rPr>
                      <w:rFonts w:hint="eastAsia"/>
                      <w:color w:val="auto"/>
                      <w:szCs w:val="21"/>
                    </w:rPr>
                    <w:t>废水</w:t>
                  </w:r>
                </w:p>
              </w:tc>
              <w:tc>
                <w:tcPr>
                  <w:tcW w:w="1894" w:type="pct"/>
                  <w:gridSpan w:val="2"/>
                  <w:vAlign w:val="center"/>
                </w:tcPr>
                <w:p w14:paraId="3E965D5E">
                  <w:pPr>
                    <w:adjustRightInd w:val="0"/>
                    <w:snapToGrid w:val="0"/>
                    <w:jc w:val="center"/>
                    <w:rPr>
                      <w:color w:val="auto"/>
                      <w:szCs w:val="21"/>
                    </w:rPr>
                  </w:pPr>
                  <w:r>
                    <w:rPr>
                      <w:rFonts w:hint="eastAsia"/>
                      <w:color w:val="auto"/>
                      <w:szCs w:val="21"/>
                    </w:rPr>
                    <w:t>水量</w:t>
                  </w:r>
                </w:p>
              </w:tc>
              <w:tc>
                <w:tcPr>
                  <w:tcW w:w="919" w:type="pct"/>
                  <w:vAlign w:val="center"/>
                </w:tcPr>
                <w:p w14:paraId="14359EC9">
                  <w:pPr>
                    <w:jc w:val="center"/>
                    <w:rPr>
                      <w:rFonts w:hint="default" w:eastAsia="宋体"/>
                      <w:color w:val="auto"/>
                      <w:szCs w:val="21"/>
                      <w:lang w:val="en-US" w:eastAsia="zh-CN"/>
                    </w:rPr>
                  </w:pPr>
                  <w:r>
                    <w:rPr>
                      <w:rFonts w:hint="eastAsia"/>
                      <w:color w:val="auto"/>
                      <w:szCs w:val="21"/>
                      <w:lang w:val="en-US" w:eastAsia="zh-CN"/>
                    </w:rPr>
                    <w:t>0</w:t>
                  </w:r>
                </w:p>
              </w:tc>
              <w:tc>
                <w:tcPr>
                  <w:tcW w:w="745" w:type="pct"/>
                  <w:vAlign w:val="center"/>
                </w:tcPr>
                <w:p w14:paraId="7FBD5F92">
                  <w:pPr>
                    <w:jc w:val="center"/>
                    <w:rPr>
                      <w:rFonts w:hint="eastAsia" w:eastAsia="宋体"/>
                      <w:color w:val="auto"/>
                      <w:szCs w:val="21"/>
                      <w:lang w:val="en-US" w:eastAsia="zh-CN"/>
                    </w:rPr>
                  </w:pPr>
                  <w:r>
                    <w:rPr>
                      <w:rFonts w:hint="eastAsia"/>
                      <w:color w:val="auto"/>
                      <w:szCs w:val="21"/>
                      <w:lang w:val="en-US" w:eastAsia="zh-CN"/>
                    </w:rPr>
                    <w:t>0</w:t>
                  </w:r>
                </w:p>
              </w:tc>
              <w:tc>
                <w:tcPr>
                  <w:tcW w:w="825" w:type="pct"/>
                  <w:vAlign w:val="center"/>
                </w:tcPr>
                <w:p w14:paraId="029D2FF3">
                  <w:pPr>
                    <w:jc w:val="center"/>
                    <w:rPr>
                      <w:rFonts w:hint="default" w:eastAsia="宋体"/>
                      <w:bCs/>
                      <w:color w:val="auto"/>
                      <w:szCs w:val="21"/>
                      <w:lang w:val="en-US" w:eastAsia="zh-CN"/>
                    </w:rPr>
                  </w:pPr>
                  <w:r>
                    <w:rPr>
                      <w:rFonts w:hint="eastAsia"/>
                      <w:color w:val="auto"/>
                      <w:szCs w:val="21"/>
                      <w:lang w:val="en-US" w:eastAsia="zh-CN"/>
                    </w:rPr>
                    <w:t>0</w:t>
                  </w:r>
                </w:p>
              </w:tc>
            </w:tr>
            <w:tr w14:paraId="0A300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94" w:hRule="atLeast"/>
                <w:jc w:val="center"/>
              </w:trPr>
              <w:tc>
                <w:tcPr>
                  <w:tcW w:w="614" w:type="pct"/>
                  <w:vMerge w:val="continue"/>
                  <w:vAlign w:val="center"/>
                </w:tcPr>
                <w:p w14:paraId="17D6DE3B">
                  <w:pPr>
                    <w:adjustRightInd w:val="0"/>
                    <w:snapToGrid w:val="0"/>
                    <w:jc w:val="center"/>
                    <w:rPr>
                      <w:color w:val="auto"/>
                      <w:szCs w:val="21"/>
                    </w:rPr>
                  </w:pPr>
                </w:p>
              </w:tc>
              <w:tc>
                <w:tcPr>
                  <w:tcW w:w="1894" w:type="pct"/>
                  <w:gridSpan w:val="2"/>
                  <w:vAlign w:val="center"/>
                </w:tcPr>
                <w:p w14:paraId="3713D1B9">
                  <w:pPr>
                    <w:adjustRightInd w:val="0"/>
                    <w:snapToGrid w:val="0"/>
                    <w:jc w:val="center"/>
                    <w:rPr>
                      <w:color w:val="auto"/>
                      <w:szCs w:val="21"/>
                    </w:rPr>
                  </w:pPr>
                  <w:r>
                    <w:rPr>
                      <w:color w:val="auto"/>
                      <w:szCs w:val="21"/>
                    </w:rPr>
                    <w:t>COD</w:t>
                  </w:r>
                </w:p>
              </w:tc>
              <w:tc>
                <w:tcPr>
                  <w:tcW w:w="919" w:type="pct"/>
                  <w:vAlign w:val="center"/>
                </w:tcPr>
                <w:p w14:paraId="1C1CD671">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0</w:t>
                  </w:r>
                </w:p>
              </w:tc>
              <w:tc>
                <w:tcPr>
                  <w:tcW w:w="745" w:type="pct"/>
                  <w:vAlign w:val="center"/>
                </w:tcPr>
                <w:p w14:paraId="5400EBF0">
                  <w:pPr>
                    <w:jc w:val="center"/>
                    <w:rPr>
                      <w:rFonts w:hint="default" w:eastAsia="宋体"/>
                      <w:color w:val="auto"/>
                      <w:szCs w:val="21"/>
                      <w:lang w:val="en-US" w:eastAsia="zh-CN"/>
                    </w:rPr>
                  </w:pPr>
                  <w:r>
                    <w:rPr>
                      <w:rFonts w:hint="eastAsia"/>
                      <w:color w:val="auto"/>
                      <w:szCs w:val="21"/>
                      <w:lang w:val="en-US" w:eastAsia="zh-CN"/>
                    </w:rPr>
                    <w:t>0</w:t>
                  </w:r>
                </w:p>
              </w:tc>
              <w:tc>
                <w:tcPr>
                  <w:tcW w:w="825" w:type="pct"/>
                  <w:vAlign w:val="center"/>
                </w:tcPr>
                <w:p w14:paraId="36177822">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w:t>
                  </w:r>
                </w:p>
              </w:tc>
            </w:tr>
            <w:tr w14:paraId="172F6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6" w:hRule="atLeast"/>
                <w:jc w:val="center"/>
              </w:trPr>
              <w:tc>
                <w:tcPr>
                  <w:tcW w:w="614" w:type="pct"/>
                  <w:vMerge w:val="continue"/>
                  <w:vAlign w:val="center"/>
                </w:tcPr>
                <w:p w14:paraId="13358B89">
                  <w:pPr>
                    <w:adjustRightInd w:val="0"/>
                    <w:snapToGrid w:val="0"/>
                    <w:jc w:val="center"/>
                    <w:rPr>
                      <w:color w:val="auto"/>
                      <w:szCs w:val="21"/>
                    </w:rPr>
                  </w:pPr>
                </w:p>
              </w:tc>
              <w:tc>
                <w:tcPr>
                  <w:tcW w:w="1894" w:type="pct"/>
                  <w:gridSpan w:val="2"/>
                  <w:vAlign w:val="center"/>
                </w:tcPr>
                <w:p w14:paraId="578660BD">
                  <w:pPr>
                    <w:adjustRightInd w:val="0"/>
                    <w:snapToGrid w:val="0"/>
                    <w:jc w:val="center"/>
                    <w:rPr>
                      <w:color w:val="auto"/>
                      <w:szCs w:val="21"/>
                    </w:rPr>
                  </w:pPr>
                  <w:r>
                    <w:rPr>
                      <w:color w:val="auto"/>
                      <w:szCs w:val="21"/>
                    </w:rPr>
                    <w:t>SS</w:t>
                  </w:r>
                </w:p>
              </w:tc>
              <w:tc>
                <w:tcPr>
                  <w:tcW w:w="919" w:type="pct"/>
                  <w:vAlign w:val="center"/>
                </w:tcPr>
                <w:p w14:paraId="21CBA6C5">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0</w:t>
                  </w:r>
                </w:p>
              </w:tc>
              <w:tc>
                <w:tcPr>
                  <w:tcW w:w="745" w:type="pct"/>
                  <w:vAlign w:val="center"/>
                </w:tcPr>
                <w:p w14:paraId="2F144A83">
                  <w:pPr>
                    <w:jc w:val="center"/>
                    <w:rPr>
                      <w:rFonts w:hint="default" w:eastAsia="宋体"/>
                      <w:color w:val="auto"/>
                      <w:szCs w:val="21"/>
                      <w:lang w:val="en-US" w:eastAsia="zh-CN"/>
                    </w:rPr>
                  </w:pPr>
                  <w:r>
                    <w:rPr>
                      <w:rFonts w:hint="eastAsia"/>
                      <w:color w:val="auto"/>
                      <w:szCs w:val="21"/>
                      <w:lang w:val="en-US" w:eastAsia="zh-CN"/>
                    </w:rPr>
                    <w:t>0</w:t>
                  </w:r>
                </w:p>
              </w:tc>
              <w:tc>
                <w:tcPr>
                  <w:tcW w:w="825" w:type="pct"/>
                  <w:vAlign w:val="center"/>
                </w:tcPr>
                <w:p w14:paraId="07C8D865">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w:t>
                  </w:r>
                </w:p>
              </w:tc>
            </w:tr>
            <w:tr w14:paraId="3A289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94" w:hRule="atLeast"/>
                <w:jc w:val="center"/>
              </w:trPr>
              <w:tc>
                <w:tcPr>
                  <w:tcW w:w="614" w:type="pct"/>
                  <w:vMerge w:val="continue"/>
                  <w:vAlign w:val="center"/>
                </w:tcPr>
                <w:p w14:paraId="2A382496">
                  <w:pPr>
                    <w:adjustRightInd w:val="0"/>
                    <w:snapToGrid w:val="0"/>
                    <w:jc w:val="center"/>
                    <w:rPr>
                      <w:color w:val="auto"/>
                      <w:szCs w:val="21"/>
                    </w:rPr>
                  </w:pPr>
                </w:p>
              </w:tc>
              <w:tc>
                <w:tcPr>
                  <w:tcW w:w="1894" w:type="pct"/>
                  <w:gridSpan w:val="2"/>
                  <w:vAlign w:val="center"/>
                </w:tcPr>
                <w:p w14:paraId="5DD5136D">
                  <w:pPr>
                    <w:adjustRightInd w:val="0"/>
                    <w:snapToGrid w:val="0"/>
                    <w:jc w:val="center"/>
                    <w:rPr>
                      <w:color w:val="auto"/>
                      <w:szCs w:val="21"/>
                    </w:rPr>
                  </w:pPr>
                  <w:r>
                    <w:rPr>
                      <w:rFonts w:hint="eastAsia"/>
                      <w:color w:val="auto"/>
                      <w:szCs w:val="21"/>
                    </w:rPr>
                    <w:t>N</w:t>
                  </w:r>
                  <w:r>
                    <w:rPr>
                      <w:color w:val="auto"/>
                      <w:szCs w:val="21"/>
                    </w:rPr>
                    <w:t>H</w:t>
                  </w:r>
                  <w:r>
                    <w:rPr>
                      <w:color w:val="auto"/>
                      <w:szCs w:val="21"/>
                      <w:vertAlign w:val="subscript"/>
                    </w:rPr>
                    <w:t>3</w:t>
                  </w:r>
                  <w:r>
                    <w:rPr>
                      <w:color w:val="auto"/>
                      <w:szCs w:val="21"/>
                    </w:rPr>
                    <w:t>-N</w:t>
                  </w:r>
                </w:p>
              </w:tc>
              <w:tc>
                <w:tcPr>
                  <w:tcW w:w="919" w:type="pct"/>
                  <w:vAlign w:val="center"/>
                </w:tcPr>
                <w:p w14:paraId="0DD49F56">
                  <w:pPr>
                    <w:autoSpaceDE w:val="0"/>
                    <w:autoSpaceDN w:val="0"/>
                    <w:adjustRightInd w:val="0"/>
                    <w:snapToGrid w:val="0"/>
                    <w:jc w:val="center"/>
                    <w:rPr>
                      <w:color w:val="auto"/>
                      <w:szCs w:val="21"/>
                    </w:rPr>
                  </w:pPr>
                  <w:r>
                    <w:rPr>
                      <w:rFonts w:hint="eastAsia"/>
                      <w:color w:val="auto"/>
                      <w:szCs w:val="21"/>
                      <w:lang w:val="en-US" w:eastAsia="zh-CN"/>
                    </w:rPr>
                    <w:t>0</w:t>
                  </w:r>
                </w:p>
              </w:tc>
              <w:tc>
                <w:tcPr>
                  <w:tcW w:w="745" w:type="pct"/>
                  <w:vAlign w:val="center"/>
                </w:tcPr>
                <w:p w14:paraId="0D3C6263">
                  <w:pPr>
                    <w:jc w:val="center"/>
                    <w:rPr>
                      <w:rFonts w:hint="eastAsia" w:eastAsia="宋体"/>
                      <w:color w:val="auto"/>
                      <w:szCs w:val="21"/>
                      <w:lang w:val="en-US" w:eastAsia="zh-CN"/>
                    </w:rPr>
                  </w:pPr>
                  <w:r>
                    <w:rPr>
                      <w:rFonts w:hint="eastAsia"/>
                      <w:color w:val="auto"/>
                      <w:szCs w:val="21"/>
                      <w:lang w:val="en-US" w:eastAsia="zh-CN"/>
                    </w:rPr>
                    <w:t>0</w:t>
                  </w:r>
                </w:p>
              </w:tc>
              <w:tc>
                <w:tcPr>
                  <w:tcW w:w="825" w:type="pct"/>
                  <w:vAlign w:val="center"/>
                </w:tcPr>
                <w:p w14:paraId="6136D8F4">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w:t>
                  </w:r>
                </w:p>
              </w:tc>
            </w:tr>
            <w:tr w14:paraId="17CBF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19" w:hRule="atLeast"/>
                <w:jc w:val="center"/>
              </w:trPr>
              <w:tc>
                <w:tcPr>
                  <w:tcW w:w="614" w:type="pct"/>
                  <w:vMerge w:val="continue"/>
                  <w:vAlign w:val="center"/>
                </w:tcPr>
                <w:p w14:paraId="68D540B1">
                  <w:pPr>
                    <w:adjustRightInd w:val="0"/>
                    <w:snapToGrid w:val="0"/>
                    <w:jc w:val="center"/>
                    <w:rPr>
                      <w:color w:val="auto"/>
                      <w:szCs w:val="21"/>
                    </w:rPr>
                  </w:pPr>
                </w:p>
              </w:tc>
              <w:tc>
                <w:tcPr>
                  <w:tcW w:w="1894" w:type="pct"/>
                  <w:gridSpan w:val="2"/>
                  <w:vAlign w:val="center"/>
                </w:tcPr>
                <w:p w14:paraId="09EBFF8E">
                  <w:pPr>
                    <w:adjustRightInd w:val="0"/>
                    <w:snapToGrid w:val="0"/>
                    <w:jc w:val="center"/>
                    <w:rPr>
                      <w:color w:val="auto"/>
                      <w:szCs w:val="21"/>
                    </w:rPr>
                  </w:pPr>
                  <w:r>
                    <w:rPr>
                      <w:color w:val="auto"/>
                      <w:szCs w:val="21"/>
                    </w:rPr>
                    <w:t>TN</w:t>
                  </w:r>
                </w:p>
              </w:tc>
              <w:tc>
                <w:tcPr>
                  <w:tcW w:w="919" w:type="pct"/>
                  <w:vAlign w:val="center"/>
                </w:tcPr>
                <w:p w14:paraId="0741E92A">
                  <w:pPr>
                    <w:autoSpaceDE w:val="0"/>
                    <w:autoSpaceDN w:val="0"/>
                    <w:adjustRightInd w:val="0"/>
                    <w:snapToGrid w:val="0"/>
                    <w:jc w:val="center"/>
                    <w:rPr>
                      <w:color w:val="auto"/>
                      <w:szCs w:val="21"/>
                    </w:rPr>
                  </w:pPr>
                  <w:r>
                    <w:rPr>
                      <w:rFonts w:hint="eastAsia"/>
                      <w:color w:val="auto"/>
                      <w:szCs w:val="21"/>
                      <w:lang w:val="en-US" w:eastAsia="zh-CN"/>
                    </w:rPr>
                    <w:t>0</w:t>
                  </w:r>
                </w:p>
              </w:tc>
              <w:tc>
                <w:tcPr>
                  <w:tcW w:w="745" w:type="pct"/>
                  <w:vAlign w:val="center"/>
                </w:tcPr>
                <w:p w14:paraId="1926E1EA">
                  <w:pPr>
                    <w:jc w:val="center"/>
                    <w:rPr>
                      <w:rFonts w:hint="eastAsia" w:eastAsia="宋体"/>
                      <w:color w:val="auto"/>
                      <w:szCs w:val="21"/>
                      <w:lang w:val="en-US" w:eastAsia="zh-CN"/>
                    </w:rPr>
                  </w:pPr>
                  <w:r>
                    <w:rPr>
                      <w:rFonts w:hint="eastAsia"/>
                      <w:color w:val="auto"/>
                      <w:szCs w:val="21"/>
                      <w:lang w:val="en-US" w:eastAsia="zh-CN"/>
                    </w:rPr>
                    <w:t>0</w:t>
                  </w:r>
                </w:p>
              </w:tc>
              <w:tc>
                <w:tcPr>
                  <w:tcW w:w="825" w:type="pct"/>
                  <w:vAlign w:val="center"/>
                </w:tcPr>
                <w:p w14:paraId="7880DD66">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w:t>
                  </w:r>
                </w:p>
              </w:tc>
            </w:tr>
            <w:tr w14:paraId="0F6B4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20" w:hRule="atLeast"/>
                <w:jc w:val="center"/>
              </w:trPr>
              <w:tc>
                <w:tcPr>
                  <w:tcW w:w="614" w:type="pct"/>
                  <w:vMerge w:val="continue"/>
                  <w:vAlign w:val="center"/>
                </w:tcPr>
                <w:p w14:paraId="3273BA8A">
                  <w:pPr>
                    <w:adjustRightInd w:val="0"/>
                    <w:snapToGrid w:val="0"/>
                    <w:jc w:val="center"/>
                    <w:rPr>
                      <w:color w:val="auto"/>
                      <w:szCs w:val="21"/>
                    </w:rPr>
                  </w:pPr>
                </w:p>
              </w:tc>
              <w:tc>
                <w:tcPr>
                  <w:tcW w:w="1894" w:type="pct"/>
                  <w:gridSpan w:val="2"/>
                  <w:vAlign w:val="center"/>
                </w:tcPr>
                <w:p w14:paraId="2D1BCB79">
                  <w:pPr>
                    <w:adjustRightInd w:val="0"/>
                    <w:snapToGrid w:val="0"/>
                    <w:jc w:val="center"/>
                    <w:rPr>
                      <w:color w:val="auto"/>
                      <w:szCs w:val="21"/>
                    </w:rPr>
                  </w:pPr>
                  <w:r>
                    <w:rPr>
                      <w:rFonts w:hint="eastAsia"/>
                      <w:color w:val="auto"/>
                      <w:szCs w:val="21"/>
                    </w:rPr>
                    <w:t>T</w:t>
                  </w:r>
                  <w:r>
                    <w:rPr>
                      <w:color w:val="auto"/>
                      <w:szCs w:val="21"/>
                    </w:rPr>
                    <w:t>P</w:t>
                  </w:r>
                </w:p>
              </w:tc>
              <w:tc>
                <w:tcPr>
                  <w:tcW w:w="919" w:type="pct"/>
                  <w:vAlign w:val="center"/>
                </w:tcPr>
                <w:p w14:paraId="362E85E4">
                  <w:pPr>
                    <w:autoSpaceDE w:val="0"/>
                    <w:autoSpaceDN w:val="0"/>
                    <w:adjustRightInd w:val="0"/>
                    <w:snapToGrid w:val="0"/>
                    <w:jc w:val="center"/>
                    <w:rPr>
                      <w:color w:val="auto"/>
                      <w:szCs w:val="21"/>
                    </w:rPr>
                  </w:pPr>
                  <w:r>
                    <w:rPr>
                      <w:rFonts w:hint="eastAsia"/>
                      <w:color w:val="auto"/>
                      <w:szCs w:val="21"/>
                      <w:lang w:val="en-US" w:eastAsia="zh-CN"/>
                    </w:rPr>
                    <w:t>0</w:t>
                  </w:r>
                </w:p>
              </w:tc>
              <w:tc>
                <w:tcPr>
                  <w:tcW w:w="745" w:type="pct"/>
                  <w:vAlign w:val="center"/>
                </w:tcPr>
                <w:p w14:paraId="5CE6E1E6">
                  <w:pPr>
                    <w:jc w:val="center"/>
                    <w:rPr>
                      <w:rFonts w:hint="eastAsia" w:eastAsia="宋体"/>
                      <w:color w:val="auto"/>
                      <w:szCs w:val="21"/>
                      <w:lang w:val="en-US" w:eastAsia="zh-CN"/>
                    </w:rPr>
                  </w:pPr>
                  <w:r>
                    <w:rPr>
                      <w:rFonts w:hint="eastAsia"/>
                      <w:color w:val="auto"/>
                      <w:szCs w:val="21"/>
                      <w:lang w:val="en-US" w:eastAsia="zh-CN"/>
                    </w:rPr>
                    <w:t>0</w:t>
                  </w:r>
                </w:p>
              </w:tc>
              <w:tc>
                <w:tcPr>
                  <w:tcW w:w="825" w:type="pct"/>
                  <w:vAlign w:val="center"/>
                </w:tcPr>
                <w:p w14:paraId="14B4464C">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w:t>
                  </w:r>
                </w:p>
              </w:tc>
            </w:tr>
            <w:tr w14:paraId="2C0A1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88" w:hRule="atLeast"/>
                <w:jc w:val="center"/>
              </w:trPr>
              <w:tc>
                <w:tcPr>
                  <w:tcW w:w="614" w:type="pct"/>
                  <w:vMerge w:val="restart"/>
                  <w:vAlign w:val="center"/>
                </w:tcPr>
                <w:p w14:paraId="16195D3C">
                  <w:pPr>
                    <w:adjustRightInd w:val="0"/>
                    <w:snapToGrid w:val="0"/>
                    <w:jc w:val="center"/>
                    <w:rPr>
                      <w:color w:val="auto"/>
                      <w:szCs w:val="21"/>
                    </w:rPr>
                  </w:pPr>
                  <w:r>
                    <w:rPr>
                      <w:color w:val="auto"/>
                      <w:szCs w:val="21"/>
                    </w:rPr>
                    <w:t>固废</w:t>
                  </w:r>
                </w:p>
              </w:tc>
              <w:tc>
                <w:tcPr>
                  <w:tcW w:w="1894" w:type="pct"/>
                  <w:gridSpan w:val="2"/>
                  <w:vAlign w:val="center"/>
                </w:tcPr>
                <w:p w14:paraId="0887BFD2">
                  <w:pPr>
                    <w:pStyle w:val="43"/>
                    <w:rPr>
                      <w:color w:val="auto"/>
                      <w:kern w:val="2"/>
                    </w:rPr>
                  </w:pPr>
                  <w:r>
                    <w:rPr>
                      <w:rFonts w:hint="eastAsia"/>
                      <w:color w:val="auto"/>
                      <w:kern w:val="2"/>
                    </w:rPr>
                    <w:t>一般固废</w:t>
                  </w:r>
                </w:p>
              </w:tc>
              <w:tc>
                <w:tcPr>
                  <w:tcW w:w="919" w:type="pct"/>
                  <w:vAlign w:val="center"/>
                </w:tcPr>
                <w:p w14:paraId="0EBACA7B">
                  <w:pPr>
                    <w:jc w:val="center"/>
                    <w:rPr>
                      <w:rFonts w:hint="default" w:eastAsia="宋体"/>
                      <w:color w:val="auto"/>
                      <w:szCs w:val="21"/>
                      <w:lang w:val="en-US" w:eastAsia="zh-CN"/>
                    </w:rPr>
                  </w:pPr>
                  <w:r>
                    <w:rPr>
                      <w:rFonts w:hint="eastAsia"/>
                      <w:color w:val="auto"/>
                      <w:szCs w:val="21"/>
                      <w:lang w:val="en-US" w:eastAsia="zh-CN"/>
                    </w:rPr>
                    <w:t>999.9356</w:t>
                  </w:r>
                </w:p>
              </w:tc>
              <w:tc>
                <w:tcPr>
                  <w:tcW w:w="745" w:type="pct"/>
                  <w:vAlign w:val="center"/>
                </w:tcPr>
                <w:p w14:paraId="08C2282A">
                  <w:pPr>
                    <w:jc w:val="center"/>
                    <w:rPr>
                      <w:rFonts w:hint="default"/>
                      <w:color w:val="auto"/>
                      <w:szCs w:val="21"/>
                      <w:lang w:val="en-US"/>
                    </w:rPr>
                  </w:pPr>
                  <w:r>
                    <w:rPr>
                      <w:rFonts w:hint="eastAsia"/>
                      <w:color w:val="auto"/>
                      <w:szCs w:val="21"/>
                      <w:lang w:val="en-US" w:eastAsia="zh-CN"/>
                    </w:rPr>
                    <w:t>999.9356</w:t>
                  </w:r>
                </w:p>
              </w:tc>
              <w:tc>
                <w:tcPr>
                  <w:tcW w:w="825" w:type="pct"/>
                  <w:vAlign w:val="center"/>
                </w:tcPr>
                <w:p w14:paraId="10F4677F">
                  <w:pPr>
                    <w:jc w:val="center"/>
                    <w:rPr>
                      <w:rFonts w:hint="default" w:eastAsia="宋体"/>
                      <w:color w:val="auto"/>
                      <w:szCs w:val="21"/>
                      <w:lang w:val="en-US" w:eastAsia="zh-CN"/>
                    </w:rPr>
                  </w:pPr>
                  <w:r>
                    <w:rPr>
                      <w:rFonts w:hint="eastAsia"/>
                      <w:color w:val="auto"/>
                      <w:szCs w:val="21"/>
                      <w:lang w:val="en-US" w:eastAsia="zh-CN"/>
                    </w:rPr>
                    <w:t>0</w:t>
                  </w:r>
                </w:p>
              </w:tc>
            </w:tr>
            <w:tr w14:paraId="7365A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6" w:hRule="atLeast"/>
                <w:jc w:val="center"/>
              </w:trPr>
              <w:tc>
                <w:tcPr>
                  <w:tcW w:w="614" w:type="pct"/>
                  <w:vMerge w:val="continue"/>
                  <w:vAlign w:val="center"/>
                </w:tcPr>
                <w:p w14:paraId="2345466C">
                  <w:pPr>
                    <w:adjustRightInd w:val="0"/>
                    <w:snapToGrid w:val="0"/>
                    <w:jc w:val="center"/>
                    <w:rPr>
                      <w:color w:val="auto"/>
                      <w:szCs w:val="21"/>
                    </w:rPr>
                  </w:pPr>
                </w:p>
              </w:tc>
              <w:tc>
                <w:tcPr>
                  <w:tcW w:w="1894" w:type="pct"/>
                  <w:gridSpan w:val="2"/>
                  <w:vAlign w:val="center"/>
                </w:tcPr>
                <w:p w14:paraId="62ED0E7B">
                  <w:pPr>
                    <w:pStyle w:val="43"/>
                    <w:rPr>
                      <w:color w:val="auto"/>
                      <w:kern w:val="2"/>
                    </w:rPr>
                  </w:pPr>
                  <w:r>
                    <w:rPr>
                      <w:rFonts w:hint="eastAsia"/>
                      <w:color w:val="auto"/>
                      <w:kern w:val="2"/>
                    </w:rPr>
                    <w:t>危险废物</w:t>
                  </w:r>
                </w:p>
              </w:tc>
              <w:tc>
                <w:tcPr>
                  <w:tcW w:w="919" w:type="pct"/>
                  <w:vAlign w:val="center"/>
                </w:tcPr>
                <w:p w14:paraId="5106A62A">
                  <w:pPr>
                    <w:jc w:val="center"/>
                    <w:rPr>
                      <w:rFonts w:hint="default" w:eastAsia="宋体"/>
                      <w:color w:val="auto"/>
                      <w:szCs w:val="21"/>
                      <w:lang w:val="en-US" w:eastAsia="zh-CN"/>
                    </w:rPr>
                  </w:pPr>
                  <w:r>
                    <w:rPr>
                      <w:rFonts w:hint="eastAsia"/>
                      <w:color w:val="auto"/>
                      <w:szCs w:val="21"/>
                      <w:lang w:val="en-US" w:eastAsia="zh-CN"/>
                    </w:rPr>
                    <w:t>55.8567</w:t>
                  </w:r>
                </w:p>
              </w:tc>
              <w:tc>
                <w:tcPr>
                  <w:tcW w:w="745" w:type="pct"/>
                  <w:vAlign w:val="center"/>
                </w:tcPr>
                <w:p w14:paraId="5F50BF86">
                  <w:pPr>
                    <w:jc w:val="center"/>
                    <w:rPr>
                      <w:rFonts w:hint="default"/>
                      <w:color w:val="auto"/>
                      <w:lang w:val="en-US"/>
                    </w:rPr>
                  </w:pPr>
                  <w:r>
                    <w:rPr>
                      <w:rFonts w:hint="eastAsia"/>
                      <w:color w:val="auto"/>
                      <w:szCs w:val="21"/>
                      <w:lang w:val="en-US" w:eastAsia="zh-CN"/>
                    </w:rPr>
                    <w:t>55.8567</w:t>
                  </w:r>
                </w:p>
              </w:tc>
              <w:tc>
                <w:tcPr>
                  <w:tcW w:w="825" w:type="pct"/>
                  <w:vAlign w:val="center"/>
                </w:tcPr>
                <w:p w14:paraId="35FE1CCC">
                  <w:pPr>
                    <w:jc w:val="center"/>
                    <w:rPr>
                      <w:rFonts w:hint="eastAsia" w:eastAsia="宋体"/>
                      <w:color w:val="auto"/>
                      <w:szCs w:val="21"/>
                      <w:lang w:val="en-US" w:eastAsia="zh-CN"/>
                    </w:rPr>
                  </w:pPr>
                  <w:r>
                    <w:rPr>
                      <w:rFonts w:hint="eastAsia"/>
                      <w:color w:val="auto"/>
                      <w:szCs w:val="21"/>
                      <w:lang w:val="en-US" w:eastAsia="zh-CN"/>
                    </w:rPr>
                    <w:t>0</w:t>
                  </w:r>
                </w:p>
              </w:tc>
            </w:tr>
            <w:tr w14:paraId="46798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48" w:hRule="atLeast"/>
                <w:jc w:val="center"/>
              </w:trPr>
              <w:tc>
                <w:tcPr>
                  <w:tcW w:w="614" w:type="pct"/>
                  <w:vMerge w:val="continue"/>
                  <w:vAlign w:val="center"/>
                </w:tcPr>
                <w:p w14:paraId="5F1AA9B4">
                  <w:pPr>
                    <w:adjustRightInd w:val="0"/>
                    <w:snapToGrid w:val="0"/>
                    <w:jc w:val="center"/>
                    <w:rPr>
                      <w:color w:val="auto"/>
                      <w:szCs w:val="21"/>
                    </w:rPr>
                  </w:pPr>
                </w:p>
              </w:tc>
              <w:tc>
                <w:tcPr>
                  <w:tcW w:w="1894" w:type="pct"/>
                  <w:gridSpan w:val="2"/>
                  <w:vAlign w:val="center"/>
                </w:tcPr>
                <w:p w14:paraId="61FFD300">
                  <w:pPr>
                    <w:pStyle w:val="43"/>
                    <w:rPr>
                      <w:color w:val="auto"/>
                      <w:kern w:val="2"/>
                    </w:rPr>
                  </w:pPr>
                  <w:r>
                    <w:rPr>
                      <w:rFonts w:hint="eastAsia"/>
                      <w:color w:val="auto"/>
                      <w:kern w:val="2"/>
                    </w:rPr>
                    <w:t>生活垃圾</w:t>
                  </w:r>
                </w:p>
              </w:tc>
              <w:tc>
                <w:tcPr>
                  <w:tcW w:w="919" w:type="pct"/>
                  <w:vAlign w:val="center"/>
                </w:tcPr>
                <w:p w14:paraId="76268D91">
                  <w:pPr>
                    <w:jc w:val="center"/>
                    <w:rPr>
                      <w:rFonts w:hint="eastAsia" w:eastAsia="宋体"/>
                      <w:color w:val="auto"/>
                      <w:szCs w:val="21"/>
                      <w:lang w:val="en-US" w:eastAsia="zh-CN"/>
                    </w:rPr>
                  </w:pPr>
                  <w:r>
                    <w:rPr>
                      <w:rFonts w:hint="eastAsia"/>
                      <w:color w:val="auto"/>
                      <w:szCs w:val="21"/>
                      <w:lang w:val="en-US" w:eastAsia="zh-CN"/>
                    </w:rPr>
                    <w:t>3</w:t>
                  </w:r>
                </w:p>
              </w:tc>
              <w:tc>
                <w:tcPr>
                  <w:tcW w:w="745" w:type="pct"/>
                  <w:vAlign w:val="center"/>
                </w:tcPr>
                <w:p w14:paraId="252D90FB">
                  <w:pPr>
                    <w:jc w:val="center"/>
                    <w:rPr>
                      <w:color w:val="auto"/>
                      <w:szCs w:val="21"/>
                    </w:rPr>
                  </w:pPr>
                  <w:r>
                    <w:rPr>
                      <w:rFonts w:hint="eastAsia"/>
                      <w:color w:val="auto"/>
                      <w:szCs w:val="21"/>
                      <w:lang w:val="en-US" w:eastAsia="zh-CN"/>
                    </w:rPr>
                    <w:t>3</w:t>
                  </w:r>
                </w:p>
              </w:tc>
              <w:tc>
                <w:tcPr>
                  <w:tcW w:w="825" w:type="pct"/>
                  <w:vAlign w:val="center"/>
                </w:tcPr>
                <w:p w14:paraId="4B44DDDD">
                  <w:pPr>
                    <w:jc w:val="center"/>
                    <w:rPr>
                      <w:rFonts w:hint="eastAsia" w:eastAsia="宋体"/>
                      <w:color w:val="auto"/>
                      <w:szCs w:val="21"/>
                      <w:lang w:val="en-US" w:eastAsia="zh-CN"/>
                    </w:rPr>
                  </w:pPr>
                  <w:r>
                    <w:rPr>
                      <w:rFonts w:hint="eastAsia"/>
                      <w:color w:val="auto"/>
                      <w:szCs w:val="21"/>
                      <w:lang w:val="en-US" w:eastAsia="zh-CN"/>
                    </w:rPr>
                    <w:t>0</w:t>
                  </w:r>
                </w:p>
              </w:tc>
            </w:tr>
          </w:tbl>
          <w:p w14:paraId="68DB2B73">
            <w:pPr>
              <w:adjustRightInd w:val="0"/>
              <w:snapToGrid w:val="0"/>
              <w:spacing w:line="360" w:lineRule="auto"/>
              <w:ind w:firstLine="482"/>
              <w:rPr>
                <w:rFonts w:hint="default"/>
                <w:b/>
                <w:bCs/>
                <w:color w:val="auto"/>
                <w:szCs w:val="21"/>
                <w:lang w:val="en-US" w:eastAsia="zh-CN"/>
              </w:rPr>
            </w:pPr>
            <w:r>
              <w:rPr>
                <w:rFonts w:hint="eastAsia"/>
                <w:b/>
                <w:bCs/>
                <w:color w:val="auto"/>
                <w:szCs w:val="21"/>
                <w:lang w:val="en-US" w:eastAsia="zh-CN"/>
              </w:rPr>
              <w:t>注：非甲烷总烃含甲醛、酚类。</w:t>
            </w:r>
          </w:p>
          <w:p w14:paraId="6BD522F2">
            <w:pPr>
              <w:pStyle w:val="4"/>
              <w:rPr>
                <w:rFonts w:hint="eastAsia"/>
                <w:b/>
                <w:bCs/>
                <w:color w:val="auto"/>
                <w:szCs w:val="21"/>
                <w:lang w:val="en-US" w:eastAsia="zh-CN"/>
              </w:rPr>
            </w:pPr>
          </w:p>
          <w:p w14:paraId="7B40B840">
            <w:pPr>
              <w:rPr>
                <w:rFonts w:hint="eastAsia"/>
                <w:b/>
                <w:bCs/>
                <w:color w:val="auto"/>
                <w:szCs w:val="21"/>
                <w:lang w:val="en-US" w:eastAsia="zh-CN"/>
              </w:rPr>
            </w:pPr>
          </w:p>
          <w:p w14:paraId="70F0E196">
            <w:pPr>
              <w:numPr>
                <w:ilvl w:val="0"/>
                <w:numId w:val="0"/>
              </w:numPr>
              <w:adjustRightInd w:val="0"/>
              <w:snapToGrid w:val="0"/>
              <w:spacing w:line="360" w:lineRule="auto"/>
              <w:ind w:firstLine="422" w:firstLineChars="200"/>
              <w:rPr>
                <w:rFonts w:hint="eastAsia"/>
                <w:b/>
                <w:bCs/>
                <w:color w:val="auto"/>
                <w:szCs w:val="21"/>
                <w:lang w:val="en-US" w:eastAsia="zh-CN"/>
              </w:rPr>
            </w:pPr>
          </w:p>
          <w:p w14:paraId="0D042513">
            <w:pPr>
              <w:numPr>
                <w:ilvl w:val="0"/>
                <w:numId w:val="0"/>
              </w:numPr>
              <w:adjustRightInd w:val="0"/>
              <w:snapToGrid w:val="0"/>
              <w:spacing w:line="360" w:lineRule="auto"/>
              <w:ind w:firstLine="422" w:firstLineChars="200"/>
              <w:rPr>
                <w:rFonts w:hint="eastAsia"/>
                <w:b/>
                <w:bCs/>
                <w:color w:val="auto"/>
                <w:szCs w:val="21"/>
                <w:lang w:val="en-US" w:eastAsia="zh-CN"/>
              </w:rPr>
            </w:pPr>
          </w:p>
          <w:p w14:paraId="1E23809B">
            <w:pPr>
              <w:numPr>
                <w:ilvl w:val="0"/>
                <w:numId w:val="0"/>
              </w:numPr>
              <w:adjustRightInd w:val="0"/>
              <w:snapToGrid w:val="0"/>
              <w:spacing w:line="360" w:lineRule="auto"/>
              <w:ind w:firstLine="422" w:firstLineChars="200"/>
              <w:rPr>
                <w:rFonts w:hint="eastAsia"/>
                <w:b/>
                <w:bCs/>
                <w:color w:val="auto"/>
                <w:szCs w:val="21"/>
                <w:lang w:val="en-US" w:eastAsia="zh-CN"/>
              </w:rPr>
            </w:pPr>
          </w:p>
          <w:p w14:paraId="29C950DA">
            <w:pPr>
              <w:spacing w:line="360" w:lineRule="auto"/>
              <w:ind w:firstLine="420" w:firstLineChars="200"/>
              <w:jc w:val="left"/>
              <w:rPr>
                <w:rFonts w:hint="eastAsia" w:eastAsia="宋体"/>
                <w:color w:val="auto"/>
                <w:lang w:eastAsia="zh-CN"/>
              </w:rPr>
            </w:pPr>
            <w:r>
              <w:rPr>
                <w:rFonts w:hint="eastAsia"/>
                <w:color w:val="auto"/>
              </w:rPr>
              <w:t>废气污染物排放量核算</w:t>
            </w:r>
            <w:r>
              <w:rPr>
                <w:rFonts w:hint="eastAsia"/>
                <w:color w:val="auto"/>
                <w:lang w:eastAsia="zh-CN"/>
              </w:rPr>
              <w:t>：</w:t>
            </w:r>
          </w:p>
          <w:p w14:paraId="04A51AE1">
            <w:pPr>
              <w:spacing w:line="360" w:lineRule="auto"/>
              <w:ind w:firstLine="411" w:firstLineChars="196"/>
              <w:jc w:val="left"/>
              <w:rPr>
                <w:rFonts w:hint="eastAsia"/>
                <w:color w:val="auto"/>
              </w:rPr>
            </w:pPr>
            <w:r>
              <w:rPr>
                <w:rFonts w:hint="eastAsia"/>
                <w:color w:val="auto"/>
              </w:rPr>
              <w:t>根据《关于印发&lt;关于进一步优化建设项目排污总量指标管理提升环评审批效能》的意见（试行）&gt;的通知》（通环办</w:t>
            </w:r>
            <w:r>
              <w:rPr>
                <w:rFonts w:hint="eastAsia"/>
                <w:color w:val="auto"/>
                <w:lang w:eastAsia="zh-CN"/>
              </w:rPr>
              <w:t>〔2023〕132号</w:t>
            </w:r>
            <w:r>
              <w:rPr>
                <w:rFonts w:hint="eastAsia"/>
                <w:color w:val="auto"/>
              </w:rPr>
              <w:t>）要求，本项目需对废气污染物总量控制因子排放量进行核算。参照</w:t>
            </w:r>
            <w:r>
              <w:rPr>
                <w:rFonts w:hint="eastAsia" w:ascii="Times New Roman" w:hAnsi="Times New Roman" w:eastAsia="宋体" w:cs="Times New Roman"/>
                <w:color w:val="auto"/>
              </w:rPr>
              <w:t>《排污许可证申请与核发技术规范 金属铸造工业》（HJ1115-2020）</w:t>
            </w:r>
            <w:r>
              <w:rPr>
                <w:rFonts w:hint="eastAsia"/>
                <w:color w:val="auto"/>
              </w:rPr>
              <w:t>对本项目废气污染物总量控制因子</w:t>
            </w:r>
            <w:r>
              <w:rPr>
                <w:rFonts w:hint="eastAsia"/>
                <w:color w:val="auto"/>
                <w:lang w:val="en-US" w:eastAsia="zh-CN"/>
              </w:rPr>
              <w:t>颗粒物、</w:t>
            </w:r>
            <w:r>
              <w:rPr>
                <w:rFonts w:hint="eastAsia"/>
                <w:color w:val="auto"/>
              </w:rPr>
              <w:t>VOCs排放量进行核算。</w:t>
            </w:r>
          </w:p>
          <w:p w14:paraId="50D71C41">
            <w:pPr>
              <w:spacing w:line="360" w:lineRule="auto"/>
              <w:ind w:firstLine="411" w:firstLineChars="196"/>
              <w:jc w:val="left"/>
              <w:rPr>
                <w:rFonts w:hint="eastAsia"/>
                <w:color w:val="auto"/>
              </w:rPr>
            </w:pPr>
            <w:r>
              <w:rPr>
                <w:rFonts w:hint="eastAsia"/>
                <w:color w:val="auto"/>
              </w:rPr>
              <w:t>1、有组织废气排放量核算</w:t>
            </w:r>
          </w:p>
          <w:p w14:paraId="3AF1F329">
            <w:pPr>
              <w:spacing w:line="360" w:lineRule="auto"/>
              <w:ind w:firstLine="411" w:firstLineChars="196"/>
              <w:jc w:val="left"/>
              <w:rPr>
                <w:rFonts w:hint="default" w:eastAsia="宋体"/>
                <w:color w:val="auto"/>
                <w:lang w:val="en-US" w:eastAsia="zh-CN"/>
              </w:rPr>
            </w:pPr>
            <w:r>
              <w:rPr>
                <w:rFonts w:hint="eastAsia"/>
                <w:color w:val="auto"/>
              </w:rPr>
              <w:t>（1）DA001</w:t>
            </w:r>
            <w:r>
              <w:rPr>
                <w:rFonts w:hint="eastAsia"/>
                <w:color w:val="auto"/>
                <w:lang w:eastAsia="zh-CN"/>
              </w:rPr>
              <w:t>、</w:t>
            </w:r>
            <w:r>
              <w:rPr>
                <w:rFonts w:hint="eastAsia"/>
                <w:color w:val="auto"/>
                <w:lang w:val="en-US" w:eastAsia="zh-CN"/>
              </w:rPr>
              <w:t>DA002、DA003</w:t>
            </w:r>
          </w:p>
          <w:p w14:paraId="32ABCF36">
            <w:pPr>
              <w:spacing w:line="360" w:lineRule="auto"/>
              <w:ind w:firstLine="411" w:firstLineChars="196"/>
              <w:rPr>
                <w:color w:val="auto"/>
              </w:rPr>
            </w:pPr>
            <w:r>
              <w:rPr>
                <w:color w:val="auto"/>
              </w:rPr>
              <w:t>本</w:t>
            </w:r>
            <w:r>
              <w:rPr>
                <w:rFonts w:hint="eastAsia"/>
                <w:color w:val="auto"/>
              </w:rPr>
              <w:t>项目</w:t>
            </w:r>
            <w:r>
              <w:rPr>
                <w:color w:val="auto"/>
              </w:rPr>
              <w:t>共</w:t>
            </w:r>
            <w:r>
              <w:rPr>
                <w:rFonts w:hint="eastAsia"/>
                <w:color w:val="auto"/>
                <w:lang w:val="en-US" w:eastAsia="zh-CN"/>
              </w:rPr>
              <w:t>3</w:t>
            </w:r>
            <w:r>
              <w:rPr>
                <w:color w:val="auto"/>
              </w:rPr>
              <w:t>个有组织废气排放口</w:t>
            </w:r>
            <w:r>
              <w:rPr>
                <w:rFonts w:hint="eastAsia"/>
                <w:color w:val="auto"/>
              </w:rPr>
              <w:t>，</w:t>
            </w:r>
            <w:r>
              <w:rPr>
                <w:color w:val="auto"/>
              </w:rPr>
              <w:t>对照</w:t>
            </w:r>
            <w:r>
              <w:rPr>
                <w:rFonts w:hint="eastAsia" w:ascii="Times New Roman" w:hAnsi="Times New Roman" w:eastAsia="宋体" w:cs="Times New Roman"/>
                <w:color w:val="auto"/>
              </w:rPr>
              <w:t>《排污许可证申请与核发技术规范 金属铸造工业》（HJ1115-2020）</w:t>
            </w:r>
            <w:r>
              <w:rPr>
                <w:rFonts w:hint="eastAsia"/>
                <w:color w:val="auto"/>
              </w:rPr>
              <w:t>，本项目废气排放口DA001</w:t>
            </w:r>
            <w:r>
              <w:rPr>
                <w:rFonts w:hint="eastAsia"/>
                <w:color w:val="auto"/>
                <w:lang w:eastAsia="zh-CN"/>
              </w:rPr>
              <w:t>、</w:t>
            </w:r>
            <w:r>
              <w:rPr>
                <w:rFonts w:hint="eastAsia"/>
                <w:color w:val="auto"/>
                <w:lang w:val="en-US" w:eastAsia="zh-CN"/>
              </w:rPr>
              <w:t>DA002、DA003均</w:t>
            </w:r>
            <w:r>
              <w:rPr>
                <w:rFonts w:hint="eastAsia"/>
                <w:color w:val="auto"/>
              </w:rPr>
              <w:t>为一般废气排放口，本项目DA001污染物因子为：</w:t>
            </w:r>
            <w:r>
              <w:rPr>
                <w:rFonts w:hint="eastAsia"/>
                <w:color w:val="auto"/>
                <w:lang w:val="en-US" w:eastAsia="zh-CN"/>
              </w:rPr>
              <w:t>颗粒物、</w:t>
            </w:r>
            <w:r>
              <w:rPr>
                <w:rFonts w:hint="eastAsia"/>
                <w:color w:val="auto"/>
              </w:rPr>
              <w:t>VOCs</w:t>
            </w:r>
            <w:r>
              <w:rPr>
                <w:rFonts w:hint="eastAsia"/>
                <w:color w:val="auto"/>
                <w:lang w:eastAsia="zh-CN"/>
              </w:rPr>
              <w:t>，</w:t>
            </w:r>
            <w:r>
              <w:rPr>
                <w:rFonts w:hint="eastAsia"/>
                <w:color w:val="auto"/>
                <w:lang w:val="en-US" w:eastAsia="zh-CN"/>
              </w:rPr>
              <w:t>DA002污染物因子为：颗粒物，DA003污染物因子为：颗粒物，</w:t>
            </w:r>
            <w:r>
              <w:rPr>
                <w:rFonts w:hint="eastAsia"/>
                <w:color w:val="auto"/>
              </w:rPr>
              <w:t>需申请总量。</w:t>
            </w:r>
          </w:p>
          <w:p w14:paraId="2F0C9D00">
            <w:pPr>
              <w:spacing w:line="360" w:lineRule="auto"/>
              <w:ind w:firstLine="411" w:firstLineChars="196"/>
              <w:jc w:val="left"/>
              <w:rPr>
                <w:rFonts w:hint="eastAsia"/>
                <w:color w:val="auto"/>
              </w:rPr>
            </w:pPr>
            <w:r>
              <w:rPr>
                <w:rFonts w:hint="eastAsia"/>
                <w:color w:val="auto"/>
              </w:rPr>
              <w:t>排污单位的废气年许可排放量为各废气主要排放口许可排放量之和，本项目DA001</w:t>
            </w:r>
            <w:r>
              <w:rPr>
                <w:rFonts w:hint="eastAsia"/>
                <w:color w:val="auto"/>
                <w:lang w:eastAsia="zh-CN"/>
              </w:rPr>
              <w:t>、</w:t>
            </w:r>
            <w:r>
              <w:rPr>
                <w:rFonts w:hint="eastAsia"/>
                <w:color w:val="auto"/>
                <w:lang w:val="en-US" w:eastAsia="zh-CN"/>
              </w:rPr>
              <w:t>DA002、DA003均</w:t>
            </w:r>
            <w:r>
              <w:rPr>
                <w:rFonts w:hint="eastAsia"/>
                <w:color w:val="auto"/>
              </w:rPr>
              <w:t>为一般废气排放口，对照《关于印发&lt;关于进一步优化建设项目排污总量指标管理提升环评审批效能》的意见（试行）&gt;的通知》（通环办</w:t>
            </w:r>
            <w:r>
              <w:rPr>
                <w:rFonts w:hint="eastAsia"/>
                <w:color w:val="auto"/>
                <w:lang w:eastAsia="zh-CN"/>
              </w:rPr>
              <w:t>〔2023〕132号</w:t>
            </w:r>
            <w:r>
              <w:rPr>
                <w:rFonts w:hint="eastAsia"/>
                <w:color w:val="auto"/>
              </w:rPr>
              <w:t>）要求，环境影响报告书（表）中，污染源源强核算章节对污染物排放量的分析，应根据《排污许可申请与核发技术规范》分别明确主要排放口、一般排放口的排放量，因此本项目废气排放口DA001</w:t>
            </w:r>
            <w:r>
              <w:rPr>
                <w:rFonts w:hint="eastAsia"/>
                <w:color w:val="auto"/>
                <w:lang w:eastAsia="zh-CN"/>
              </w:rPr>
              <w:t>、</w:t>
            </w:r>
            <w:r>
              <w:rPr>
                <w:rFonts w:hint="eastAsia"/>
                <w:color w:val="auto"/>
                <w:lang w:val="en-US" w:eastAsia="zh-CN"/>
              </w:rPr>
              <w:t>DA002、DA003</w:t>
            </w:r>
            <w:r>
              <w:rPr>
                <w:rFonts w:hint="eastAsia"/>
                <w:color w:val="auto"/>
              </w:rPr>
              <w:t>虽为一般废气排放口，需参照主要排放口许可排放量确定方法进行核算。</w:t>
            </w:r>
          </w:p>
          <w:p w14:paraId="50B2BB57">
            <w:pPr>
              <w:spacing w:line="360" w:lineRule="auto"/>
              <w:ind w:firstLine="411" w:firstLineChars="196"/>
              <w:jc w:val="left"/>
              <w:rPr>
                <w:rFonts w:hint="eastAsia"/>
                <w:color w:val="auto"/>
              </w:rPr>
            </w:pPr>
            <w:r>
              <w:rPr>
                <w:rFonts w:hint="eastAsia"/>
                <w:color w:val="auto"/>
              </w:rPr>
              <w:t>对照</w:t>
            </w:r>
            <w:r>
              <w:rPr>
                <w:rFonts w:hint="eastAsia" w:ascii="Times New Roman" w:hAnsi="Times New Roman" w:eastAsia="宋体" w:cs="Times New Roman"/>
                <w:color w:val="auto"/>
              </w:rPr>
              <w:t>《排污许可证申请与核发技术规范 金属铸造工业》（HJ1115-2020）</w:t>
            </w:r>
            <w:r>
              <w:rPr>
                <w:rFonts w:hint="eastAsia"/>
                <w:color w:val="auto"/>
              </w:rPr>
              <w:t>，</w:t>
            </w:r>
            <w:r>
              <w:rPr>
                <w:rFonts w:hint="eastAsia" w:ascii="Times New Roman" w:hAnsi="Times New Roman" w:eastAsia="宋体" w:cs="Times New Roman"/>
                <w:color w:val="auto"/>
              </w:rPr>
              <w:t>金属铸造</w:t>
            </w:r>
            <w:r>
              <w:rPr>
                <w:rFonts w:hint="eastAsia"/>
                <w:color w:val="auto"/>
              </w:rPr>
              <w:t>工业未给出</w:t>
            </w:r>
            <w:r>
              <w:rPr>
                <w:rFonts w:hint="eastAsia"/>
                <w:color w:val="auto"/>
                <w:lang w:eastAsia="zh-CN"/>
              </w:rPr>
              <w:t>（</w:t>
            </w:r>
            <w:r>
              <w:rPr>
                <w:rFonts w:hint="eastAsia"/>
                <w:color w:val="auto"/>
                <w:lang w:val="en-US" w:eastAsia="zh-CN"/>
              </w:rPr>
              <w:t>熔融、造型、浇注、落砂等工序</w:t>
            </w:r>
            <w:r>
              <w:rPr>
                <w:rFonts w:hint="eastAsia"/>
                <w:color w:val="auto"/>
                <w:lang w:eastAsia="zh-CN"/>
              </w:rPr>
              <w:t>）</w:t>
            </w:r>
            <w:r>
              <w:rPr>
                <w:rFonts w:hint="eastAsia"/>
                <w:color w:val="auto"/>
              </w:rPr>
              <w:t>相应的污染物允许排放量计算方法，故参照《排污许可证申请与核发技术规范 总则》（HJ942-2018）中废气年许可排放量核算方法进行核算，由于本项目无规定的基准排气量，因此无法按技术规范中的式（1）及式（2）核算，可按式（3）及式（4）计算，具体公式如下：</w:t>
            </w:r>
          </w:p>
          <w:p w14:paraId="7FDF2465">
            <w:pPr>
              <w:spacing w:line="360" w:lineRule="auto"/>
              <w:ind w:firstLine="411" w:firstLineChars="196"/>
              <w:jc w:val="center"/>
              <w:rPr>
                <w:rFonts w:hint="eastAsia"/>
                <w:color w:val="auto"/>
              </w:rPr>
            </w:pPr>
            <w:r>
              <w:rPr>
                <w:color w:val="auto"/>
              </w:rPr>
              <w:drawing>
                <wp:inline distT="0" distB="0" distL="114300" distR="114300">
                  <wp:extent cx="1991995" cy="909955"/>
                  <wp:effectExtent l="0" t="0" r="8255" b="4445"/>
                  <wp:docPr id="16" name="图片 1" descr="169448320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694483201964"/>
                          <pic:cNvPicPr>
                            <a:picLocks noChangeAspect="1"/>
                          </pic:cNvPicPr>
                        </pic:nvPicPr>
                        <pic:blipFill>
                          <a:blip r:embed="rId13"/>
                          <a:stretch>
                            <a:fillRect/>
                          </a:stretch>
                        </pic:blipFill>
                        <pic:spPr>
                          <a:xfrm>
                            <a:off x="0" y="0"/>
                            <a:ext cx="1991995" cy="909955"/>
                          </a:xfrm>
                          <a:prstGeom prst="rect">
                            <a:avLst/>
                          </a:prstGeom>
                          <a:noFill/>
                          <a:ln>
                            <a:noFill/>
                          </a:ln>
                        </pic:spPr>
                      </pic:pic>
                    </a:graphicData>
                  </a:graphic>
                </wp:inline>
              </w:drawing>
            </w:r>
          </w:p>
          <w:p w14:paraId="6399508D">
            <w:pPr>
              <w:spacing w:line="360" w:lineRule="auto"/>
              <w:ind w:firstLine="411" w:firstLineChars="196"/>
              <w:jc w:val="left"/>
              <w:rPr>
                <w:rFonts w:hint="eastAsia"/>
                <w:color w:val="auto"/>
              </w:rPr>
            </w:pPr>
            <w:r>
              <w:rPr>
                <w:rFonts w:hint="eastAsia"/>
                <w:color w:val="auto"/>
              </w:rPr>
              <w:t xml:space="preserve">    式中：Mi—第i个主要排放口污染物年许可排放量，t；</w:t>
            </w:r>
          </w:p>
          <w:p w14:paraId="450CB332">
            <w:pPr>
              <w:spacing w:line="360" w:lineRule="auto"/>
              <w:ind w:firstLine="411" w:firstLineChars="196"/>
              <w:jc w:val="left"/>
              <w:rPr>
                <w:rFonts w:hint="eastAsia"/>
                <w:color w:val="auto"/>
              </w:rPr>
            </w:pPr>
            <w:r>
              <w:rPr>
                <w:rFonts w:hint="eastAsia"/>
                <w:color w:val="auto"/>
              </w:rPr>
              <w:t>Q—第i个主要排放口风量（标态），m</w:t>
            </w:r>
            <w:r>
              <w:rPr>
                <w:rFonts w:hint="eastAsia"/>
                <w:color w:val="auto"/>
                <w:vertAlign w:val="superscript"/>
              </w:rPr>
              <w:t>3</w:t>
            </w:r>
            <w:r>
              <w:rPr>
                <w:rFonts w:hint="eastAsia"/>
                <w:color w:val="auto"/>
              </w:rPr>
              <w:t>/h，</w:t>
            </w:r>
          </w:p>
          <w:p w14:paraId="67A86819">
            <w:pPr>
              <w:spacing w:line="360" w:lineRule="auto"/>
              <w:ind w:firstLine="411" w:firstLineChars="196"/>
              <w:jc w:val="left"/>
              <w:rPr>
                <w:rFonts w:hint="eastAsia"/>
                <w:color w:val="auto"/>
              </w:rPr>
            </w:pPr>
            <w:r>
              <w:rPr>
                <w:rFonts w:hint="eastAsia"/>
                <w:color w:val="auto"/>
              </w:rPr>
              <w:t>C—污染物许可排放浓度限值（标态），mg/m</w:t>
            </w:r>
            <w:r>
              <w:rPr>
                <w:rFonts w:hint="eastAsia"/>
                <w:color w:val="auto"/>
                <w:vertAlign w:val="superscript"/>
              </w:rPr>
              <w:t>3</w:t>
            </w:r>
            <w:r>
              <w:rPr>
                <w:rFonts w:hint="eastAsia"/>
                <w:color w:val="auto"/>
              </w:rPr>
              <w:t>；取废气排放标准值计算；</w:t>
            </w:r>
          </w:p>
          <w:p w14:paraId="5C755EE7">
            <w:pPr>
              <w:spacing w:line="360" w:lineRule="auto"/>
              <w:ind w:firstLine="411" w:firstLineChars="196"/>
              <w:jc w:val="left"/>
              <w:rPr>
                <w:rFonts w:hint="eastAsia"/>
                <w:color w:val="auto"/>
              </w:rPr>
            </w:pPr>
            <w:r>
              <w:rPr>
                <w:rFonts w:hint="eastAsia"/>
                <w:color w:val="auto"/>
              </w:rPr>
              <w:t>T—第i个主要排放口对应装置设计年生产时间，h；</w:t>
            </w:r>
          </w:p>
          <w:p w14:paraId="575013A5">
            <w:pPr>
              <w:spacing w:line="360" w:lineRule="auto"/>
              <w:ind w:firstLine="411" w:firstLineChars="196"/>
              <w:jc w:val="left"/>
              <w:rPr>
                <w:rFonts w:hint="eastAsia"/>
                <w:color w:val="auto"/>
              </w:rPr>
            </w:pPr>
            <w:r>
              <w:rPr>
                <w:rFonts w:hint="eastAsia"/>
                <w:color w:val="auto"/>
              </w:rPr>
              <w:t>E年许可—污染物年许可排放量，t/a。</w:t>
            </w:r>
          </w:p>
          <w:p w14:paraId="3A44A13B">
            <w:pPr>
              <w:spacing w:line="360" w:lineRule="auto"/>
              <w:ind w:firstLine="411" w:firstLineChars="196"/>
              <w:jc w:val="left"/>
              <w:rPr>
                <w:b/>
                <w:color w:val="auto"/>
              </w:rPr>
            </w:pPr>
            <w:r>
              <w:rPr>
                <w:rFonts w:hint="eastAsia"/>
                <w:color w:val="auto"/>
              </w:rPr>
              <w:t>计算得</w:t>
            </w:r>
            <w:r>
              <w:rPr>
                <w:rFonts w:hint="eastAsia"/>
                <w:color w:val="auto"/>
                <w:lang w:val="en-US" w:eastAsia="zh-CN"/>
              </w:rPr>
              <w:t>颗粒物、</w:t>
            </w:r>
            <w:r>
              <w:rPr>
                <w:rFonts w:hint="eastAsia"/>
                <w:color w:val="auto"/>
              </w:rPr>
              <w:t>VOCs允许排放量见下表。</w:t>
            </w:r>
          </w:p>
          <w:p w14:paraId="0A26E521">
            <w:pPr>
              <w:ind w:firstLine="413" w:firstLineChars="196"/>
              <w:jc w:val="center"/>
              <w:rPr>
                <w:b/>
                <w:color w:val="auto"/>
              </w:rPr>
            </w:pPr>
          </w:p>
          <w:p w14:paraId="755123CC">
            <w:pPr>
              <w:ind w:firstLine="413" w:firstLineChars="196"/>
              <w:jc w:val="center"/>
              <w:rPr>
                <w:b/>
                <w:color w:val="auto"/>
              </w:rPr>
            </w:pPr>
          </w:p>
          <w:p w14:paraId="18DEB2F8">
            <w:pPr>
              <w:jc w:val="center"/>
              <w:rPr>
                <w:rFonts w:hint="eastAsia"/>
                <w:b/>
                <w:color w:val="auto"/>
              </w:rPr>
            </w:pPr>
            <w:r>
              <w:rPr>
                <w:b/>
                <w:color w:val="auto"/>
              </w:rPr>
              <w:t>表</w:t>
            </w:r>
            <w:r>
              <w:rPr>
                <w:rFonts w:hint="eastAsia"/>
                <w:b/>
                <w:color w:val="auto"/>
                <w:lang w:val="en-US" w:eastAsia="zh-CN"/>
              </w:rPr>
              <w:t>3-15</w:t>
            </w:r>
            <w:r>
              <w:rPr>
                <w:rFonts w:hint="eastAsia"/>
                <w:b/>
                <w:color w:val="auto"/>
              </w:rPr>
              <w:t>根据技术规范计算的</w:t>
            </w:r>
            <w:r>
              <w:rPr>
                <w:rFonts w:hint="eastAsia"/>
                <w:b/>
                <w:color w:val="auto"/>
                <w:lang w:val="en-US" w:eastAsia="zh-CN"/>
              </w:rPr>
              <w:t>废气</w:t>
            </w:r>
            <w:r>
              <w:rPr>
                <w:rFonts w:hint="eastAsia"/>
                <w:b/>
                <w:color w:val="auto"/>
              </w:rPr>
              <w:t>允许排放量</w:t>
            </w:r>
          </w:p>
          <w:tbl>
            <w:tblPr>
              <w:tblStyle w:val="25"/>
              <w:tblW w:w="84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0"/>
              <w:gridCol w:w="1180"/>
              <w:gridCol w:w="1226"/>
              <w:gridCol w:w="1226"/>
              <w:gridCol w:w="1168"/>
              <w:gridCol w:w="1129"/>
              <w:gridCol w:w="1309"/>
            </w:tblGrid>
            <w:tr w14:paraId="7A63B3C1">
              <w:tblPrEx>
                <w:tblCellMar>
                  <w:top w:w="0" w:type="dxa"/>
                  <w:left w:w="108" w:type="dxa"/>
                  <w:bottom w:w="0" w:type="dxa"/>
                  <w:right w:w="108" w:type="dxa"/>
                </w:tblCellMar>
              </w:tblPrEx>
              <w:trPr>
                <w:trHeight w:val="575" w:hRule="atLeast"/>
                <w:jc w:val="center"/>
              </w:trPr>
              <w:tc>
                <w:tcPr>
                  <w:tcW w:w="1180" w:type="dxa"/>
                  <w:noWrap w:val="0"/>
                  <w:vAlign w:val="center"/>
                </w:tcPr>
                <w:p w14:paraId="76BB315E">
                  <w:pPr>
                    <w:jc w:val="center"/>
                    <w:rPr>
                      <w:rFonts w:hint="default" w:eastAsia="宋体"/>
                      <w:b/>
                      <w:bCs/>
                      <w:color w:val="auto"/>
                      <w:sz w:val="21"/>
                      <w:szCs w:val="21"/>
                      <w:lang w:val="en-US" w:eastAsia="zh-CN"/>
                    </w:rPr>
                  </w:pPr>
                  <w:r>
                    <w:rPr>
                      <w:rFonts w:hint="eastAsia"/>
                      <w:b/>
                      <w:bCs/>
                      <w:color w:val="auto"/>
                      <w:sz w:val="21"/>
                      <w:szCs w:val="21"/>
                      <w:lang w:val="en-US" w:eastAsia="zh-CN"/>
                    </w:rPr>
                    <w:t>排气筒编号</w:t>
                  </w:r>
                </w:p>
              </w:tc>
              <w:tc>
                <w:tcPr>
                  <w:tcW w:w="1180" w:type="dxa"/>
                  <w:noWrap w:val="0"/>
                  <w:vAlign w:val="center"/>
                </w:tcPr>
                <w:p w14:paraId="4EFBA464">
                  <w:pPr>
                    <w:jc w:val="center"/>
                    <w:rPr>
                      <w:b/>
                      <w:bCs/>
                      <w:color w:val="auto"/>
                      <w:sz w:val="21"/>
                      <w:szCs w:val="21"/>
                    </w:rPr>
                  </w:pPr>
                  <w:r>
                    <w:rPr>
                      <w:b/>
                      <w:bCs/>
                      <w:color w:val="auto"/>
                      <w:sz w:val="21"/>
                      <w:szCs w:val="21"/>
                    </w:rPr>
                    <w:t>污染因子</w:t>
                  </w:r>
                </w:p>
              </w:tc>
              <w:tc>
                <w:tcPr>
                  <w:tcW w:w="1226" w:type="dxa"/>
                  <w:noWrap w:val="0"/>
                  <w:vAlign w:val="center"/>
                </w:tcPr>
                <w:p w14:paraId="4E356482">
                  <w:pPr>
                    <w:jc w:val="center"/>
                    <w:rPr>
                      <w:b/>
                      <w:bCs/>
                      <w:color w:val="auto"/>
                      <w:sz w:val="21"/>
                      <w:szCs w:val="21"/>
                    </w:rPr>
                  </w:pPr>
                  <w:r>
                    <w:rPr>
                      <w:rFonts w:hint="eastAsia"/>
                      <w:b/>
                      <w:bCs/>
                      <w:color w:val="auto"/>
                      <w:sz w:val="21"/>
                      <w:szCs w:val="21"/>
                    </w:rPr>
                    <w:t>Q（m</w:t>
                  </w:r>
                  <w:r>
                    <w:rPr>
                      <w:rFonts w:hint="eastAsia"/>
                      <w:b/>
                      <w:bCs/>
                      <w:color w:val="auto"/>
                      <w:sz w:val="21"/>
                      <w:szCs w:val="21"/>
                      <w:vertAlign w:val="superscript"/>
                    </w:rPr>
                    <w:t>3</w:t>
                  </w:r>
                  <w:r>
                    <w:rPr>
                      <w:rFonts w:hint="eastAsia"/>
                      <w:b/>
                      <w:bCs/>
                      <w:color w:val="auto"/>
                      <w:sz w:val="21"/>
                      <w:szCs w:val="21"/>
                    </w:rPr>
                    <w:t>/h）</w:t>
                  </w:r>
                </w:p>
              </w:tc>
              <w:tc>
                <w:tcPr>
                  <w:tcW w:w="1226" w:type="dxa"/>
                  <w:noWrap w:val="0"/>
                  <w:vAlign w:val="center"/>
                </w:tcPr>
                <w:p w14:paraId="05AC6420">
                  <w:pPr>
                    <w:jc w:val="center"/>
                    <w:rPr>
                      <w:b/>
                      <w:bCs/>
                      <w:color w:val="auto"/>
                      <w:sz w:val="21"/>
                      <w:szCs w:val="21"/>
                    </w:rPr>
                  </w:pPr>
                  <w:r>
                    <w:rPr>
                      <w:rFonts w:hint="eastAsia"/>
                      <w:b/>
                      <w:bCs/>
                      <w:color w:val="auto"/>
                      <w:sz w:val="21"/>
                      <w:szCs w:val="21"/>
                    </w:rPr>
                    <w:t>C</w:t>
                  </w:r>
                  <w:r>
                    <w:rPr>
                      <w:b/>
                      <w:color w:val="auto"/>
                      <w:sz w:val="21"/>
                      <w:szCs w:val="21"/>
                    </w:rPr>
                    <w:t>（mg/m</w:t>
                  </w:r>
                  <w:r>
                    <w:rPr>
                      <w:b/>
                      <w:color w:val="auto"/>
                      <w:sz w:val="21"/>
                      <w:szCs w:val="21"/>
                      <w:vertAlign w:val="superscript"/>
                    </w:rPr>
                    <w:t>3</w:t>
                  </w:r>
                  <w:r>
                    <w:rPr>
                      <w:b/>
                      <w:color w:val="auto"/>
                      <w:sz w:val="21"/>
                      <w:szCs w:val="21"/>
                    </w:rPr>
                    <w:t>）</w:t>
                  </w:r>
                </w:p>
              </w:tc>
              <w:tc>
                <w:tcPr>
                  <w:tcW w:w="1168" w:type="dxa"/>
                  <w:noWrap w:val="0"/>
                  <w:vAlign w:val="center"/>
                </w:tcPr>
                <w:p w14:paraId="48676053">
                  <w:pPr>
                    <w:jc w:val="center"/>
                    <w:rPr>
                      <w:b/>
                      <w:bCs/>
                      <w:color w:val="auto"/>
                      <w:sz w:val="21"/>
                      <w:szCs w:val="21"/>
                    </w:rPr>
                  </w:pPr>
                  <w:r>
                    <w:rPr>
                      <w:rFonts w:hint="eastAsia"/>
                      <w:b/>
                      <w:bCs/>
                      <w:color w:val="auto"/>
                      <w:sz w:val="21"/>
                      <w:szCs w:val="21"/>
                    </w:rPr>
                    <w:t>T（h）</w:t>
                  </w:r>
                </w:p>
              </w:tc>
              <w:tc>
                <w:tcPr>
                  <w:tcW w:w="1129" w:type="dxa"/>
                  <w:noWrap w:val="0"/>
                  <w:vAlign w:val="center"/>
                </w:tcPr>
                <w:p w14:paraId="0AC7A08E">
                  <w:pPr>
                    <w:jc w:val="center"/>
                    <w:rPr>
                      <w:rFonts w:hint="eastAsia"/>
                      <w:b/>
                      <w:bCs/>
                      <w:color w:val="auto"/>
                      <w:sz w:val="21"/>
                      <w:szCs w:val="21"/>
                    </w:rPr>
                  </w:pPr>
                  <w:r>
                    <w:rPr>
                      <w:rFonts w:hint="eastAsia"/>
                      <w:b/>
                      <w:bCs/>
                      <w:color w:val="auto"/>
                      <w:sz w:val="21"/>
                      <w:szCs w:val="21"/>
                    </w:rPr>
                    <w:t>M（t/a）</w:t>
                  </w:r>
                </w:p>
              </w:tc>
              <w:tc>
                <w:tcPr>
                  <w:tcW w:w="1309" w:type="dxa"/>
                  <w:noWrap w:val="0"/>
                  <w:vAlign w:val="center"/>
                </w:tcPr>
                <w:p w14:paraId="7A7BB960">
                  <w:pPr>
                    <w:jc w:val="center"/>
                    <w:rPr>
                      <w:b/>
                      <w:bCs/>
                      <w:color w:val="auto"/>
                      <w:sz w:val="21"/>
                      <w:szCs w:val="21"/>
                    </w:rPr>
                  </w:pPr>
                  <w:r>
                    <w:rPr>
                      <w:rFonts w:hint="eastAsia"/>
                      <w:b/>
                      <w:bCs/>
                      <w:color w:val="auto"/>
                      <w:sz w:val="21"/>
                      <w:szCs w:val="21"/>
                    </w:rPr>
                    <w:t>E（t/a）</w:t>
                  </w:r>
                </w:p>
              </w:tc>
            </w:tr>
            <w:tr w14:paraId="5B40CA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6" w:hRule="atLeast"/>
                <w:jc w:val="center"/>
              </w:trPr>
              <w:tc>
                <w:tcPr>
                  <w:tcW w:w="1180" w:type="dxa"/>
                  <w:vMerge w:val="restart"/>
                  <w:noWrap w:val="0"/>
                  <w:vAlign w:val="center"/>
                </w:tcPr>
                <w:p w14:paraId="3BB8E43C">
                  <w:pPr>
                    <w:jc w:val="center"/>
                    <w:rPr>
                      <w:rFonts w:hint="default" w:eastAsia="宋体"/>
                      <w:bCs/>
                      <w:color w:val="auto"/>
                      <w:sz w:val="21"/>
                      <w:szCs w:val="21"/>
                      <w:lang w:val="en-US" w:eastAsia="zh-CN"/>
                    </w:rPr>
                  </w:pPr>
                  <w:r>
                    <w:rPr>
                      <w:rFonts w:hint="eastAsia"/>
                      <w:bCs/>
                      <w:color w:val="auto"/>
                      <w:sz w:val="21"/>
                      <w:szCs w:val="21"/>
                      <w:lang w:val="en-US" w:eastAsia="zh-CN"/>
                    </w:rPr>
                    <w:t>DA001</w:t>
                  </w:r>
                </w:p>
              </w:tc>
              <w:tc>
                <w:tcPr>
                  <w:tcW w:w="1180" w:type="dxa"/>
                  <w:noWrap w:val="0"/>
                  <w:vAlign w:val="center"/>
                </w:tcPr>
                <w:p w14:paraId="128EC3ED">
                  <w:pPr>
                    <w:jc w:val="center"/>
                    <w:rPr>
                      <w:rFonts w:hint="eastAsia" w:eastAsia="宋体"/>
                      <w:bCs/>
                      <w:color w:val="auto"/>
                      <w:sz w:val="21"/>
                      <w:szCs w:val="21"/>
                      <w:lang w:val="en-US" w:eastAsia="zh-CN"/>
                    </w:rPr>
                  </w:pPr>
                  <w:r>
                    <w:rPr>
                      <w:rFonts w:hint="eastAsia"/>
                      <w:bCs/>
                      <w:color w:val="auto"/>
                      <w:sz w:val="21"/>
                      <w:szCs w:val="21"/>
                      <w:lang w:val="en-US" w:eastAsia="zh-CN"/>
                    </w:rPr>
                    <w:t>颗粒物</w:t>
                  </w:r>
                </w:p>
              </w:tc>
              <w:tc>
                <w:tcPr>
                  <w:tcW w:w="1226" w:type="dxa"/>
                  <w:vMerge w:val="restart"/>
                  <w:noWrap w:val="0"/>
                  <w:vAlign w:val="center"/>
                </w:tcPr>
                <w:p w14:paraId="6532E131">
                  <w:pPr>
                    <w:jc w:val="center"/>
                    <w:rPr>
                      <w:rFonts w:hint="eastAsia"/>
                      <w:bCs/>
                      <w:color w:val="auto"/>
                      <w:sz w:val="21"/>
                      <w:szCs w:val="21"/>
                    </w:rPr>
                  </w:pPr>
                  <w:r>
                    <w:rPr>
                      <w:rFonts w:hint="eastAsia"/>
                      <w:bCs/>
                      <w:color w:val="auto"/>
                      <w:sz w:val="21"/>
                      <w:szCs w:val="21"/>
                      <w:lang w:val="en-US" w:eastAsia="zh-CN"/>
                    </w:rPr>
                    <w:t>28</w:t>
                  </w:r>
                  <w:r>
                    <w:rPr>
                      <w:rFonts w:hint="eastAsia"/>
                      <w:bCs/>
                      <w:color w:val="auto"/>
                      <w:sz w:val="21"/>
                      <w:szCs w:val="21"/>
                    </w:rPr>
                    <w:t>000</w:t>
                  </w:r>
                </w:p>
              </w:tc>
              <w:tc>
                <w:tcPr>
                  <w:tcW w:w="1226" w:type="dxa"/>
                  <w:noWrap w:val="0"/>
                  <w:vAlign w:val="center"/>
                </w:tcPr>
                <w:p w14:paraId="57A8E805">
                  <w:pPr>
                    <w:jc w:val="center"/>
                    <w:rPr>
                      <w:rFonts w:hint="default" w:eastAsia="宋体"/>
                      <w:bCs/>
                      <w:color w:val="auto"/>
                      <w:sz w:val="21"/>
                      <w:szCs w:val="21"/>
                      <w:lang w:val="en-US" w:eastAsia="zh-CN"/>
                    </w:rPr>
                  </w:pPr>
                  <w:r>
                    <w:rPr>
                      <w:rFonts w:hint="eastAsia"/>
                      <w:bCs/>
                      <w:color w:val="auto"/>
                      <w:sz w:val="21"/>
                      <w:szCs w:val="21"/>
                      <w:lang w:val="en-US" w:eastAsia="zh-CN"/>
                    </w:rPr>
                    <w:t>30</w:t>
                  </w:r>
                </w:p>
              </w:tc>
              <w:tc>
                <w:tcPr>
                  <w:tcW w:w="1168" w:type="dxa"/>
                  <w:vMerge w:val="restart"/>
                  <w:noWrap w:val="0"/>
                  <w:vAlign w:val="center"/>
                </w:tcPr>
                <w:p w14:paraId="3663A9B3">
                  <w:pPr>
                    <w:jc w:val="center"/>
                    <w:rPr>
                      <w:rFonts w:hint="default" w:eastAsia="宋体"/>
                      <w:bCs/>
                      <w:color w:val="auto"/>
                      <w:sz w:val="21"/>
                      <w:szCs w:val="21"/>
                      <w:lang w:val="en-US" w:eastAsia="zh-CN"/>
                    </w:rPr>
                  </w:pPr>
                  <w:r>
                    <w:rPr>
                      <w:rFonts w:hint="eastAsia"/>
                      <w:bCs/>
                      <w:color w:val="auto"/>
                      <w:sz w:val="21"/>
                      <w:szCs w:val="21"/>
                      <w:lang w:val="en-US" w:eastAsia="zh-CN"/>
                    </w:rPr>
                    <w:t>4800</w:t>
                  </w:r>
                </w:p>
              </w:tc>
              <w:tc>
                <w:tcPr>
                  <w:tcW w:w="1129" w:type="dxa"/>
                  <w:noWrap w:val="0"/>
                  <w:vAlign w:val="center"/>
                </w:tcPr>
                <w:p w14:paraId="24E68B4B">
                  <w:pPr>
                    <w:jc w:val="center"/>
                    <w:rPr>
                      <w:rFonts w:hint="default" w:eastAsia="宋体"/>
                      <w:bCs/>
                      <w:color w:val="auto"/>
                      <w:sz w:val="21"/>
                      <w:szCs w:val="21"/>
                      <w:lang w:val="en-US" w:eastAsia="zh-CN"/>
                    </w:rPr>
                  </w:pPr>
                  <w:r>
                    <w:rPr>
                      <w:rFonts w:hint="eastAsia"/>
                      <w:bCs/>
                      <w:color w:val="auto"/>
                      <w:sz w:val="21"/>
                      <w:szCs w:val="21"/>
                      <w:lang w:val="en-US" w:eastAsia="zh-CN"/>
                    </w:rPr>
                    <w:t>4.032</w:t>
                  </w:r>
                </w:p>
              </w:tc>
              <w:tc>
                <w:tcPr>
                  <w:tcW w:w="1309" w:type="dxa"/>
                  <w:noWrap w:val="0"/>
                  <w:vAlign w:val="center"/>
                </w:tcPr>
                <w:p w14:paraId="1A14C7BD">
                  <w:pPr>
                    <w:jc w:val="center"/>
                    <w:rPr>
                      <w:bCs/>
                      <w:color w:val="auto"/>
                      <w:sz w:val="21"/>
                      <w:szCs w:val="21"/>
                    </w:rPr>
                  </w:pPr>
                  <w:r>
                    <w:rPr>
                      <w:rFonts w:hint="eastAsia"/>
                      <w:bCs/>
                      <w:color w:val="auto"/>
                      <w:sz w:val="21"/>
                      <w:szCs w:val="21"/>
                      <w:lang w:val="en-US" w:eastAsia="zh-CN"/>
                    </w:rPr>
                    <w:t>4.032</w:t>
                  </w:r>
                </w:p>
              </w:tc>
            </w:tr>
            <w:tr w14:paraId="175791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6" w:hRule="atLeast"/>
                <w:jc w:val="center"/>
              </w:trPr>
              <w:tc>
                <w:tcPr>
                  <w:tcW w:w="1180" w:type="dxa"/>
                  <w:vMerge w:val="continue"/>
                  <w:noWrap w:val="0"/>
                  <w:vAlign w:val="center"/>
                </w:tcPr>
                <w:p w14:paraId="01FDF6CC">
                  <w:pPr>
                    <w:jc w:val="center"/>
                    <w:rPr>
                      <w:rFonts w:hint="eastAsia"/>
                      <w:bCs/>
                      <w:color w:val="auto"/>
                      <w:sz w:val="21"/>
                      <w:szCs w:val="21"/>
                    </w:rPr>
                  </w:pPr>
                </w:p>
              </w:tc>
              <w:tc>
                <w:tcPr>
                  <w:tcW w:w="1180" w:type="dxa"/>
                  <w:noWrap w:val="0"/>
                  <w:vAlign w:val="center"/>
                </w:tcPr>
                <w:p w14:paraId="0A29ED0E">
                  <w:pPr>
                    <w:jc w:val="center"/>
                    <w:rPr>
                      <w:rFonts w:hint="eastAsia"/>
                      <w:bCs/>
                      <w:color w:val="auto"/>
                      <w:sz w:val="21"/>
                      <w:szCs w:val="21"/>
                    </w:rPr>
                  </w:pPr>
                  <w:r>
                    <w:rPr>
                      <w:rFonts w:hint="eastAsia"/>
                      <w:bCs/>
                      <w:color w:val="auto"/>
                      <w:sz w:val="21"/>
                      <w:szCs w:val="21"/>
                    </w:rPr>
                    <w:t>VOCs</w:t>
                  </w:r>
                </w:p>
              </w:tc>
              <w:tc>
                <w:tcPr>
                  <w:tcW w:w="1226" w:type="dxa"/>
                  <w:vMerge w:val="continue"/>
                  <w:noWrap w:val="0"/>
                  <w:vAlign w:val="center"/>
                </w:tcPr>
                <w:p w14:paraId="6D9D60EE">
                  <w:pPr>
                    <w:jc w:val="center"/>
                    <w:rPr>
                      <w:rFonts w:hint="eastAsia"/>
                      <w:bCs/>
                      <w:color w:val="auto"/>
                      <w:sz w:val="21"/>
                      <w:szCs w:val="21"/>
                    </w:rPr>
                  </w:pPr>
                </w:p>
              </w:tc>
              <w:tc>
                <w:tcPr>
                  <w:tcW w:w="1226" w:type="dxa"/>
                  <w:noWrap w:val="0"/>
                  <w:vAlign w:val="center"/>
                </w:tcPr>
                <w:p w14:paraId="221BFF79">
                  <w:pPr>
                    <w:jc w:val="center"/>
                    <w:rPr>
                      <w:rFonts w:hint="eastAsia"/>
                      <w:bCs/>
                      <w:color w:val="auto"/>
                      <w:sz w:val="21"/>
                      <w:szCs w:val="21"/>
                    </w:rPr>
                  </w:pPr>
                  <w:r>
                    <w:rPr>
                      <w:rFonts w:hint="eastAsia"/>
                      <w:bCs/>
                      <w:color w:val="auto"/>
                      <w:sz w:val="21"/>
                      <w:szCs w:val="21"/>
                    </w:rPr>
                    <w:t>60</w:t>
                  </w:r>
                </w:p>
              </w:tc>
              <w:tc>
                <w:tcPr>
                  <w:tcW w:w="1168" w:type="dxa"/>
                  <w:vMerge w:val="continue"/>
                  <w:noWrap w:val="0"/>
                  <w:vAlign w:val="center"/>
                </w:tcPr>
                <w:p w14:paraId="2546F35E">
                  <w:pPr>
                    <w:jc w:val="center"/>
                    <w:rPr>
                      <w:rFonts w:hint="eastAsia"/>
                      <w:bCs/>
                      <w:color w:val="auto"/>
                      <w:sz w:val="21"/>
                      <w:szCs w:val="21"/>
                    </w:rPr>
                  </w:pPr>
                </w:p>
              </w:tc>
              <w:tc>
                <w:tcPr>
                  <w:tcW w:w="1129" w:type="dxa"/>
                  <w:noWrap w:val="0"/>
                  <w:vAlign w:val="center"/>
                </w:tcPr>
                <w:p w14:paraId="0026E855">
                  <w:pPr>
                    <w:jc w:val="center"/>
                    <w:rPr>
                      <w:rFonts w:hint="default" w:eastAsia="宋体"/>
                      <w:bCs/>
                      <w:color w:val="auto"/>
                      <w:sz w:val="21"/>
                      <w:szCs w:val="21"/>
                      <w:lang w:val="en-US" w:eastAsia="zh-CN"/>
                    </w:rPr>
                  </w:pPr>
                  <w:r>
                    <w:rPr>
                      <w:rFonts w:hint="eastAsia"/>
                      <w:bCs/>
                      <w:color w:val="auto"/>
                      <w:sz w:val="21"/>
                      <w:szCs w:val="21"/>
                      <w:lang w:val="en-US" w:eastAsia="zh-CN"/>
                    </w:rPr>
                    <w:t>8.064</w:t>
                  </w:r>
                </w:p>
              </w:tc>
              <w:tc>
                <w:tcPr>
                  <w:tcW w:w="1309" w:type="dxa"/>
                  <w:noWrap w:val="0"/>
                  <w:vAlign w:val="center"/>
                </w:tcPr>
                <w:p w14:paraId="04FBC03D">
                  <w:pPr>
                    <w:jc w:val="center"/>
                    <w:rPr>
                      <w:rFonts w:hint="eastAsia"/>
                      <w:bCs/>
                      <w:color w:val="auto"/>
                      <w:sz w:val="21"/>
                      <w:szCs w:val="21"/>
                    </w:rPr>
                  </w:pPr>
                  <w:r>
                    <w:rPr>
                      <w:rFonts w:hint="eastAsia"/>
                      <w:bCs/>
                      <w:color w:val="auto"/>
                      <w:sz w:val="21"/>
                      <w:szCs w:val="21"/>
                      <w:lang w:val="en-US" w:eastAsia="zh-CN"/>
                    </w:rPr>
                    <w:t>8.064</w:t>
                  </w:r>
                </w:p>
              </w:tc>
            </w:tr>
            <w:tr w14:paraId="6DB99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6" w:hRule="atLeast"/>
                <w:jc w:val="center"/>
              </w:trPr>
              <w:tc>
                <w:tcPr>
                  <w:tcW w:w="1180" w:type="dxa"/>
                  <w:noWrap w:val="0"/>
                  <w:vAlign w:val="center"/>
                </w:tcPr>
                <w:p w14:paraId="36F0F4C0">
                  <w:pPr>
                    <w:jc w:val="center"/>
                    <w:rPr>
                      <w:rFonts w:hint="default" w:eastAsia="宋体"/>
                      <w:bCs/>
                      <w:color w:val="auto"/>
                      <w:sz w:val="21"/>
                      <w:szCs w:val="21"/>
                      <w:lang w:val="en-US" w:eastAsia="zh-CN"/>
                    </w:rPr>
                  </w:pPr>
                  <w:r>
                    <w:rPr>
                      <w:rFonts w:hint="eastAsia"/>
                      <w:bCs/>
                      <w:color w:val="auto"/>
                      <w:sz w:val="21"/>
                      <w:szCs w:val="21"/>
                      <w:lang w:val="en-US" w:eastAsia="zh-CN"/>
                    </w:rPr>
                    <w:t>DA002</w:t>
                  </w:r>
                </w:p>
              </w:tc>
              <w:tc>
                <w:tcPr>
                  <w:tcW w:w="1180" w:type="dxa"/>
                  <w:noWrap w:val="0"/>
                  <w:vAlign w:val="center"/>
                </w:tcPr>
                <w:p w14:paraId="18A348FD">
                  <w:pPr>
                    <w:jc w:val="center"/>
                    <w:rPr>
                      <w:rFonts w:hint="eastAsia" w:eastAsia="宋体"/>
                      <w:bCs/>
                      <w:color w:val="auto"/>
                      <w:sz w:val="21"/>
                      <w:szCs w:val="21"/>
                      <w:lang w:val="en-US" w:eastAsia="zh-CN"/>
                    </w:rPr>
                  </w:pPr>
                  <w:r>
                    <w:rPr>
                      <w:rFonts w:hint="eastAsia"/>
                      <w:bCs/>
                      <w:color w:val="auto"/>
                      <w:sz w:val="21"/>
                      <w:szCs w:val="21"/>
                      <w:lang w:val="en-US" w:eastAsia="zh-CN"/>
                    </w:rPr>
                    <w:t>颗粒物</w:t>
                  </w:r>
                </w:p>
              </w:tc>
              <w:tc>
                <w:tcPr>
                  <w:tcW w:w="1226" w:type="dxa"/>
                  <w:noWrap w:val="0"/>
                  <w:vAlign w:val="center"/>
                </w:tcPr>
                <w:p w14:paraId="6DB9492A">
                  <w:pPr>
                    <w:jc w:val="center"/>
                    <w:rPr>
                      <w:rFonts w:hint="default" w:eastAsia="宋体"/>
                      <w:bCs/>
                      <w:color w:val="auto"/>
                      <w:sz w:val="21"/>
                      <w:szCs w:val="21"/>
                      <w:lang w:val="en-US" w:eastAsia="zh-CN"/>
                    </w:rPr>
                  </w:pPr>
                  <w:r>
                    <w:rPr>
                      <w:rFonts w:hint="eastAsia"/>
                      <w:bCs/>
                      <w:color w:val="auto"/>
                      <w:sz w:val="21"/>
                      <w:szCs w:val="21"/>
                      <w:lang w:val="en-US" w:eastAsia="zh-CN"/>
                    </w:rPr>
                    <w:t>27000</w:t>
                  </w:r>
                </w:p>
              </w:tc>
              <w:tc>
                <w:tcPr>
                  <w:tcW w:w="1226" w:type="dxa"/>
                  <w:noWrap w:val="0"/>
                  <w:vAlign w:val="center"/>
                </w:tcPr>
                <w:p w14:paraId="33D00A3A">
                  <w:pPr>
                    <w:jc w:val="center"/>
                    <w:rPr>
                      <w:rFonts w:hint="default" w:eastAsia="宋体"/>
                      <w:bCs/>
                      <w:color w:val="auto"/>
                      <w:sz w:val="21"/>
                      <w:szCs w:val="21"/>
                      <w:lang w:val="en-US" w:eastAsia="zh-CN"/>
                    </w:rPr>
                  </w:pPr>
                  <w:r>
                    <w:rPr>
                      <w:rFonts w:hint="eastAsia"/>
                      <w:bCs/>
                      <w:color w:val="auto"/>
                      <w:sz w:val="21"/>
                      <w:szCs w:val="21"/>
                      <w:lang w:val="en-US" w:eastAsia="zh-CN"/>
                    </w:rPr>
                    <w:t>30</w:t>
                  </w:r>
                </w:p>
              </w:tc>
              <w:tc>
                <w:tcPr>
                  <w:tcW w:w="1168" w:type="dxa"/>
                  <w:noWrap w:val="0"/>
                  <w:vAlign w:val="center"/>
                </w:tcPr>
                <w:p w14:paraId="3D112D6C">
                  <w:pPr>
                    <w:jc w:val="center"/>
                    <w:rPr>
                      <w:rFonts w:hint="default" w:eastAsia="宋体"/>
                      <w:bCs/>
                      <w:color w:val="auto"/>
                      <w:sz w:val="21"/>
                      <w:szCs w:val="21"/>
                      <w:lang w:val="en-US" w:eastAsia="zh-CN"/>
                    </w:rPr>
                  </w:pPr>
                  <w:r>
                    <w:rPr>
                      <w:rFonts w:hint="eastAsia"/>
                      <w:bCs/>
                      <w:color w:val="auto"/>
                      <w:sz w:val="21"/>
                      <w:szCs w:val="21"/>
                      <w:lang w:val="en-US" w:eastAsia="zh-CN"/>
                    </w:rPr>
                    <w:t>5010</w:t>
                  </w:r>
                </w:p>
              </w:tc>
              <w:tc>
                <w:tcPr>
                  <w:tcW w:w="1129" w:type="dxa"/>
                  <w:noWrap w:val="0"/>
                  <w:vAlign w:val="center"/>
                </w:tcPr>
                <w:p w14:paraId="7CB5115C">
                  <w:pPr>
                    <w:jc w:val="center"/>
                    <w:rPr>
                      <w:rFonts w:hint="default" w:eastAsia="宋体"/>
                      <w:bCs/>
                      <w:color w:val="auto"/>
                      <w:sz w:val="21"/>
                      <w:szCs w:val="21"/>
                      <w:lang w:val="en-US" w:eastAsia="zh-CN"/>
                    </w:rPr>
                  </w:pPr>
                  <w:r>
                    <w:rPr>
                      <w:rFonts w:hint="eastAsia"/>
                      <w:bCs/>
                      <w:color w:val="auto"/>
                      <w:sz w:val="21"/>
                      <w:szCs w:val="21"/>
                      <w:lang w:val="en-US" w:eastAsia="zh-CN"/>
                    </w:rPr>
                    <w:t>4.0581</w:t>
                  </w:r>
                </w:p>
              </w:tc>
              <w:tc>
                <w:tcPr>
                  <w:tcW w:w="1309" w:type="dxa"/>
                  <w:noWrap w:val="0"/>
                  <w:vAlign w:val="center"/>
                </w:tcPr>
                <w:p w14:paraId="434570C5">
                  <w:pPr>
                    <w:jc w:val="center"/>
                    <w:rPr>
                      <w:rFonts w:hint="eastAsia"/>
                      <w:bCs/>
                      <w:color w:val="auto"/>
                      <w:sz w:val="21"/>
                      <w:szCs w:val="21"/>
                    </w:rPr>
                  </w:pPr>
                  <w:r>
                    <w:rPr>
                      <w:rFonts w:hint="eastAsia"/>
                      <w:bCs/>
                      <w:color w:val="auto"/>
                      <w:sz w:val="21"/>
                      <w:szCs w:val="21"/>
                      <w:lang w:val="en-US" w:eastAsia="zh-CN"/>
                    </w:rPr>
                    <w:t>4.0581</w:t>
                  </w:r>
                </w:p>
              </w:tc>
            </w:tr>
            <w:tr w14:paraId="53564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6" w:hRule="atLeast"/>
                <w:jc w:val="center"/>
              </w:trPr>
              <w:tc>
                <w:tcPr>
                  <w:tcW w:w="1180" w:type="dxa"/>
                  <w:noWrap w:val="0"/>
                  <w:vAlign w:val="center"/>
                </w:tcPr>
                <w:p w14:paraId="70769F0B">
                  <w:pPr>
                    <w:jc w:val="center"/>
                    <w:rPr>
                      <w:rFonts w:hint="eastAsia"/>
                      <w:bCs/>
                      <w:color w:val="auto"/>
                      <w:sz w:val="21"/>
                      <w:szCs w:val="21"/>
                      <w:lang w:val="en-US" w:eastAsia="zh-CN"/>
                    </w:rPr>
                  </w:pPr>
                  <w:r>
                    <w:rPr>
                      <w:rFonts w:hint="eastAsia"/>
                      <w:bCs/>
                      <w:color w:val="auto"/>
                      <w:sz w:val="21"/>
                      <w:szCs w:val="21"/>
                      <w:lang w:val="en-US" w:eastAsia="zh-CN"/>
                    </w:rPr>
                    <w:t>DA003</w:t>
                  </w:r>
                </w:p>
              </w:tc>
              <w:tc>
                <w:tcPr>
                  <w:tcW w:w="1180" w:type="dxa"/>
                  <w:noWrap w:val="0"/>
                  <w:vAlign w:val="center"/>
                </w:tcPr>
                <w:p w14:paraId="72B3B409">
                  <w:pPr>
                    <w:jc w:val="center"/>
                    <w:rPr>
                      <w:rFonts w:hint="eastAsia"/>
                      <w:bCs/>
                      <w:color w:val="auto"/>
                      <w:sz w:val="21"/>
                      <w:szCs w:val="21"/>
                      <w:lang w:val="en-US" w:eastAsia="zh-CN"/>
                    </w:rPr>
                  </w:pPr>
                  <w:r>
                    <w:rPr>
                      <w:rFonts w:hint="eastAsia"/>
                      <w:bCs/>
                      <w:color w:val="auto"/>
                      <w:sz w:val="21"/>
                      <w:szCs w:val="21"/>
                      <w:lang w:val="en-US" w:eastAsia="zh-CN"/>
                    </w:rPr>
                    <w:t>颗粒物</w:t>
                  </w:r>
                </w:p>
              </w:tc>
              <w:tc>
                <w:tcPr>
                  <w:tcW w:w="1226" w:type="dxa"/>
                  <w:noWrap w:val="0"/>
                  <w:vAlign w:val="center"/>
                </w:tcPr>
                <w:p w14:paraId="472EB254">
                  <w:pPr>
                    <w:jc w:val="center"/>
                    <w:rPr>
                      <w:rFonts w:hint="eastAsia"/>
                      <w:bCs/>
                      <w:color w:val="auto"/>
                      <w:sz w:val="21"/>
                      <w:szCs w:val="21"/>
                      <w:lang w:val="en-US" w:eastAsia="zh-CN"/>
                    </w:rPr>
                  </w:pPr>
                  <w:r>
                    <w:rPr>
                      <w:rFonts w:hint="eastAsia"/>
                      <w:bCs/>
                      <w:color w:val="auto"/>
                      <w:sz w:val="21"/>
                      <w:szCs w:val="21"/>
                      <w:lang w:val="en-US" w:eastAsia="zh-CN"/>
                    </w:rPr>
                    <w:t>15000</w:t>
                  </w:r>
                </w:p>
              </w:tc>
              <w:tc>
                <w:tcPr>
                  <w:tcW w:w="1226" w:type="dxa"/>
                  <w:noWrap w:val="0"/>
                  <w:vAlign w:val="center"/>
                </w:tcPr>
                <w:p w14:paraId="0F00BC99">
                  <w:pPr>
                    <w:jc w:val="center"/>
                    <w:rPr>
                      <w:rFonts w:hint="default"/>
                      <w:bCs/>
                      <w:color w:val="auto"/>
                      <w:sz w:val="21"/>
                      <w:szCs w:val="21"/>
                      <w:lang w:val="en-US" w:eastAsia="zh-CN"/>
                    </w:rPr>
                  </w:pPr>
                  <w:r>
                    <w:rPr>
                      <w:rFonts w:hint="eastAsia"/>
                      <w:bCs/>
                      <w:color w:val="auto"/>
                      <w:sz w:val="21"/>
                      <w:szCs w:val="21"/>
                      <w:lang w:val="en-US" w:eastAsia="zh-CN"/>
                    </w:rPr>
                    <w:t>30</w:t>
                  </w:r>
                </w:p>
              </w:tc>
              <w:tc>
                <w:tcPr>
                  <w:tcW w:w="1168" w:type="dxa"/>
                  <w:noWrap w:val="0"/>
                  <w:vAlign w:val="center"/>
                </w:tcPr>
                <w:p w14:paraId="2C48ED30">
                  <w:pPr>
                    <w:jc w:val="center"/>
                    <w:rPr>
                      <w:rFonts w:hint="default"/>
                      <w:bCs/>
                      <w:color w:val="auto"/>
                      <w:sz w:val="21"/>
                      <w:szCs w:val="21"/>
                      <w:lang w:val="en-US" w:eastAsia="zh-CN"/>
                    </w:rPr>
                  </w:pPr>
                  <w:r>
                    <w:rPr>
                      <w:rFonts w:hint="eastAsia"/>
                      <w:bCs/>
                      <w:color w:val="auto"/>
                      <w:sz w:val="21"/>
                      <w:szCs w:val="21"/>
                      <w:lang w:val="en-US" w:eastAsia="zh-CN"/>
                    </w:rPr>
                    <w:t>4800</w:t>
                  </w:r>
                </w:p>
              </w:tc>
              <w:tc>
                <w:tcPr>
                  <w:tcW w:w="1129" w:type="dxa"/>
                  <w:noWrap w:val="0"/>
                  <w:vAlign w:val="center"/>
                </w:tcPr>
                <w:p w14:paraId="7D3B6EB5">
                  <w:pPr>
                    <w:jc w:val="center"/>
                    <w:rPr>
                      <w:rFonts w:hint="default"/>
                      <w:bCs/>
                      <w:color w:val="auto"/>
                      <w:sz w:val="21"/>
                      <w:szCs w:val="21"/>
                      <w:lang w:val="en-US" w:eastAsia="zh-CN"/>
                    </w:rPr>
                  </w:pPr>
                  <w:r>
                    <w:rPr>
                      <w:rFonts w:hint="eastAsia"/>
                      <w:bCs/>
                      <w:color w:val="auto"/>
                      <w:sz w:val="21"/>
                      <w:szCs w:val="21"/>
                      <w:lang w:val="en-US" w:eastAsia="zh-CN"/>
                    </w:rPr>
                    <w:t>2.16</w:t>
                  </w:r>
                </w:p>
              </w:tc>
              <w:tc>
                <w:tcPr>
                  <w:tcW w:w="1309" w:type="dxa"/>
                  <w:noWrap w:val="0"/>
                  <w:vAlign w:val="center"/>
                </w:tcPr>
                <w:p w14:paraId="6C37210C">
                  <w:pPr>
                    <w:jc w:val="center"/>
                    <w:rPr>
                      <w:rFonts w:hint="eastAsia"/>
                      <w:bCs/>
                      <w:color w:val="auto"/>
                      <w:sz w:val="21"/>
                      <w:szCs w:val="21"/>
                      <w:lang w:val="en-US" w:eastAsia="zh-CN"/>
                    </w:rPr>
                  </w:pPr>
                  <w:r>
                    <w:rPr>
                      <w:rFonts w:hint="eastAsia"/>
                      <w:bCs/>
                      <w:color w:val="auto"/>
                      <w:sz w:val="21"/>
                      <w:szCs w:val="21"/>
                      <w:lang w:val="en-US" w:eastAsia="zh-CN"/>
                    </w:rPr>
                    <w:t>2.16</w:t>
                  </w:r>
                </w:p>
              </w:tc>
            </w:tr>
          </w:tbl>
          <w:p w14:paraId="6A6BF7AB">
            <w:pPr>
              <w:autoSpaceDE w:val="0"/>
              <w:autoSpaceDN w:val="0"/>
              <w:adjustRightInd w:val="0"/>
              <w:spacing w:line="360" w:lineRule="auto"/>
              <w:ind w:firstLine="465"/>
              <w:jc w:val="left"/>
              <w:rPr>
                <w:rFonts w:hint="eastAsia"/>
                <w:color w:val="auto"/>
                <w:szCs w:val="21"/>
              </w:rPr>
            </w:pPr>
            <w:r>
              <w:rPr>
                <w:rFonts w:hint="eastAsia"/>
                <w:color w:val="auto"/>
                <w:szCs w:val="21"/>
              </w:rPr>
              <w:t>经对照，本项目DA001</w:t>
            </w:r>
            <w:r>
              <w:rPr>
                <w:rFonts w:hint="eastAsia"/>
                <w:color w:val="auto"/>
                <w:szCs w:val="21"/>
                <w:lang w:eastAsia="zh-CN"/>
              </w:rPr>
              <w:t>、</w:t>
            </w:r>
            <w:r>
              <w:rPr>
                <w:rFonts w:hint="eastAsia"/>
                <w:color w:val="auto"/>
                <w:szCs w:val="21"/>
                <w:lang w:val="en-US" w:eastAsia="zh-CN"/>
              </w:rPr>
              <w:t>DA002、DA003</w:t>
            </w:r>
            <w:r>
              <w:rPr>
                <w:rFonts w:hint="eastAsia"/>
                <w:color w:val="auto"/>
                <w:szCs w:val="21"/>
              </w:rPr>
              <w:t>废气排放量环评中计算量小于根据排污许可证申请与核发技术规范中计算量，故本项目有组织废气污染物排放量取环评计算量，具体见下表。</w:t>
            </w:r>
          </w:p>
          <w:p w14:paraId="0F34C6B7">
            <w:pPr>
              <w:jc w:val="center"/>
              <w:rPr>
                <w:rFonts w:hint="eastAsia" w:hAnsi="宋体"/>
                <w:b/>
                <w:color w:val="auto"/>
                <w:szCs w:val="21"/>
              </w:rPr>
            </w:pPr>
            <w:r>
              <w:rPr>
                <w:rFonts w:hAnsi="宋体"/>
                <w:b/>
                <w:color w:val="auto"/>
                <w:szCs w:val="21"/>
              </w:rPr>
              <w:t>表</w:t>
            </w:r>
            <w:r>
              <w:rPr>
                <w:rFonts w:hint="eastAsia" w:hAnsi="宋体"/>
                <w:b/>
                <w:color w:val="auto"/>
                <w:szCs w:val="21"/>
                <w:lang w:val="en-US" w:eastAsia="zh-CN"/>
              </w:rPr>
              <w:t>3-16</w:t>
            </w:r>
            <w:r>
              <w:rPr>
                <w:rFonts w:hint="eastAsia" w:hAnsi="宋体"/>
                <w:b/>
                <w:color w:val="auto"/>
                <w:szCs w:val="21"/>
              </w:rPr>
              <w:t>本项目一般废气排放口DA001</w:t>
            </w:r>
            <w:r>
              <w:rPr>
                <w:rFonts w:hint="eastAsia" w:hAnsi="宋体"/>
                <w:b/>
                <w:color w:val="auto"/>
                <w:szCs w:val="21"/>
                <w:lang w:eastAsia="zh-CN"/>
              </w:rPr>
              <w:t>、</w:t>
            </w:r>
            <w:r>
              <w:rPr>
                <w:rFonts w:hint="eastAsia" w:hAnsi="宋体"/>
                <w:b/>
                <w:color w:val="auto"/>
                <w:szCs w:val="21"/>
              </w:rPr>
              <w:t>DA00</w:t>
            </w:r>
            <w:r>
              <w:rPr>
                <w:rFonts w:hint="eastAsia" w:hAnsi="宋体"/>
                <w:b/>
                <w:color w:val="auto"/>
                <w:szCs w:val="21"/>
                <w:lang w:val="en-US" w:eastAsia="zh-CN"/>
              </w:rPr>
              <w:t>2</w:t>
            </w:r>
            <w:r>
              <w:rPr>
                <w:rFonts w:hint="eastAsia" w:hAnsi="宋体"/>
                <w:b/>
                <w:color w:val="auto"/>
                <w:szCs w:val="21"/>
                <w:lang w:eastAsia="zh-CN"/>
              </w:rPr>
              <w:t>、</w:t>
            </w:r>
            <w:r>
              <w:rPr>
                <w:rFonts w:hint="eastAsia" w:hAnsi="宋体"/>
                <w:b/>
                <w:color w:val="auto"/>
                <w:szCs w:val="21"/>
                <w:lang w:val="en-US" w:eastAsia="zh-CN"/>
              </w:rPr>
              <w:t>DA003</w:t>
            </w:r>
            <w:r>
              <w:rPr>
                <w:rFonts w:hint="eastAsia" w:hAnsi="宋体"/>
                <w:b/>
                <w:color w:val="auto"/>
                <w:szCs w:val="21"/>
              </w:rPr>
              <w:t>废气排放量</w:t>
            </w:r>
          </w:p>
          <w:tbl>
            <w:tblPr>
              <w:tblStyle w:val="25"/>
              <w:tblW w:w="84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214"/>
              <w:gridCol w:w="2428"/>
              <w:gridCol w:w="1824"/>
              <w:gridCol w:w="1817"/>
            </w:tblGrid>
            <w:tr w14:paraId="37E03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714" w:type="pct"/>
                  <w:noWrap w:val="0"/>
                  <w:vAlign w:val="center"/>
                </w:tcPr>
                <w:p w14:paraId="25AA8D7F">
                  <w:pPr>
                    <w:adjustRightInd w:val="0"/>
                    <w:snapToGrid w:val="0"/>
                    <w:jc w:val="center"/>
                    <w:rPr>
                      <w:rFonts w:hint="default" w:eastAsia="宋体"/>
                      <w:b/>
                      <w:color w:val="auto"/>
                      <w:kern w:val="0"/>
                      <w:sz w:val="21"/>
                      <w:szCs w:val="21"/>
                      <w:lang w:val="en-US" w:eastAsia="zh-CN"/>
                    </w:rPr>
                  </w:pPr>
                  <w:r>
                    <w:rPr>
                      <w:rFonts w:hint="eastAsia"/>
                      <w:b/>
                      <w:color w:val="auto"/>
                      <w:kern w:val="0"/>
                      <w:sz w:val="21"/>
                      <w:szCs w:val="21"/>
                      <w:lang w:val="en-US" w:eastAsia="zh-CN"/>
                    </w:rPr>
                    <w:t>排气筒编号</w:t>
                  </w:r>
                </w:p>
              </w:tc>
              <w:tc>
                <w:tcPr>
                  <w:tcW w:w="714" w:type="pct"/>
                  <w:noWrap w:val="0"/>
                  <w:vAlign w:val="center"/>
                </w:tcPr>
                <w:p w14:paraId="23CA0373">
                  <w:pPr>
                    <w:adjustRightInd w:val="0"/>
                    <w:snapToGrid w:val="0"/>
                    <w:jc w:val="center"/>
                    <w:rPr>
                      <w:b/>
                      <w:color w:val="auto"/>
                      <w:kern w:val="0"/>
                      <w:sz w:val="21"/>
                      <w:szCs w:val="21"/>
                    </w:rPr>
                  </w:pPr>
                  <w:r>
                    <w:rPr>
                      <w:b/>
                      <w:color w:val="auto"/>
                      <w:kern w:val="0"/>
                      <w:sz w:val="21"/>
                      <w:szCs w:val="21"/>
                    </w:rPr>
                    <w:t>污染物项目</w:t>
                  </w:r>
                </w:p>
              </w:tc>
              <w:tc>
                <w:tcPr>
                  <w:tcW w:w="1428" w:type="pct"/>
                  <w:noWrap w:val="0"/>
                  <w:vAlign w:val="center"/>
                </w:tcPr>
                <w:p w14:paraId="72DE7FD1">
                  <w:pPr>
                    <w:adjustRightInd w:val="0"/>
                    <w:snapToGrid w:val="0"/>
                    <w:jc w:val="center"/>
                    <w:rPr>
                      <w:b/>
                      <w:color w:val="auto"/>
                      <w:kern w:val="0"/>
                      <w:sz w:val="21"/>
                      <w:szCs w:val="21"/>
                    </w:rPr>
                  </w:pPr>
                  <w:r>
                    <w:rPr>
                      <w:b/>
                      <w:color w:val="auto"/>
                      <w:kern w:val="0"/>
                      <w:sz w:val="21"/>
                      <w:szCs w:val="21"/>
                    </w:rPr>
                    <w:t>按</w:t>
                  </w:r>
                  <w:r>
                    <w:rPr>
                      <w:rFonts w:hint="eastAsia"/>
                      <w:b/>
                      <w:color w:val="auto"/>
                      <w:kern w:val="0"/>
                      <w:sz w:val="21"/>
                      <w:szCs w:val="21"/>
                    </w:rPr>
                    <w:t>排污</w:t>
                  </w:r>
                  <w:r>
                    <w:rPr>
                      <w:b/>
                      <w:color w:val="auto"/>
                      <w:kern w:val="0"/>
                      <w:sz w:val="21"/>
                      <w:szCs w:val="21"/>
                    </w:rPr>
                    <w:t>许可证技术规范</w:t>
                  </w:r>
                  <w:r>
                    <w:rPr>
                      <w:rFonts w:hint="eastAsia"/>
                      <w:b/>
                      <w:color w:val="auto"/>
                      <w:kern w:val="0"/>
                      <w:sz w:val="21"/>
                      <w:szCs w:val="21"/>
                    </w:rPr>
                    <w:t>核算</w:t>
                  </w:r>
                  <w:r>
                    <w:rPr>
                      <w:b/>
                      <w:color w:val="auto"/>
                      <w:kern w:val="0"/>
                      <w:sz w:val="21"/>
                      <w:szCs w:val="21"/>
                    </w:rPr>
                    <w:t>的排放量(t/a)</w:t>
                  </w:r>
                </w:p>
              </w:tc>
              <w:tc>
                <w:tcPr>
                  <w:tcW w:w="1073" w:type="pct"/>
                  <w:noWrap w:val="0"/>
                  <w:vAlign w:val="center"/>
                </w:tcPr>
                <w:p w14:paraId="698BF690">
                  <w:pPr>
                    <w:adjustRightInd w:val="0"/>
                    <w:snapToGrid w:val="0"/>
                    <w:jc w:val="center"/>
                    <w:rPr>
                      <w:b/>
                      <w:color w:val="auto"/>
                      <w:kern w:val="0"/>
                      <w:sz w:val="21"/>
                      <w:szCs w:val="21"/>
                    </w:rPr>
                  </w:pPr>
                  <w:r>
                    <w:rPr>
                      <w:b/>
                      <w:color w:val="auto"/>
                      <w:kern w:val="0"/>
                      <w:sz w:val="21"/>
                      <w:szCs w:val="21"/>
                    </w:rPr>
                    <w:t>环评计算的排放量（t/a）</w:t>
                  </w:r>
                </w:p>
              </w:tc>
              <w:tc>
                <w:tcPr>
                  <w:tcW w:w="1069" w:type="pct"/>
                  <w:noWrap w:val="0"/>
                  <w:vAlign w:val="center"/>
                </w:tcPr>
                <w:p w14:paraId="1CD6CE3F">
                  <w:pPr>
                    <w:adjustRightInd w:val="0"/>
                    <w:snapToGrid w:val="0"/>
                    <w:jc w:val="center"/>
                    <w:rPr>
                      <w:b/>
                      <w:color w:val="auto"/>
                      <w:kern w:val="0"/>
                      <w:sz w:val="21"/>
                      <w:szCs w:val="21"/>
                    </w:rPr>
                  </w:pPr>
                  <w:r>
                    <w:rPr>
                      <w:b/>
                      <w:color w:val="auto"/>
                      <w:kern w:val="0"/>
                      <w:sz w:val="21"/>
                      <w:szCs w:val="21"/>
                    </w:rPr>
                    <w:t>本项目申请排放量(t/a)</w:t>
                  </w:r>
                </w:p>
              </w:tc>
            </w:tr>
            <w:tr w14:paraId="0D3D5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14" w:type="pct"/>
                  <w:vMerge w:val="restart"/>
                  <w:noWrap w:val="0"/>
                  <w:vAlign w:val="center"/>
                </w:tcPr>
                <w:p w14:paraId="376ABE14">
                  <w:pPr>
                    <w:adjustRightInd w:val="0"/>
                    <w:snapToGrid w:val="0"/>
                    <w:jc w:val="center"/>
                    <w:rPr>
                      <w:rFonts w:hint="default"/>
                      <w:b w:val="0"/>
                      <w:bCs/>
                      <w:color w:val="auto"/>
                      <w:kern w:val="0"/>
                      <w:sz w:val="21"/>
                      <w:szCs w:val="21"/>
                      <w:lang w:val="en-US" w:eastAsia="zh-CN"/>
                    </w:rPr>
                  </w:pPr>
                  <w:r>
                    <w:rPr>
                      <w:rFonts w:hint="eastAsia"/>
                      <w:b w:val="0"/>
                      <w:bCs/>
                      <w:color w:val="auto"/>
                      <w:kern w:val="0"/>
                      <w:sz w:val="21"/>
                      <w:szCs w:val="21"/>
                      <w:lang w:val="en-US" w:eastAsia="zh-CN"/>
                    </w:rPr>
                    <w:t>DA001</w:t>
                  </w:r>
                </w:p>
              </w:tc>
              <w:tc>
                <w:tcPr>
                  <w:tcW w:w="714" w:type="pct"/>
                  <w:noWrap w:val="0"/>
                  <w:vAlign w:val="center"/>
                </w:tcPr>
                <w:p w14:paraId="05B280A9">
                  <w:pPr>
                    <w:adjustRightInd w:val="0"/>
                    <w:snapToGrid w:val="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颗粒物</w:t>
                  </w:r>
                </w:p>
              </w:tc>
              <w:tc>
                <w:tcPr>
                  <w:tcW w:w="2428" w:type="dxa"/>
                  <w:noWrap w:val="0"/>
                  <w:vAlign w:val="center"/>
                </w:tcPr>
                <w:p w14:paraId="71FFB2FF">
                  <w:pPr>
                    <w:jc w:val="center"/>
                    <w:rPr>
                      <w:b/>
                      <w:color w:val="auto"/>
                      <w:kern w:val="0"/>
                      <w:sz w:val="21"/>
                      <w:szCs w:val="21"/>
                    </w:rPr>
                  </w:pPr>
                  <w:r>
                    <w:rPr>
                      <w:rFonts w:hint="eastAsia"/>
                      <w:bCs/>
                      <w:color w:val="auto"/>
                      <w:sz w:val="21"/>
                      <w:szCs w:val="21"/>
                      <w:lang w:val="en-US" w:eastAsia="zh-CN"/>
                    </w:rPr>
                    <w:t>4.032</w:t>
                  </w:r>
                </w:p>
              </w:tc>
              <w:tc>
                <w:tcPr>
                  <w:tcW w:w="1073" w:type="pct"/>
                  <w:noWrap w:val="0"/>
                  <w:vAlign w:val="center"/>
                </w:tcPr>
                <w:p w14:paraId="6BD4A628">
                  <w:pPr>
                    <w:pStyle w:val="41"/>
                    <w:spacing w:beforeLines="0" w:afterLines="0" w:line="240" w:lineRule="auto"/>
                    <w:rPr>
                      <w:rFonts w:hint="default"/>
                      <w:b w:val="0"/>
                      <w:bCs w:val="0"/>
                      <w:color w:val="auto"/>
                      <w:kern w:val="0"/>
                      <w:sz w:val="21"/>
                      <w:szCs w:val="21"/>
                      <w:lang w:val="en-US"/>
                    </w:rPr>
                  </w:pPr>
                  <w:r>
                    <w:rPr>
                      <w:rFonts w:hint="eastAsia" w:ascii="Times New Roman"/>
                      <w:b w:val="0"/>
                      <w:bCs w:val="0"/>
                      <w:color w:val="auto"/>
                      <w:sz w:val="21"/>
                      <w:szCs w:val="21"/>
                      <w:lang w:val="en-US" w:eastAsia="zh-CN"/>
                    </w:rPr>
                    <w:t>0.11</w:t>
                  </w:r>
                </w:p>
              </w:tc>
              <w:tc>
                <w:tcPr>
                  <w:tcW w:w="1817" w:type="dxa"/>
                  <w:noWrap w:val="0"/>
                  <w:vAlign w:val="center"/>
                </w:tcPr>
                <w:p w14:paraId="54778F93">
                  <w:pPr>
                    <w:pStyle w:val="41"/>
                    <w:spacing w:beforeLines="0" w:afterLines="0" w:line="240" w:lineRule="auto"/>
                    <w:rPr>
                      <w:b w:val="0"/>
                      <w:bCs w:val="0"/>
                      <w:color w:val="auto"/>
                      <w:kern w:val="0"/>
                      <w:sz w:val="21"/>
                      <w:szCs w:val="21"/>
                    </w:rPr>
                  </w:pPr>
                  <w:r>
                    <w:rPr>
                      <w:rFonts w:hint="eastAsia" w:ascii="Times New Roman"/>
                      <w:b w:val="0"/>
                      <w:bCs w:val="0"/>
                      <w:color w:val="auto"/>
                      <w:sz w:val="21"/>
                      <w:szCs w:val="21"/>
                      <w:lang w:val="en-US" w:eastAsia="zh-CN"/>
                    </w:rPr>
                    <w:t>0.11</w:t>
                  </w:r>
                </w:p>
              </w:tc>
            </w:tr>
            <w:tr w14:paraId="2787C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14" w:type="pct"/>
                  <w:vMerge w:val="continue"/>
                  <w:noWrap w:val="0"/>
                  <w:vAlign w:val="center"/>
                </w:tcPr>
                <w:p w14:paraId="1F05284B">
                  <w:pPr>
                    <w:jc w:val="center"/>
                    <w:rPr>
                      <w:rFonts w:hint="eastAsia"/>
                      <w:bCs/>
                      <w:color w:val="auto"/>
                      <w:sz w:val="21"/>
                      <w:szCs w:val="21"/>
                    </w:rPr>
                  </w:pPr>
                </w:p>
              </w:tc>
              <w:tc>
                <w:tcPr>
                  <w:tcW w:w="714" w:type="pct"/>
                  <w:noWrap w:val="0"/>
                  <w:vAlign w:val="center"/>
                </w:tcPr>
                <w:p w14:paraId="4C93076D">
                  <w:pPr>
                    <w:jc w:val="center"/>
                    <w:rPr>
                      <w:bCs/>
                      <w:color w:val="auto"/>
                      <w:sz w:val="21"/>
                      <w:szCs w:val="21"/>
                    </w:rPr>
                  </w:pPr>
                  <w:r>
                    <w:rPr>
                      <w:rFonts w:hint="eastAsia"/>
                      <w:bCs/>
                      <w:color w:val="auto"/>
                      <w:sz w:val="21"/>
                      <w:szCs w:val="21"/>
                    </w:rPr>
                    <w:t>VOCs</w:t>
                  </w:r>
                </w:p>
              </w:tc>
              <w:tc>
                <w:tcPr>
                  <w:tcW w:w="2428" w:type="dxa"/>
                  <w:noWrap/>
                  <w:vAlign w:val="center"/>
                </w:tcPr>
                <w:p w14:paraId="520ED4BA">
                  <w:pPr>
                    <w:jc w:val="center"/>
                    <w:rPr>
                      <w:bCs/>
                      <w:color w:val="auto"/>
                      <w:sz w:val="21"/>
                      <w:szCs w:val="21"/>
                    </w:rPr>
                  </w:pPr>
                  <w:r>
                    <w:rPr>
                      <w:rFonts w:hint="eastAsia"/>
                      <w:bCs/>
                      <w:color w:val="auto"/>
                      <w:sz w:val="21"/>
                      <w:szCs w:val="21"/>
                      <w:lang w:val="en-US" w:eastAsia="zh-CN"/>
                    </w:rPr>
                    <w:t>8.064</w:t>
                  </w:r>
                </w:p>
              </w:tc>
              <w:tc>
                <w:tcPr>
                  <w:tcW w:w="1073" w:type="pct"/>
                  <w:noWrap w:val="0"/>
                  <w:vAlign w:val="center"/>
                </w:tcPr>
                <w:p w14:paraId="5C012C3A">
                  <w:pPr>
                    <w:pStyle w:val="41"/>
                    <w:spacing w:beforeLines="0" w:afterLines="0" w:line="240" w:lineRule="auto"/>
                    <w:rPr>
                      <w:rFonts w:hint="default"/>
                      <w:b w:val="0"/>
                      <w:bCs w:val="0"/>
                      <w:color w:val="auto"/>
                      <w:sz w:val="21"/>
                      <w:szCs w:val="21"/>
                      <w:lang w:val="en-US"/>
                    </w:rPr>
                  </w:pPr>
                  <w:r>
                    <w:rPr>
                      <w:rFonts w:hint="eastAsia" w:ascii="Times New Roman"/>
                      <w:b w:val="0"/>
                      <w:bCs w:val="0"/>
                      <w:color w:val="auto"/>
                      <w:sz w:val="21"/>
                      <w:szCs w:val="21"/>
                      <w:lang w:val="en-US" w:eastAsia="zh-CN"/>
                    </w:rPr>
                    <w:t>0.1482</w:t>
                  </w:r>
                </w:p>
              </w:tc>
              <w:tc>
                <w:tcPr>
                  <w:tcW w:w="1817" w:type="dxa"/>
                  <w:noWrap w:val="0"/>
                  <w:vAlign w:val="center"/>
                </w:tcPr>
                <w:p w14:paraId="53F21207">
                  <w:pPr>
                    <w:pStyle w:val="41"/>
                    <w:spacing w:beforeLines="0" w:afterLines="0" w:line="240" w:lineRule="auto"/>
                    <w:rPr>
                      <w:b w:val="0"/>
                      <w:bCs w:val="0"/>
                      <w:color w:val="auto"/>
                      <w:sz w:val="21"/>
                      <w:szCs w:val="21"/>
                    </w:rPr>
                  </w:pPr>
                  <w:r>
                    <w:rPr>
                      <w:rFonts w:hint="eastAsia" w:ascii="Times New Roman"/>
                      <w:b w:val="0"/>
                      <w:bCs w:val="0"/>
                      <w:color w:val="auto"/>
                      <w:sz w:val="21"/>
                      <w:szCs w:val="21"/>
                      <w:lang w:val="en-US" w:eastAsia="zh-CN"/>
                    </w:rPr>
                    <w:t>0.1482</w:t>
                  </w:r>
                </w:p>
              </w:tc>
            </w:tr>
            <w:tr w14:paraId="61C97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14" w:type="pct"/>
                  <w:noWrap w:val="0"/>
                  <w:vAlign w:val="center"/>
                </w:tcPr>
                <w:p w14:paraId="5DBD32BB">
                  <w:pPr>
                    <w:jc w:val="center"/>
                    <w:rPr>
                      <w:rFonts w:hint="default" w:eastAsia="宋体"/>
                      <w:bCs/>
                      <w:color w:val="auto"/>
                      <w:sz w:val="21"/>
                      <w:szCs w:val="21"/>
                      <w:lang w:val="en-US" w:eastAsia="zh-CN"/>
                    </w:rPr>
                  </w:pPr>
                  <w:r>
                    <w:rPr>
                      <w:rFonts w:hint="eastAsia"/>
                      <w:bCs/>
                      <w:color w:val="auto"/>
                      <w:sz w:val="21"/>
                      <w:szCs w:val="21"/>
                      <w:lang w:val="en-US" w:eastAsia="zh-CN"/>
                    </w:rPr>
                    <w:t>DA002</w:t>
                  </w:r>
                </w:p>
              </w:tc>
              <w:tc>
                <w:tcPr>
                  <w:tcW w:w="714" w:type="pct"/>
                  <w:noWrap w:val="0"/>
                  <w:vAlign w:val="center"/>
                </w:tcPr>
                <w:p w14:paraId="2832A23C">
                  <w:pPr>
                    <w:jc w:val="center"/>
                    <w:rPr>
                      <w:rFonts w:hint="eastAsia" w:eastAsia="宋体"/>
                      <w:bCs/>
                      <w:color w:val="auto"/>
                      <w:sz w:val="21"/>
                      <w:szCs w:val="21"/>
                      <w:lang w:val="en-US" w:eastAsia="zh-CN"/>
                    </w:rPr>
                  </w:pPr>
                  <w:r>
                    <w:rPr>
                      <w:rFonts w:hint="eastAsia"/>
                      <w:bCs/>
                      <w:color w:val="auto"/>
                      <w:sz w:val="21"/>
                      <w:szCs w:val="21"/>
                      <w:lang w:val="en-US" w:eastAsia="zh-CN"/>
                    </w:rPr>
                    <w:t>颗粒物</w:t>
                  </w:r>
                </w:p>
              </w:tc>
              <w:tc>
                <w:tcPr>
                  <w:tcW w:w="2428" w:type="dxa"/>
                  <w:noWrap/>
                  <w:vAlign w:val="center"/>
                </w:tcPr>
                <w:p w14:paraId="0383C235">
                  <w:pPr>
                    <w:jc w:val="center"/>
                    <w:rPr>
                      <w:rFonts w:hint="eastAsia"/>
                      <w:bCs/>
                      <w:color w:val="auto"/>
                      <w:sz w:val="21"/>
                      <w:szCs w:val="21"/>
                    </w:rPr>
                  </w:pPr>
                  <w:r>
                    <w:rPr>
                      <w:rFonts w:hint="eastAsia"/>
                      <w:bCs/>
                      <w:color w:val="auto"/>
                      <w:sz w:val="21"/>
                      <w:szCs w:val="21"/>
                      <w:lang w:val="en-US" w:eastAsia="zh-CN"/>
                    </w:rPr>
                    <w:t>4.0581</w:t>
                  </w:r>
                </w:p>
              </w:tc>
              <w:tc>
                <w:tcPr>
                  <w:tcW w:w="1073" w:type="pct"/>
                  <w:noWrap w:val="0"/>
                  <w:vAlign w:val="center"/>
                </w:tcPr>
                <w:p w14:paraId="1121950F">
                  <w:pPr>
                    <w:pStyle w:val="41"/>
                    <w:spacing w:beforeLines="0" w:afterLines="0" w:line="240" w:lineRule="auto"/>
                    <w:rPr>
                      <w:rFonts w:hint="default"/>
                      <w:b w:val="0"/>
                      <w:bCs w:val="0"/>
                      <w:color w:val="auto"/>
                      <w:sz w:val="21"/>
                      <w:szCs w:val="21"/>
                      <w:lang w:val="en-US"/>
                    </w:rPr>
                  </w:pPr>
                  <w:r>
                    <w:rPr>
                      <w:rFonts w:hint="eastAsia" w:ascii="Times New Roman"/>
                      <w:b w:val="0"/>
                      <w:bCs w:val="0"/>
                      <w:color w:val="auto"/>
                      <w:sz w:val="21"/>
                      <w:szCs w:val="21"/>
                      <w:lang w:val="en-US" w:eastAsia="zh-CN"/>
                    </w:rPr>
                    <w:t>0.2345</w:t>
                  </w:r>
                </w:p>
              </w:tc>
              <w:tc>
                <w:tcPr>
                  <w:tcW w:w="1817" w:type="dxa"/>
                  <w:noWrap w:val="0"/>
                  <w:vAlign w:val="center"/>
                </w:tcPr>
                <w:p w14:paraId="785B61D6">
                  <w:pPr>
                    <w:pStyle w:val="41"/>
                    <w:spacing w:beforeLines="0" w:afterLines="0" w:line="240" w:lineRule="auto"/>
                    <w:rPr>
                      <w:rFonts w:hint="default"/>
                      <w:b w:val="0"/>
                      <w:bCs w:val="0"/>
                      <w:color w:val="auto"/>
                      <w:sz w:val="21"/>
                      <w:szCs w:val="21"/>
                      <w:lang w:val="en-US"/>
                    </w:rPr>
                  </w:pPr>
                  <w:r>
                    <w:rPr>
                      <w:rFonts w:hint="eastAsia" w:ascii="Times New Roman"/>
                      <w:b w:val="0"/>
                      <w:bCs w:val="0"/>
                      <w:color w:val="auto"/>
                      <w:sz w:val="21"/>
                      <w:szCs w:val="21"/>
                      <w:lang w:val="en-US" w:eastAsia="zh-CN"/>
                    </w:rPr>
                    <w:t>0.2345</w:t>
                  </w:r>
                </w:p>
              </w:tc>
            </w:tr>
            <w:tr w14:paraId="44DAF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14" w:type="dxa"/>
                  <w:noWrap w:val="0"/>
                  <w:vAlign w:val="center"/>
                </w:tcPr>
                <w:p w14:paraId="5D378485">
                  <w:pPr>
                    <w:jc w:val="center"/>
                    <w:rPr>
                      <w:rFonts w:hint="eastAsia"/>
                      <w:bCs/>
                      <w:color w:val="auto"/>
                      <w:sz w:val="21"/>
                      <w:szCs w:val="21"/>
                      <w:lang w:val="en-US" w:eastAsia="zh-CN"/>
                    </w:rPr>
                  </w:pPr>
                  <w:r>
                    <w:rPr>
                      <w:rFonts w:hint="eastAsia"/>
                      <w:bCs/>
                      <w:color w:val="auto"/>
                      <w:sz w:val="21"/>
                      <w:szCs w:val="21"/>
                      <w:lang w:val="en-US" w:eastAsia="zh-CN"/>
                    </w:rPr>
                    <w:t>DA003</w:t>
                  </w:r>
                </w:p>
              </w:tc>
              <w:tc>
                <w:tcPr>
                  <w:tcW w:w="1214" w:type="dxa"/>
                  <w:noWrap w:val="0"/>
                  <w:vAlign w:val="center"/>
                </w:tcPr>
                <w:p w14:paraId="4AA7F9D7">
                  <w:pPr>
                    <w:jc w:val="center"/>
                    <w:rPr>
                      <w:rFonts w:hint="eastAsia"/>
                      <w:bCs/>
                      <w:color w:val="auto"/>
                      <w:sz w:val="21"/>
                      <w:szCs w:val="21"/>
                      <w:lang w:val="en-US" w:eastAsia="zh-CN"/>
                    </w:rPr>
                  </w:pPr>
                  <w:r>
                    <w:rPr>
                      <w:rFonts w:hint="eastAsia"/>
                      <w:bCs/>
                      <w:color w:val="auto"/>
                      <w:sz w:val="21"/>
                      <w:szCs w:val="21"/>
                      <w:lang w:val="en-US" w:eastAsia="zh-CN"/>
                    </w:rPr>
                    <w:t>颗粒物</w:t>
                  </w:r>
                </w:p>
              </w:tc>
              <w:tc>
                <w:tcPr>
                  <w:tcW w:w="2428" w:type="dxa"/>
                  <w:noWrap/>
                  <w:vAlign w:val="center"/>
                </w:tcPr>
                <w:p w14:paraId="56CE0ABB">
                  <w:pPr>
                    <w:jc w:val="center"/>
                    <w:rPr>
                      <w:rFonts w:hint="eastAsia"/>
                      <w:bCs/>
                      <w:color w:val="auto"/>
                      <w:sz w:val="21"/>
                      <w:szCs w:val="21"/>
                      <w:lang w:val="en-US" w:eastAsia="zh-CN"/>
                    </w:rPr>
                  </w:pPr>
                  <w:r>
                    <w:rPr>
                      <w:rFonts w:hint="eastAsia"/>
                      <w:bCs/>
                      <w:color w:val="auto"/>
                      <w:sz w:val="21"/>
                      <w:szCs w:val="21"/>
                      <w:lang w:val="en-US" w:eastAsia="zh-CN"/>
                    </w:rPr>
                    <w:t>2.16</w:t>
                  </w:r>
                </w:p>
              </w:tc>
              <w:tc>
                <w:tcPr>
                  <w:tcW w:w="1073" w:type="pct"/>
                  <w:noWrap w:val="0"/>
                  <w:vAlign w:val="center"/>
                </w:tcPr>
                <w:p w14:paraId="53955A67">
                  <w:pPr>
                    <w:pStyle w:val="41"/>
                    <w:spacing w:beforeLines="0" w:afterLines="0" w:line="240" w:lineRule="auto"/>
                    <w:rPr>
                      <w:rFonts w:hint="default" w:ascii="Times New Roman"/>
                      <w:b w:val="0"/>
                      <w:bCs w:val="0"/>
                      <w:color w:val="auto"/>
                      <w:sz w:val="21"/>
                      <w:szCs w:val="21"/>
                      <w:lang w:val="en-US" w:eastAsia="zh-CN"/>
                    </w:rPr>
                  </w:pPr>
                  <w:r>
                    <w:rPr>
                      <w:rFonts w:hint="eastAsia" w:ascii="Times New Roman"/>
                      <w:b w:val="0"/>
                      <w:bCs w:val="0"/>
                      <w:color w:val="auto"/>
                      <w:sz w:val="21"/>
                      <w:szCs w:val="21"/>
                      <w:lang w:val="en-US" w:eastAsia="zh-CN"/>
                    </w:rPr>
                    <w:t>0.4704</w:t>
                  </w:r>
                </w:p>
              </w:tc>
              <w:tc>
                <w:tcPr>
                  <w:tcW w:w="1817" w:type="dxa"/>
                  <w:noWrap w:val="0"/>
                  <w:vAlign w:val="center"/>
                </w:tcPr>
                <w:p w14:paraId="4DDDB19D">
                  <w:pPr>
                    <w:pStyle w:val="41"/>
                    <w:spacing w:beforeLines="0" w:afterLines="0" w:line="240" w:lineRule="auto"/>
                    <w:rPr>
                      <w:rFonts w:hint="eastAsia" w:ascii="Times New Roman"/>
                      <w:b w:val="0"/>
                      <w:bCs w:val="0"/>
                      <w:color w:val="auto"/>
                      <w:sz w:val="21"/>
                      <w:szCs w:val="21"/>
                      <w:lang w:val="en-US" w:eastAsia="zh-CN"/>
                    </w:rPr>
                  </w:pPr>
                  <w:r>
                    <w:rPr>
                      <w:rFonts w:hint="eastAsia" w:ascii="Times New Roman"/>
                      <w:b w:val="0"/>
                      <w:bCs w:val="0"/>
                      <w:color w:val="auto"/>
                      <w:sz w:val="21"/>
                      <w:szCs w:val="21"/>
                      <w:lang w:val="en-US" w:eastAsia="zh-CN"/>
                    </w:rPr>
                    <w:t>0.4704</w:t>
                  </w:r>
                </w:p>
              </w:tc>
            </w:tr>
          </w:tbl>
          <w:p w14:paraId="48C966D3">
            <w:pPr>
              <w:spacing w:before="120" w:beforeLines="50" w:line="360" w:lineRule="auto"/>
              <w:ind w:firstLine="510"/>
              <w:rPr>
                <w:rFonts w:hint="eastAsia" w:hAnsi="宋体"/>
                <w:color w:val="auto"/>
                <w:szCs w:val="21"/>
              </w:rPr>
            </w:pPr>
            <w:r>
              <w:rPr>
                <w:rFonts w:hint="eastAsia" w:hAnsi="宋体"/>
                <w:color w:val="auto"/>
                <w:szCs w:val="21"/>
              </w:rPr>
              <w:t>（2）无组织废气排放量核算</w:t>
            </w:r>
          </w:p>
          <w:p w14:paraId="3E81F3A6">
            <w:pPr>
              <w:spacing w:line="360" w:lineRule="auto"/>
              <w:ind w:firstLine="510"/>
              <w:rPr>
                <w:rFonts w:hint="eastAsia"/>
                <w:color w:val="auto"/>
                <w:szCs w:val="21"/>
              </w:rPr>
            </w:pPr>
            <w:r>
              <w:rPr>
                <w:rFonts w:hint="eastAsia" w:hAnsi="宋体"/>
                <w:color w:val="auto"/>
                <w:szCs w:val="21"/>
              </w:rPr>
              <w:t>对照</w:t>
            </w:r>
            <w:r>
              <w:rPr>
                <w:rFonts w:hint="eastAsia"/>
                <w:color w:val="auto"/>
                <w:szCs w:val="21"/>
              </w:rPr>
              <w:t>《排污许可证申请与核发技术规范 总则》（HJ942-2018），均未规定无组织废气排放量的核算方法。本项目无组织VOCs</w:t>
            </w:r>
            <w:r>
              <w:rPr>
                <w:rFonts w:hint="eastAsia"/>
                <w:color w:val="auto"/>
                <w:szCs w:val="21"/>
                <w:lang w:eastAsia="zh-CN"/>
              </w:rPr>
              <w:t>、</w:t>
            </w:r>
            <w:r>
              <w:rPr>
                <w:rFonts w:hint="eastAsia"/>
                <w:color w:val="auto"/>
                <w:szCs w:val="21"/>
                <w:lang w:val="en-US" w:eastAsia="zh-CN"/>
              </w:rPr>
              <w:t>颗粒物</w:t>
            </w:r>
            <w:r>
              <w:rPr>
                <w:rFonts w:hint="eastAsia"/>
                <w:color w:val="auto"/>
                <w:szCs w:val="21"/>
              </w:rPr>
              <w:t>仍以环评中计算的未捕集到的量为排放量，</w:t>
            </w:r>
            <w:r>
              <w:rPr>
                <w:rFonts w:hint="eastAsia"/>
                <w:color w:val="auto"/>
                <w:szCs w:val="21"/>
                <w:lang w:val="en-US" w:eastAsia="zh-CN"/>
              </w:rPr>
              <w:t>颗粒物无组织</w:t>
            </w:r>
            <w:r>
              <w:rPr>
                <w:rFonts w:hint="eastAsia"/>
                <w:color w:val="auto"/>
                <w:szCs w:val="21"/>
              </w:rPr>
              <w:t>排放量为0.</w:t>
            </w:r>
            <w:r>
              <w:rPr>
                <w:rFonts w:hint="eastAsia"/>
                <w:color w:val="auto"/>
                <w:szCs w:val="21"/>
                <w:lang w:val="en-US" w:eastAsia="zh-CN"/>
              </w:rPr>
              <w:t>2567</w:t>
            </w:r>
            <w:r>
              <w:rPr>
                <w:rFonts w:hint="eastAsia"/>
                <w:color w:val="auto"/>
                <w:szCs w:val="21"/>
              </w:rPr>
              <w:t>t/a</w:t>
            </w:r>
            <w:r>
              <w:rPr>
                <w:rFonts w:hint="eastAsia"/>
                <w:color w:val="auto"/>
                <w:szCs w:val="21"/>
                <w:lang w:eastAsia="zh-CN"/>
              </w:rPr>
              <w:t>，</w:t>
            </w:r>
            <w:r>
              <w:rPr>
                <w:rFonts w:hint="eastAsia"/>
                <w:color w:val="auto"/>
                <w:szCs w:val="21"/>
              </w:rPr>
              <w:t>VOCs</w:t>
            </w:r>
            <w:r>
              <w:rPr>
                <w:rFonts w:hint="eastAsia"/>
                <w:color w:val="auto"/>
                <w:szCs w:val="21"/>
                <w:lang w:val="en-US" w:eastAsia="zh-CN"/>
              </w:rPr>
              <w:t>无组织</w:t>
            </w:r>
            <w:r>
              <w:rPr>
                <w:rFonts w:hint="eastAsia"/>
                <w:color w:val="auto"/>
                <w:szCs w:val="21"/>
              </w:rPr>
              <w:t>排放量为0.</w:t>
            </w:r>
            <w:r>
              <w:rPr>
                <w:rFonts w:hint="eastAsia"/>
                <w:color w:val="auto"/>
                <w:szCs w:val="21"/>
                <w:lang w:val="en-US" w:eastAsia="zh-CN"/>
              </w:rPr>
              <w:t>1677</w:t>
            </w:r>
            <w:r>
              <w:rPr>
                <w:rFonts w:hint="eastAsia"/>
                <w:color w:val="auto"/>
                <w:szCs w:val="21"/>
              </w:rPr>
              <w:t>t/a。</w:t>
            </w:r>
          </w:p>
          <w:p w14:paraId="62A35937">
            <w:pPr>
              <w:adjustRightInd w:val="0"/>
              <w:snapToGrid w:val="0"/>
              <w:spacing w:line="360" w:lineRule="auto"/>
              <w:ind w:firstLine="422" w:firstLineChars="200"/>
              <w:rPr>
                <w:rFonts w:hint="eastAsia"/>
                <w:b/>
                <w:bCs/>
                <w:color w:val="auto"/>
                <w:lang w:val="en-US" w:eastAsia="zh-CN"/>
              </w:rPr>
            </w:pPr>
          </w:p>
          <w:p w14:paraId="355D8E77">
            <w:pPr>
              <w:adjustRightInd w:val="0"/>
              <w:snapToGrid w:val="0"/>
              <w:spacing w:line="360" w:lineRule="auto"/>
              <w:ind w:firstLine="422" w:firstLineChars="200"/>
              <w:rPr>
                <w:rFonts w:hint="eastAsia"/>
                <w:b/>
                <w:bCs/>
                <w:color w:val="auto"/>
                <w:lang w:val="en-US" w:eastAsia="zh-CN"/>
              </w:rPr>
            </w:pPr>
          </w:p>
          <w:p w14:paraId="4952A667">
            <w:pPr>
              <w:adjustRightInd w:val="0"/>
              <w:snapToGrid w:val="0"/>
              <w:spacing w:line="360" w:lineRule="auto"/>
              <w:ind w:firstLine="422" w:firstLineChars="200"/>
              <w:rPr>
                <w:rFonts w:hint="eastAsia"/>
                <w:b/>
                <w:bCs/>
                <w:color w:val="auto"/>
                <w:lang w:val="en-US" w:eastAsia="zh-CN"/>
              </w:rPr>
            </w:pPr>
          </w:p>
          <w:p w14:paraId="0415D371">
            <w:pPr>
              <w:adjustRightInd w:val="0"/>
              <w:snapToGrid w:val="0"/>
              <w:spacing w:line="360" w:lineRule="auto"/>
              <w:ind w:firstLine="422" w:firstLineChars="200"/>
              <w:rPr>
                <w:rFonts w:hint="eastAsia"/>
                <w:b/>
                <w:bCs/>
                <w:color w:val="auto"/>
                <w:lang w:val="en-US" w:eastAsia="zh-CN"/>
              </w:rPr>
            </w:pPr>
          </w:p>
          <w:p w14:paraId="6839BA3A">
            <w:pPr>
              <w:adjustRightInd w:val="0"/>
              <w:snapToGrid w:val="0"/>
              <w:spacing w:line="360" w:lineRule="auto"/>
              <w:ind w:firstLine="422" w:firstLineChars="200"/>
              <w:rPr>
                <w:rFonts w:hint="eastAsia"/>
                <w:b/>
                <w:bCs/>
                <w:color w:val="auto"/>
                <w:lang w:val="en-US" w:eastAsia="zh-CN"/>
              </w:rPr>
            </w:pPr>
          </w:p>
          <w:p w14:paraId="3AECC034">
            <w:pPr>
              <w:adjustRightInd w:val="0"/>
              <w:snapToGrid w:val="0"/>
              <w:spacing w:line="360" w:lineRule="auto"/>
              <w:ind w:firstLine="422" w:firstLineChars="200"/>
              <w:rPr>
                <w:rFonts w:hint="eastAsia"/>
                <w:b/>
                <w:bCs/>
                <w:color w:val="auto"/>
                <w:lang w:val="en-US" w:eastAsia="zh-CN"/>
              </w:rPr>
            </w:pPr>
          </w:p>
          <w:p w14:paraId="20E76D90">
            <w:pPr>
              <w:adjustRightInd w:val="0"/>
              <w:snapToGrid w:val="0"/>
              <w:spacing w:line="360" w:lineRule="auto"/>
              <w:ind w:firstLine="422" w:firstLineChars="200"/>
              <w:rPr>
                <w:rFonts w:hint="eastAsia"/>
                <w:b/>
                <w:bCs/>
                <w:color w:val="auto"/>
                <w:lang w:val="en-US" w:eastAsia="zh-CN"/>
              </w:rPr>
            </w:pPr>
          </w:p>
          <w:p w14:paraId="137B6CDC">
            <w:pPr>
              <w:adjustRightInd w:val="0"/>
              <w:snapToGrid w:val="0"/>
              <w:spacing w:line="360" w:lineRule="auto"/>
              <w:ind w:firstLine="422" w:firstLineChars="200"/>
              <w:rPr>
                <w:rFonts w:hint="eastAsia"/>
                <w:b/>
                <w:bCs/>
                <w:color w:val="auto"/>
                <w:lang w:val="en-US" w:eastAsia="zh-CN"/>
              </w:rPr>
            </w:pPr>
          </w:p>
          <w:p w14:paraId="28AAF891">
            <w:pPr>
              <w:adjustRightInd w:val="0"/>
              <w:snapToGrid w:val="0"/>
              <w:spacing w:line="360" w:lineRule="auto"/>
              <w:ind w:firstLine="422" w:firstLineChars="200"/>
              <w:rPr>
                <w:rFonts w:hint="eastAsia"/>
                <w:b/>
                <w:bCs/>
                <w:color w:val="auto"/>
                <w:lang w:val="en-US" w:eastAsia="zh-CN"/>
              </w:rPr>
            </w:pPr>
          </w:p>
          <w:p w14:paraId="59ECDB63">
            <w:pPr>
              <w:adjustRightInd w:val="0"/>
              <w:snapToGrid w:val="0"/>
              <w:spacing w:line="360" w:lineRule="auto"/>
              <w:ind w:firstLine="422" w:firstLineChars="200"/>
              <w:rPr>
                <w:rFonts w:hint="eastAsia"/>
                <w:b/>
                <w:bCs/>
                <w:color w:val="auto"/>
                <w:lang w:val="en-US" w:eastAsia="zh-CN"/>
              </w:rPr>
            </w:pPr>
          </w:p>
          <w:p w14:paraId="338EF173">
            <w:pPr>
              <w:adjustRightInd w:val="0"/>
              <w:snapToGrid w:val="0"/>
              <w:spacing w:line="360" w:lineRule="auto"/>
              <w:ind w:firstLine="422" w:firstLineChars="200"/>
              <w:rPr>
                <w:rFonts w:hint="eastAsia"/>
                <w:b/>
                <w:bCs/>
                <w:color w:val="auto"/>
                <w:lang w:val="en-US" w:eastAsia="zh-CN"/>
              </w:rPr>
            </w:pPr>
          </w:p>
          <w:p w14:paraId="0A27F620">
            <w:pPr>
              <w:rPr>
                <w:color w:val="auto"/>
              </w:rPr>
            </w:pPr>
          </w:p>
        </w:tc>
      </w:tr>
    </w:tbl>
    <w:p w14:paraId="6C09E03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四、主要环境影响和保护措施</w:t>
      </w:r>
    </w:p>
    <w:tbl>
      <w:tblPr>
        <w:tblStyle w:val="25"/>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8944"/>
      </w:tblGrid>
      <w:tr w14:paraId="3E89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0" w:hRule="atLeast"/>
          <w:jc w:val="center"/>
        </w:trPr>
        <w:tc>
          <w:tcPr>
            <w:tcW w:w="269" w:type="pct"/>
            <w:tcBorders>
              <w:tl2br w:val="nil"/>
              <w:tr2bl w:val="nil"/>
            </w:tcBorders>
            <w:noWrap w:val="0"/>
            <w:tcMar>
              <w:left w:w="28" w:type="dxa"/>
              <w:right w:w="28" w:type="dxa"/>
            </w:tcMar>
            <w:vAlign w:val="center"/>
          </w:tcPr>
          <w:p w14:paraId="7B0C2603">
            <w:pPr>
              <w:pStyle w:val="22"/>
              <w:adjustRightInd w:val="0"/>
              <w:snapToGrid w:val="0"/>
              <w:spacing w:before="0" w:beforeAutospacing="0" w:after="0" w:afterAutospacing="0"/>
              <w:jc w:val="center"/>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施工</w:t>
            </w:r>
          </w:p>
          <w:p w14:paraId="229CA86A">
            <w:pPr>
              <w:pStyle w:val="22"/>
              <w:adjustRightInd w:val="0"/>
              <w:snapToGrid w:val="0"/>
              <w:spacing w:before="0" w:beforeAutospacing="0" w:after="0" w:afterAutospacing="0"/>
              <w:jc w:val="center"/>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期环</w:t>
            </w:r>
          </w:p>
          <w:p w14:paraId="1C22F581">
            <w:pPr>
              <w:pStyle w:val="22"/>
              <w:adjustRightInd w:val="0"/>
              <w:snapToGrid w:val="0"/>
              <w:spacing w:before="0" w:beforeAutospacing="0" w:after="0" w:afterAutospacing="0"/>
              <w:jc w:val="center"/>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境保</w:t>
            </w:r>
          </w:p>
          <w:p w14:paraId="0D5F3BA0">
            <w:pPr>
              <w:pStyle w:val="22"/>
              <w:adjustRightInd w:val="0"/>
              <w:snapToGrid w:val="0"/>
              <w:spacing w:before="0" w:beforeAutospacing="0" w:after="0" w:afterAutospacing="0"/>
              <w:jc w:val="center"/>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护措</w:t>
            </w:r>
          </w:p>
          <w:p w14:paraId="220243FC">
            <w:pPr>
              <w:pStyle w:val="22"/>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b w:val="0"/>
                <w:bCs/>
                <w:color w:val="auto"/>
                <w:kern w:val="2"/>
                <w:sz w:val="21"/>
                <w:szCs w:val="21"/>
              </w:rPr>
              <w:t>施</w:t>
            </w:r>
          </w:p>
        </w:tc>
        <w:tc>
          <w:tcPr>
            <w:tcW w:w="4730" w:type="pct"/>
            <w:tcBorders>
              <w:tl2br w:val="nil"/>
              <w:tr2bl w:val="nil"/>
            </w:tcBorders>
            <w:noWrap w:val="0"/>
            <w:vAlign w:val="center"/>
          </w:tcPr>
          <w:p w14:paraId="3E656FB3">
            <w:pPr>
              <w:adjustRightInd w:val="0"/>
              <w:snapToGrid w:val="0"/>
              <w:spacing w:line="360" w:lineRule="auto"/>
              <w:ind w:firstLine="48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利用现有租赁车间，没有土建施工，不产生土建施工的相关环境影响如机械噪声和扬尘等污染问题。但在设备安装过程会产生一些机械噪声，源强峰值可达85-100dB(A)，因此，为控制设备安装期间的噪声污染，施工单位应尽量采用低噪声的器械，避免夜间进行高噪振动操作，从而减轻对厂界周围声环境的影响。另外设备安装期间产生生活污水应排入化粪池收集处理，生活垃圾应及时收集处理，设备安装期产生的固废应妥善处理，能回用的应回用，不能回用的应根据固废的性质不同交由不同的处理部门处理。设备安装期的影响较短暂，随着安装调试的结束，环境影响随即停止。</w:t>
            </w:r>
          </w:p>
          <w:p w14:paraId="1B840D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67A1D5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4E3A2D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742A16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434A27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1EDBEB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50ADB8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382D38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18FC44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0746EC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4E13D4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5EC934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223222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35B827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406793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6ADB63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3D721A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01C7F4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541542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4DA56A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09B675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4635C9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60AA6F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1474FA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2BA61E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208ADF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1243E5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sz w:val="21"/>
                <w:szCs w:val="21"/>
                <w:lang w:val="en-US" w:eastAsia="zh-CN"/>
              </w:rPr>
            </w:pPr>
          </w:p>
          <w:p w14:paraId="58E235CC">
            <w:pPr>
              <w:adjustRightInd w:val="0"/>
              <w:snapToGrid w:val="0"/>
              <w:spacing w:line="360" w:lineRule="auto"/>
              <w:rPr>
                <w:rFonts w:hint="default" w:ascii="Times New Roman" w:hAnsi="Times New Roman" w:cs="Times New Roman"/>
                <w:bCs/>
                <w:color w:val="auto"/>
                <w:spacing w:val="-10"/>
                <w:szCs w:val="21"/>
              </w:rPr>
            </w:pPr>
          </w:p>
        </w:tc>
      </w:tr>
      <w:tr w14:paraId="0CEB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269" w:type="pct"/>
            <w:tcBorders>
              <w:tl2br w:val="nil"/>
              <w:tr2bl w:val="nil"/>
            </w:tcBorders>
            <w:noWrap w:val="0"/>
            <w:tcMar>
              <w:left w:w="28" w:type="dxa"/>
              <w:right w:w="28" w:type="dxa"/>
            </w:tcMar>
            <w:vAlign w:val="center"/>
          </w:tcPr>
          <w:p w14:paraId="075DE979">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运营</w:t>
            </w:r>
          </w:p>
          <w:p w14:paraId="3784508D">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期环</w:t>
            </w:r>
          </w:p>
          <w:p w14:paraId="54177C86">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境影</w:t>
            </w:r>
          </w:p>
          <w:p w14:paraId="3C1B20D4">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响和</w:t>
            </w:r>
          </w:p>
          <w:p w14:paraId="48C36E1E">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保护</w:t>
            </w:r>
          </w:p>
          <w:p w14:paraId="0DC6F370">
            <w:pPr>
              <w:adjustRightInd w:val="0"/>
              <w:snapToGrid w:val="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 w:val="0"/>
                <w:bCs w:val="0"/>
                <w:color w:val="auto"/>
                <w:szCs w:val="21"/>
              </w:rPr>
              <w:t>措施</w:t>
            </w:r>
          </w:p>
        </w:tc>
        <w:tc>
          <w:tcPr>
            <w:tcW w:w="4730" w:type="pct"/>
            <w:tcBorders>
              <w:tl2br w:val="nil"/>
              <w:tr2bl w:val="nil"/>
            </w:tcBorders>
            <w:noWrap w:val="0"/>
            <w:vAlign w:val="center"/>
          </w:tcPr>
          <w:p w14:paraId="47601BEE">
            <w:pPr>
              <w:autoSpaceDE w:val="0"/>
              <w:autoSpaceDN w:val="0"/>
              <w:adjustRightInd w:val="0"/>
              <w:snapToGrid w:val="0"/>
              <w:spacing w:line="360" w:lineRule="auto"/>
              <w:ind w:firstLine="422" w:firstLineChars="200"/>
              <w:jc w:val="left"/>
              <w:rPr>
                <w:b/>
                <w:color w:val="auto"/>
                <w:szCs w:val="21"/>
              </w:rPr>
            </w:pPr>
            <w:r>
              <w:rPr>
                <w:rFonts w:hint="eastAsia"/>
                <w:b/>
                <w:color w:val="auto"/>
                <w:szCs w:val="21"/>
              </w:rPr>
              <w:t>1、 废气</w:t>
            </w:r>
          </w:p>
          <w:p w14:paraId="4C266092">
            <w:pPr>
              <w:pStyle w:val="62"/>
              <w:snapToGrid w:val="0"/>
              <w:spacing w:line="360" w:lineRule="auto"/>
              <w:ind w:firstLine="420" w:firstLineChars="200"/>
              <w:rPr>
                <w:rFonts w:ascii="Times New Roman" w:eastAsia="宋体"/>
                <w:color w:val="auto"/>
                <w:sz w:val="21"/>
                <w:szCs w:val="21"/>
              </w:rPr>
            </w:pPr>
            <w:r>
              <w:rPr>
                <w:rFonts w:hint="eastAsia" w:ascii="Times New Roman" w:eastAsia="宋体"/>
                <w:color w:val="auto"/>
                <w:sz w:val="21"/>
                <w:szCs w:val="21"/>
              </w:rPr>
              <w:t>本项目设置大气环境影响专项，详细见专项评价、大气环境影响自查表详见大气专项。</w:t>
            </w:r>
          </w:p>
          <w:p w14:paraId="52D947B1">
            <w:pPr>
              <w:pStyle w:val="62"/>
              <w:snapToGrid w:val="0"/>
              <w:spacing w:line="360" w:lineRule="auto"/>
              <w:ind w:firstLine="420" w:firstLineChars="200"/>
              <w:rPr>
                <w:rFonts w:ascii="Times New Roman" w:eastAsia="宋体"/>
                <w:color w:val="auto"/>
                <w:sz w:val="21"/>
                <w:szCs w:val="21"/>
              </w:rPr>
            </w:pPr>
            <w:r>
              <w:rPr>
                <w:rFonts w:hint="eastAsia" w:ascii="Times New Roman" w:eastAsia="宋体"/>
                <w:color w:val="auto"/>
                <w:sz w:val="21"/>
                <w:szCs w:val="21"/>
              </w:rPr>
              <w:t>根据专项，本项目大气环境影响如下：</w:t>
            </w:r>
          </w:p>
          <w:p w14:paraId="64EF6CAE">
            <w:pPr>
              <w:pStyle w:val="62"/>
              <w:snapToGrid w:val="0"/>
              <w:spacing w:line="360" w:lineRule="auto"/>
              <w:ind w:firstLine="420" w:firstLineChars="200"/>
              <w:rPr>
                <w:rFonts w:ascii="Times New Roman" w:eastAsia="宋体"/>
                <w:color w:val="auto"/>
                <w:sz w:val="21"/>
                <w:szCs w:val="21"/>
              </w:rPr>
            </w:pPr>
            <w:bookmarkStart w:id="2" w:name="_Toc70369785"/>
            <w:bookmarkStart w:id="3" w:name="_Toc29410"/>
            <w:bookmarkStart w:id="4" w:name="_Toc20036"/>
            <w:bookmarkStart w:id="5" w:name="_Toc20504"/>
            <w:bookmarkStart w:id="6" w:name="_Toc532201543"/>
            <w:bookmarkStart w:id="7" w:name="_Toc2675068"/>
            <w:r>
              <w:rPr>
                <w:rFonts w:ascii="Times New Roman" w:eastAsia="宋体"/>
                <w:color w:val="auto"/>
                <w:sz w:val="21"/>
                <w:szCs w:val="21"/>
              </w:rPr>
              <w:t>（1）正常工况下，有组织和无组织排放的各</w:t>
            </w:r>
            <w:r>
              <w:rPr>
                <w:rFonts w:hint="eastAsia" w:ascii="Times New Roman" w:eastAsia="宋体"/>
                <w:color w:val="auto"/>
                <w:sz w:val="21"/>
                <w:szCs w:val="21"/>
              </w:rPr>
              <w:t>类</w:t>
            </w:r>
            <w:r>
              <w:rPr>
                <w:rFonts w:ascii="Times New Roman" w:eastAsia="宋体"/>
                <w:color w:val="auto"/>
                <w:sz w:val="21"/>
                <w:szCs w:val="21"/>
              </w:rPr>
              <w:t>大气污染物的最大落地浓度均</w:t>
            </w:r>
            <w:r>
              <w:rPr>
                <w:rFonts w:hint="eastAsia" w:ascii="Times New Roman" w:eastAsia="宋体"/>
                <w:color w:val="auto"/>
                <w:sz w:val="21"/>
                <w:szCs w:val="21"/>
              </w:rPr>
              <w:t>低于相应环境质量限值</w:t>
            </w:r>
            <w:r>
              <w:rPr>
                <w:rFonts w:ascii="Times New Roman" w:eastAsia="宋体"/>
                <w:color w:val="auto"/>
                <w:sz w:val="21"/>
                <w:szCs w:val="21"/>
              </w:rPr>
              <w:t>，对周围环境的影响较小。</w:t>
            </w:r>
          </w:p>
          <w:p w14:paraId="08EEA2B5">
            <w:pPr>
              <w:pStyle w:val="62"/>
              <w:snapToGrid w:val="0"/>
              <w:spacing w:line="360" w:lineRule="auto"/>
              <w:ind w:firstLine="420" w:firstLineChars="200"/>
              <w:rPr>
                <w:rFonts w:ascii="Times New Roman" w:eastAsia="宋体"/>
                <w:color w:val="auto"/>
                <w:sz w:val="21"/>
                <w:szCs w:val="21"/>
              </w:rPr>
            </w:pPr>
            <w:r>
              <w:rPr>
                <w:rFonts w:ascii="Times New Roman" w:eastAsia="宋体"/>
                <w:color w:val="auto"/>
                <w:sz w:val="21"/>
                <w:szCs w:val="21"/>
              </w:rPr>
              <w:t>（2）本项目非正常和事故工况污染物最大落地浓度占标率显著增加，对区域环境质量还是会造成一定程度的影响。建设单位应加强对废气处理设施的日常管理，当发现处理设施出现异常情况时应及时采取应急处理措施，杜绝对环境造成持续性影响。</w:t>
            </w:r>
          </w:p>
          <w:p w14:paraId="65EEE81B">
            <w:pPr>
              <w:pStyle w:val="62"/>
              <w:snapToGrid w:val="0"/>
              <w:spacing w:line="360" w:lineRule="auto"/>
              <w:ind w:firstLine="420" w:firstLineChars="200"/>
              <w:rPr>
                <w:rFonts w:ascii="Times New Roman" w:eastAsia="宋体"/>
                <w:color w:val="auto"/>
                <w:sz w:val="21"/>
                <w:szCs w:val="21"/>
              </w:rPr>
            </w:pPr>
            <w:r>
              <w:rPr>
                <w:rFonts w:ascii="Times New Roman" w:eastAsia="宋体"/>
                <w:color w:val="auto"/>
                <w:sz w:val="21"/>
                <w:szCs w:val="21"/>
              </w:rPr>
              <w:t>（3）严格控制废气污染控制管理，减少不正常排放情况的发生，异味污染是可以得到控制的。</w:t>
            </w:r>
          </w:p>
          <w:p w14:paraId="7B5525F7">
            <w:pPr>
              <w:pStyle w:val="62"/>
              <w:snapToGrid w:val="0"/>
              <w:spacing w:line="360" w:lineRule="auto"/>
              <w:ind w:firstLine="420" w:firstLineChars="200"/>
              <w:rPr>
                <w:rFonts w:ascii="Times New Roman" w:eastAsia="宋体"/>
                <w:color w:val="auto"/>
                <w:sz w:val="21"/>
                <w:szCs w:val="21"/>
              </w:rPr>
            </w:pPr>
            <w:r>
              <w:rPr>
                <w:rFonts w:ascii="Times New Roman" w:eastAsia="宋体"/>
                <w:color w:val="auto"/>
                <w:sz w:val="21"/>
                <w:szCs w:val="21"/>
              </w:rPr>
              <w:t>（4）根据导则推荐的大气环境防护距离计算公式计算结果可知，</w:t>
            </w:r>
            <w:r>
              <w:rPr>
                <w:rFonts w:hint="eastAsia" w:ascii="Times New Roman" w:eastAsia="宋体"/>
                <w:color w:val="auto"/>
                <w:sz w:val="21"/>
                <w:szCs w:val="21"/>
              </w:rPr>
              <w:t>本项目各类</w:t>
            </w:r>
            <w:r>
              <w:rPr>
                <w:rFonts w:ascii="Times New Roman" w:eastAsia="宋体"/>
                <w:color w:val="auto"/>
                <w:sz w:val="21"/>
                <w:szCs w:val="21"/>
              </w:rPr>
              <w:t>大气污染物到达厂界无组织浓度限值均满足相关标准无组织排放浓度限值要求，厂界外没有超出范围，建设项目不设置大气环境防护区域。</w:t>
            </w:r>
          </w:p>
          <w:bookmarkEnd w:id="2"/>
          <w:bookmarkEnd w:id="3"/>
          <w:bookmarkEnd w:id="4"/>
          <w:bookmarkEnd w:id="5"/>
          <w:bookmarkEnd w:id="6"/>
          <w:bookmarkEnd w:id="7"/>
          <w:p w14:paraId="49B25159">
            <w:pPr>
              <w:adjustRightInd w:val="0"/>
              <w:snapToGrid w:val="0"/>
              <w:spacing w:line="360" w:lineRule="auto"/>
              <w:ind w:firstLine="482"/>
              <w:rPr>
                <w:rFonts w:hint="eastAsia"/>
                <w:color w:val="auto"/>
                <w:szCs w:val="21"/>
              </w:rPr>
            </w:pPr>
          </w:p>
          <w:p w14:paraId="43C95B8C">
            <w:pPr>
              <w:autoSpaceDE w:val="0"/>
              <w:autoSpaceDN w:val="0"/>
              <w:adjustRightInd w:val="0"/>
              <w:snapToGrid w:val="0"/>
              <w:spacing w:line="360" w:lineRule="auto"/>
              <w:ind w:firstLine="422" w:firstLineChars="200"/>
              <w:jc w:val="left"/>
              <w:rPr>
                <w:rFonts w:hint="eastAsia"/>
                <w:b/>
                <w:color w:val="auto"/>
                <w:szCs w:val="21"/>
              </w:rPr>
            </w:pPr>
          </w:p>
          <w:p w14:paraId="7B9EC9FE">
            <w:pPr>
              <w:autoSpaceDE w:val="0"/>
              <w:autoSpaceDN w:val="0"/>
              <w:adjustRightInd w:val="0"/>
              <w:snapToGrid w:val="0"/>
              <w:spacing w:line="360" w:lineRule="auto"/>
              <w:ind w:firstLine="422" w:firstLineChars="200"/>
              <w:jc w:val="left"/>
              <w:rPr>
                <w:rFonts w:hint="eastAsia"/>
                <w:b/>
                <w:color w:val="auto"/>
                <w:szCs w:val="21"/>
              </w:rPr>
            </w:pPr>
          </w:p>
          <w:p w14:paraId="65778C80">
            <w:pPr>
              <w:autoSpaceDE w:val="0"/>
              <w:autoSpaceDN w:val="0"/>
              <w:adjustRightInd w:val="0"/>
              <w:snapToGrid w:val="0"/>
              <w:spacing w:line="360" w:lineRule="auto"/>
              <w:ind w:firstLine="422" w:firstLineChars="200"/>
              <w:jc w:val="left"/>
              <w:rPr>
                <w:rFonts w:hint="eastAsia"/>
                <w:b/>
                <w:color w:val="auto"/>
                <w:szCs w:val="21"/>
              </w:rPr>
            </w:pPr>
          </w:p>
          <w:p w14:paraId="3EE020B0">
            <w:pPr>
              <w:autoSpaceDE w:val="0"/>
              <w:autoSpaceDN w:val="0"/>
              <w:adjustRightInd w:val="0"/>
              <w:snapToGrid w:val="0"/>
              <w:spacing w:line="360" w:lineRule="auto"/>
              <w:ind w:firstLine="422" w:firstLineChars="200"/>
              <w:jc w:val="left"/>
              <w:rPr>
                <w:rFonts w:hint="eastAsia"/>
                <w:b/>
                <w:color w:val="auto"/>
                <w:szCs w:val="21"/>
              </w:rPr>
            </w:pPr>
          </w:p>
          <w:p w14:paraId="063DB2E6">
            <w:pPr>
              <w:autoSpaceDE w:val="0"/>
              <w:autoSpaceDN w:val="0"/>
              <w:adjustRightInd w:val="0"/>
              <w:snapToGrid w:val="0"/>
              <w:spacing w:line="360" w:lineRule="auto"/>
              <w:ind w:firstLine="422" w:firstLineChars="200"/>
              <w:jc w:val="left"/>
              <w:rPr>
                <w:rFonts w:hint="eastAsia"/>
                <w:b/>
                <w:color w:val="auto"/>
                <w:szCs w:val="21"/>
              </w:rPr>
            </w:pPr>
          </w:p>
          <w:p w14:paraId="7946C202">
            <w:pPr>
              <w:autoSpaceDE w:val="0"/>
              <w:autoSpaceDN w:val="0"/>
              <w:adjustRightInd w:val="0"/>
              <w:snapToGrid w:val="0"/>
              <w:spacing w:line="360" w:lineRule="auto"/>
              <w:ind w:firstLine="422" w:firstLineChars="200"/>
              <w:jc w:val="left"/>
              <w:rPr>
                <w:rFonts w:hint="eastAsia"/>
                <w:b/>
                <w:color w:val="auto"/>
                <w:szCs w:val="21"/>
              </w:rPr>
            </w:pPr>
          </w:p>
          <w:p w14:paraId="3240D7EB">
            <w:pPr>
              <w:autoSpaceDE w:val="0"/>
              <w:autoSpaceDN w:val="0"/>
              <w:adjustRightInd w:val="0"/>
              <w:snapToGrid w:val="0"/>
              <w:spacing w:line="360" w:lineRule="auto"/>
              <w:ind w:firstLine="422" w:firstLineChars="200"/>
              <w:jc w:val="left"/>
              <w:rPr>
                <w:rFonts w:hint="eastAsia"/>
                <w:b/>
                <w:color w:val="auto"/>
                <w:szCs w:val="21"/>
              </w:rPr>
            </w:pPr>
          </w:p>
          <w:p w14:paraId="765B6853">
            <w:pPr>
              <w:autoSpaceDE w:val="0"/>
              <w:autoSpaceDN w:val="0"/>
              <w:adjustRightInd w:val="0"/>
              <w:snapToGrid w:val="0"/>
              <w:spacing w:line="360" w:lineRule="auto"/>
              <w:ind w:firstLine="422" w:firstLineChars="200"/>
              <w:jc w:val="left"/>
              <w:rPr>
                <w:rFonts w:hint="eastAsia"/>
                <w:b/>
                <w:color w:val="auto"/>
                <w:szCs w:val="21"/>
              </w:rPr>
            </w:pPr>
          </w:p>
          <w:p w14:paraId="651424B2">
            <w:pPr>
              <w:autoSpaceDE w:val="0"/>
              <w:autoSpaceDN w:val="0"/>
              <w:adjustRightInd w:val="0"/>
              <w:snapToGrid w:val="0"/>
              <w:spacing w:line="360" w:lineRule="auto"/>
              <w:ind w:firstLine="422" w:firstLineChars="200"/>
              <w:jc w:val="left"/>
              <w:rPr>
                <w:rFonts w:hint="eastAsia"/>
                <w:b/>
                <w:color w:val="auto"/>
                <w:szCs w:val="21"/>
              </w:rPr>
            </w:pPr>
          </w:p>
          <w:p w14:paraId="43A138BF">
            <w:pPr>
              <w:autoSpaceDE w:val="0"/>
              <w:autoSpaceDN w:val="0"/>
              <w:adjustRightInd w:val="0"/>
              <w:snapToGrid w:val="0"/>
              <w:spacing w:line="360" w:lineRule="auto"/>
              <w:ind w:firstLine="422" w:firstLineChars="200"/>
              <w:jc w:val="left"/>
              <w:rPr>
                <w:rFonts w:hint="eastAsia"/>
                <w:b/>
                <w:color w:val="auto"/>
                <w:szCs w:val="21"/>
              </w:rPr>
            </w:pPr>
          </w:p>
          <w:p w14:paraId="251DE5D6">
            <w:pPr>
              <w:autoSpaceDE w:val="0"/>
              <w:autoSpaceDN w:val="0"/>
              <w:adjustRightInd w:val="0"/>
              <w:snapToGrid w:val="0"/>
              <w:spacing w:line="360" w:lineRule="auto"/>
              <w:ind w:firstLine="422" w:firstLineChars="200"/>
              <w:jc w:val="left"/>
              <w:rPr>
                <w:rFonts w:hint="eastAsia"/>
                <w:b/>
                <w:color w:val="auto"/>
                <w:szCs w:val="21"/>
              </w:rPr>
            </w:pPr>
          </w:p>
          <w:p w14:paraId="68B24145">
            <w:pPr>
              <w:autoSpaceDE w:val="0"/>
              <w:autoSpaceDN w:val="0"/>
              <w:adjustRightInd w:val="0"/>
              <w:snapToGrid w:val="0"/>
              <w:spacing w:line="360" w:lineRule="auto"/>
              <w:ind w:firstLine="422" w:firstLineChars="200"/>
              <w:jc w:val="left"/>
              <w:rPr>
                <w:rFonts w:hint="eastAsia"/>
                <w:b/>
                <w:color w:val="auto"/>
                <w:szCs w:val="21"/>
              </w:rPr>
            </w:pPr>
          </w:p>
          <w:p w14:paraId="3441B9CB">
            <w:pPr>
              <w:autoSpaceDE w:val="0"/>
              <w:autoSpaceDN w:val="0"/>
              <w:adjustRightInd w:val="0"/>
              <w:snapToGrid w:val="0"/>
              <w:spacing w:line="360" w:lineRule="auto"/>
              <w:ind w:firstLine="422" w:firstLineChars="200"/>
              <w:jc w:val="left"/>
              <w:rPr>
                <w:rFonts w:hint="eastAsia"/>
                <w:b/>
                <w:color w:val="auto"/>
                <w:szCs w:val="21"/>
              </w:rPr>
            </w:pPr>
          </w:p>
          <w:p w14:paraId="6BB85CCE">
            <w:pPr>
              <w:autoSpaceDE w:val="0"/>
              <w:autoSpaceDN w:val="0"/>
              <w:adjustRightInd w:val="0"/>
              <w:snapToGrid w:val="0"/>
              <w:spacing w:line="360" w:lineRule="auto"/>
              <w:ind w:firstLine="422" w:firstLineChars="200"/>
              <w:jc w:val="left"/>
              <w:rPr>
                <w:rFonts w:hint="eastAsia"/>
                <w:b/>
                <w:color w:val="auto"/>
                <w:szCs w:val="21"/>
              </w:rPr>
            </w:pPr>
          </w:p>
          <w:p w14:paraId="4155C17B">
            <w:pPr>
              <w:autoSpaceDE w:val="0"/>
              <w:autoSpaceDN w:val="0"/>
              <w:adjustRightInd w:val="0"/>
              <w:snapToGrid w:val="0"/>
              <w:spacing w:line="360" w:lineRule="auto"/>
              <w:ind w:firstLine="422" w:firstLineChars="200"/>
              <w:jc w:val="left"/>
              <w:rPr>
                <w:rFonts w:hint="eastAsia"/>
                <w:b/>
                <w:color w:val="auto"/>
                <w:szCs w:val="21"/>
              </w:rPr>
            </w:pPr>
          </w:p>
          <w:p w14:paraId="7FA81AAB">
            <w:pPr>
              <w:autoSpaceDE w:val="0"/>
              <w:autoSpaceDN w:val="0"/>
              <w:adjustRightInd w:val="0"/>
              <w:snapToGrid w:val="0"/>
              <w:spacing w:line="360" w:lineRule="auto"/>
              <w:ind w:firstLine="422" w:firstLineChars="200"/>
              <w:jc w:val="left"/>
              <w:rPr>
                <w:rFonts w:hint="eastAsia"/>
                <w:b/>
                <w:color w:val="auto"/>
                <w:szCs w:val="21"/>
              </w:rPr>
            </w:pPr>
          </w:p>
          <w:p w14:paraId="46F502AE">
            <w:pPr>
              <w:autoSpaceDE w:val="0"/>
              <w:autoSpaceDN w:val="0"/>
              <w:adjustRightInd w:val="0"/>
              <w:snapToGrid w:val="0"/>
              <w:spacing w:line="360" w:lineRule="auto"/>
              <w:ind w:firstLine="422" w:firstLineChars="200"/>
              <w:jc w:val="left"/>
              <w:rPr>
                <w:rFonts w:hint="eastAsia"/>
                <w:b/>
                <w:color w:val="auto"/>
                <w:szCs w:val="21"/>
              </w:rPr>
            </w:pPr>
          </w:p>
          <w:p w14:paraId="0CC5B238">
            <w:pPr>
              <w:autoSpaceDE w:val="0"/>
              <w:autoSpaceDN w:val="0"/>
              <w:adjustRightInd w:val="0"/>
              <w:snapToGrid w:val="0"/>
              <w:spacing w:line="360" w:lineRule="auto"/>
              <w:ind w:firstLine="422" w:firstLineChars="200"/>
              <w:jc w:val="left"/>
              <w:rPr>
                <w:rFonts w:hint="eastAsia"/>
                <w:b/>
                <w:color w:val="auto"/>
                <w:szCs w:val="21"/>
              </w:rPr>
            </w:pPr>
          </w:p>
          <w:p w14:paraId="5A2EB822">
            <w:pPr>
              <w:autoSpaceDE w:val="0"/>
              <w:autoSpaceDN w:val="0"/>
              <w:adjustRightInd w:val="0"/>
              <w:snapToGrid w:val="0"/>
              <w:spacing w:line="360" w:lineRule="auto"/>
              <w:ind w:firstLine="422" w:firstLineChars="200"/>
              <w:jc w:val="left"/>
              <w:rPr>
                <w:rFonts w:hint="eastAsia"/>
                <w:b/>
                <w:color w:val="auto"/>
                <w:szCs w:val="21"/>
              </w:rPr>
            </w:pPr>
          </w:p>
          <w:p w14:paraId="4E1E3775">
            <w:pPr>
              <w:autoSpaceDE w:val="0"/>
              <w:autoSpaceDN w:val="0"/>
              <w:adjustRightInd w:val="0"/>
              <w:snapToGrid w:val="0"/>
              <w:spacing w:line="360" w:lineRule="auto"/>
              <w:ind w:firstLine="422" w:firstLineChars="200"/>
              <w:jc w:val="left"/>
              <w:rPr>
                <w:rFonts w:hint="eastAsia"/>
                <w:b/>
                <w:color w:val="auto"/>
                <w:szCs w:val="21"/>
              </w:rPr>
            </w:pPr>
          </w:p>
          <w:p w14:paraId="7920B3C9">
            <w:pPr>
              <w:autoSpaceDE w:val="0"/>
              <w:autoSpaceDN w:val="0"/>
              <w:adjustRightInd w:val="0"/>
              <w:snapToGrid w:val="0"/>
              <w:spacing w:line="360" w:lineRule="auto"/>
              <w:ind w:firstLine="422" w:firstLineChars="200"/>
              <w:jc w:val="left"/>
              <w:rPr>
                <w:rFonts w:hint="eastAsia"/>
                <w:b/>
                <w:color w:val="auto"/>
                <w:szCs w:val="21"/>
              </w:rPr>
            </w:pPr>
          </w:p>
          <w:p w14:paraId="45BE962C">
            <w:pPr>
              <w:adjustRightInd w:val="0"/>
              <w:snapToGrid w:val="0"/>
              <w:spacing w:line="360" w:lineRule="auto"/>
              <w:rPr>
                <w:rFonts w:hint="default" w:ascii="Times New Roman" w:hAnsi="Times New Roman" w:eastAsia="宋体" w:cs="Times New Roman"/>
                <w:b/>
                <w:bCs/>
                <w:color w:val="auto"/>
                <w:spacing w:val="-10"/>
                <w:kern w:val="2"/>
                <w:sz w:val="24"/>
                <w:szCs w:val="21"/>
                <w:lang w:val="en-US" w:eastAsia="zh-CN" w:bidi="ar-SA"/>
              </w:rPr>
            </w:pPr>
          </w:p>
        </w:tc>
      </w:tr>
    </w:tbl>
    <w:p w14:paraId="46E2282D">
      <w:pPr>
        <w:rPr>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834"/>
      </w:tblGrid>
      <w:tr w14:paraId="27739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2" w:hRule="atLeast"/>
          <w:jc w:val="center"/>
        </w:trPr>
        <w:tc>
          <w:tcPr>
            <w:tcW w:w="243" w:type="pct"/>
            <w:noWrap w:val="0"/>
            <w:tcMar>
              <w:left w:w="28" w:type="dxa"/>
              <w:right w:w="28" w:type="dxa"/>
            </w:tcMar>
            <w:vAlign w:val="center"/>
          </w:tcPr>
          <w:p w14:paraId="41C465B6">
            <w:pPr>
              <w:adjustRightInd w:val="0"/>
              <w:snapToGrid w:val="0"/>
              <w:jc w:val="center"/>
              <w:rPr>
                <w:bCs/>
                <w:color w:val="auto"/>
                <w:szCs w:val="21"/>
              </w:rPr>
            </w:pPr>
            <w:r>
              <w:rPr>
                <w:rFonts w:hAnsi="宋体"/>
                <w:bCs/>
                <w:color w:val="auto"/>
                <w:szCs w:val="21"/>
              </w:rPr>
              <w:t>运营</w:t>
            </w:r>
          </w:p>
          <w:p w14:paraId="5457EE90">
            <w:pPr>
              <w:adjustRightInd w:val="0"/>
              <w:snapToGrid w:val="0"/>
              <w:jc w:val="center"/>
              <w:rPr>
                <w:bCs/>
                <w:color w:val="auto"/>
                <w:szCs w:val="21"/>
              </w:rPr>
            </w:pPr>
            <w:r>
              <w:rPr>
                <w:rFonts w:hAnsi="宋体"/>
                <w:bCs/>
                <w:color w:val="auto"/>
                <w:szCs w:val="21"/>
              </w:rPr>
              <w:t>期环</w:t>
            </w:r>
          </w:p>
          <w:p w14:paraId="686450C0">
            <w:pPr>
              <w:adjustRightInd w:val="0"/>
              <w:snapToGrid w:val="0"/>
              <w:jc w:val="center"/>
              <w:rPr>
                <w:bCs/>
                <w:color w:val="auto"/>
                <w:szCs w:val="21"/>
              </w:rPr>
            </w:pPr>
            <w:r>
              <w:rPr>
                <w:rFonts w:hAnsi="宋体"/>
                <w:bCs/>
                <w:color w:val="auto"/>
                <w:szCs w:val="21"/>
              </w:rPr>
              <w:t>境影</w:t>
            </w:r>
          </w:p>
          <w:p w14:paraId="53813DFB">
            <w:pPr>
              <w:adjustRightInd w:val="0"/>
              <w:snapToGrid w:val="0"/>
              <w:jc w:val="center"/>
              <w:rPr>
                <w:bCs/>
                <w:color w:val="auto"/>
                <w:szCs w:val="21"/>
              </w:rPr>
            </w:pPr>
            <w:r>
              <w:rPr>
                <w:rFonts w:hAnsi="宋体"/>
                <w:bCs/>
                <w:color w:val="auto"/>
                <w:szCs w:val="21"/>
              </w:rPr>
              <w:t>响和</w:t>
            </w:r>
          </w:p>
          <w:p w14:paraId="4C806F40">
            <w:pPr>
              <w:adjustRightInd w:val="0"/>
              <w:snapToGrid w:val="0"/>
              <w:jc w:val="center"/>
              <w:rPr>
                <w:bCs/>
                <w:color w:val="auto"/>
                <w:szCs w:val="21"/>
              </w:rPr>
            </w:pPr>
            <w:r>
              <w:rPr>
                <w:rFonts w:hAnsi="宋体"/>
                <w:bCs/>
                <w:color w:val="auto"/>
                <w:szCs w:val="21"/>
              </w:rPr>
              <w:t>保护</w:t>
            </w:r>
          </w:p>
          <w:p w14:paraId="3C67D8BD">
            <w:pPr>
              <w:adjustRightInd w:val="0"/>
              <w:snapToGrid w:val="0"/>
              <w:jc w:val="center"/>
              <w:rPr>
                <w:bCs/>
                <w:color w:val="auto"/>
                <w:szCs w:val="21"/>
              </w:rPr>
            </w:pPr>
            <w:r>
              <w:rPr>
                <w:rFonts w:hAnsi="宋体"/>
                <w:bCs/>
                <w:color w:val="auto"/>
                <w:szCs w:val="21"/>
              </w:rPr>
              <w:t>措施</w:t>
            </w:r>
          </w:p>
        </w:tc>
        <w:tc>
          <w:tcPr>
            <w:tcW w:w="4756" w:type="pct"/>
            <w:noWrap w:val="0"/>
            <w:vAlign w:val="center"/>
          </w:tcPr>
          <w:p w14:paraId="1EFE4DD8">
            <w:pPr>
              <w:spacing w:line="360" w:lineRule="auto"/>
              <w:ind w:firstLine="561"/>
              <w:jc w:val="left"/>
              <w:rPr>
                <w:rFonts w:hint="eastAsia"/>
                <w:b/>
                <w:color w:val="auto"/>
                <w:kern w:val="0"/>
                <w:szCs w:val="21"/>
              </w:rPr>
            </w:pPr>
            <w:r>
              <w:rPr>
                <w:rFonts w:hint="eastAsia"/>
                <w:b/>
                <w:color w:val="auto"/>
                <w:kern w:val="0"/>
                <w:szCs w:val="21"/>
              </w:rPr>
              <w:t>2、废水</w:t>
            </w:r>
          </w:p>
          <w:p w14:paraId="11089665">
            <w:pPr>
              <w:spacing w:line="360" w:lineRule="auto"/>
              <w:ind w:firstLine="561"/>
              <w:rPr>
                <w:rFonts w:hint="eastAsia"/>
                <w:b/>
                <w:color w:val="auto"/>
                <w:kern w:val="0"/>
                <w:szCs w:val="21"/>
              </w:rPr>
            </w:pPr>
            <w:r>
              <w:rPr>
                <w:rFonts w:hint="eastAsia"/>
                <w:b/>
                <w:color w:val="auto"/>
                <w:kern w:val="0"/>
                <w:szCs w:val="21"/>
              </w:rPr>
              <w:t>2.1 源强及达标情况</w:t>
            </w:r>
          </w:p>
          <w:p w14:paraId="1BE595AA">
            <w:pPr>
              <w:spacing w:line="360" w:lineRule="auto"/>
              <w:ind w:firstLine="420" w:firstLineChars="200"/>
              <w:rPr>
                <w:rFonts w:hint="eastAsia"/>
                <w:bCs/>
                <w:color w:val="auto"/>
              </w:rPr>
            </w:pPr>
            <w:r>
              <w:rPr>
                <w:rFonts w:hint="eastAsia"/>
                <w:color w:val="auto"/>
              </w:rPr>
              <w:t>根据企业产品行业分类、原料存储、生产工艺等情况，对照《江苏省重点行业工业企业雨水排放环境管理办法（试行）》（</w:t>
            </w:r>
            <w:r>
              <w:rPr>
                <w:rFonts w:hint="eastAsia"/>
                <w:color w:val="auto"/>
                <w:lang w:val="en-US" w:eastAsia="zh-CN"/>
              </w:rPr>
              <w:t>苏污防攻坚指办</w:t>
            </w:r>
            <w:r>
              <w:rPr>
                <w:rFonts w:hint="default" w:ascii="Times New Roman" w:hAnsi="Times New Roman" w:eastAsia="宋体" w:cs="Times New Roman"/>
                <w:color w:val="auto"/>
                <w:kern w:val="0"/>
                <w:szCs w:val="21"/>
                <w:lang w:val="en-US" w:eastAsia="zh-CN"/>
              </w:rPr>
              <w:t>〔2023〕</w:t>
            </w:r>
            <w:r>
              <w:rPr>
                <w:rFonts w:hint="eastAsia"/>
                <w:color w:val="auto"/>
                <w:lang w:val="en-US" w:eastAsia="zh-CN"/>
              </w:rPr>
              <w:t>71号</w:t>
            </w:r>
            <w:r>
              <w:rPr>
                <w:rFonts w:hint="eastAsia"/>
                <w:color w:val="auto"/>
              </w:rPr>
              <w:t>），其中“第二条 江苏省重点行业工业企业雨水收集和排放环境管理适用本办法。本办法所称重点行业工业企业，是指化工、电镀、原料药制造、冶炼、印染行业的工业企业，以下简称“工业企业”。第二十九条 造纸、制革、平板玻璃、水泥、钢铁等行业工业企业雨水收集和排放环境管理可参照本办法执行。”对照《国民经济行业分类》（GB/T 4754—2017），产品分类为</w:t>
            </w:r>
            <w:r>
              <w:rPr>
                <w:rFonts w:hint="eastAsia"/>
                <w:color w:val="auto"/>
                <w:szCs w:val="21"/>
                <w:lang w:eastAsia="zh-CN"/>
              </w:rPr>
              <w:t>C3392有色金属铸造</w:t>
            </w:r>
            <w:r>
              <w:rPr>
                <w:rFonts w:hint="eastAsia"/>
                <w:color w:val="auto"/>
              </w:rPr>
              <w:t>。企业不属于其中重点行业工业企业，亦不属于造纸、制革、平板玻璃、水泥、钢铁行业，且本公司生产工艺均在室内进行，无重污染工艺及原辅用料，原辅料存储均在室内，不涉及高污染径流污染区域，可暂不设置初期雨水池。</w:t>
            </w:r>
          </w:p>
          <w:p w14:paraId="1344D137">
            <w:pPr>
              <w:spacing w:line="360" w:lineRule="auto"/>
              <w:ind w:firstLine="420"/>
              <w:jc w:val="left"/>
              <w:rPr>
                <w:rFonts w:hint="default" w:eastAsia="宋体"/>
                <w:bCs/>
                <w:color w:val="auto"/>
                <w:lang w:val="en-US" w:eastAsia="zh-CN"/>
              </w:rPr>
            </w:pPr>
            <w:r>
              <w:rPr>
                <w:bCs/>
                <w:color w:val="auto"/>
              </w:rPr>
              <w:t>本项目实行“雨污分流”制，雨水</w:t>
            </w:r>
            <w:r>
              <w:rPr>
                <w:rFonts w:hint="eastAsia"/>
                <w:bCs/>
                <w:color w:val="auto"/>
              </w:rPr>
              <w:t>经</w:t>
            </w:r>
            <w:r>
              <w:rPr>
                <w:bCs/>
                <w:color w:val="auto"/>
              </w:rPr>
              <w:t>雨水管网收集后</w:t>
            </w:r>
            <w:r>
              <w:rPr>
                <w:rFonts w:hint="eastAsia"/>
                <w:bCs/>
                <w:color w:val="auto"/>
              </w:rPr>
              <w:t>排入市政</w:t>
            </w:r>
            <w:r>
              <w:rPr>
                <w:bCs/>
                <w:color w:val="auto"/>
              </w:rPr>
              <w:t>雨水管网；项目车间地面仅进行清扫，不冲洗，不产生地面清洗废水</w:t>
            </w:r>
            <w:r>
              <w:rPr>
                <w:rFonts w:hint="eastAsia"/>
                <w:bCs/>
                <w:color w:val="auto"/>
                <w:lang w:eastAsia="zh-CN"/>
              </w:rPr>
              <w:t>；</w:t>
            </w:r>
            <w:r>
              <w:rPr>
                <w:rFonts w:hint="eastAsia"/>
                <w:bCs/>
                <w:color w:val="auto"/>
                <w:lang w:val="en-US" w:eastAsia="zh-CN"/>
              </w:rPr>
              <w:t>项目不涉及设备清洗；</w:t>
            </w:r>
            <w:r>
              <w:rPr>
                <w:bCs/>
                <w:color w:val="auto"/>
              </w:rPr>
              <w:t>项目生活污水</w:t>
            </w:r>
            <w:r>
              <w:rPr>
                <w:rFonts w:hint="eastAsia"/>
                <w:bCs/>
                <w:color w:val="auto"/>
                <w:lang w:val="en-US" w:eastAsia="zh-CN"/>
              </w:rPr>
              <w:t>经化粪池预处理用作液态肥料</w:t>
            </w:r>
            <w:r>
              <w:rPr>
                <w:rFonts w:hint="eastAsia"/>
                <w:bCs/>
                <w:color w:val="auto"/>
                <w:lang w:eastAsia="zh-CN"/>
              </w:rPr>
              <w:t>；</w:t>
            </w:r>
            <w:r>
              <w:rPr>
                <w:rFonts w:hint="eastAsia"/>
                <w:bCs/>
                <w:color w:val="auto"/>
                <w:lang w:val="en-US" w:eastAsia="zh-CN"/>
              </w:rPr>
              <w:t>超声波清洗水、冷却用水循环使用，定期作为危废处理。</w:t>
            </w:r>
          </w:p>
          <w:p w14:paraId="140FB62F">
            <w:pPr>
              <w:spacing w:line="360" w:lineRule="auto"/>
              <w:ind w:firstLine="420"/>
              <w:jc w:val="left"/>
              <w:rPr>
                <w:bCs/>
                <w:color w:val="auto"/>
              </w:rPr>
            </w:pPr>
            <w:r>
              <w:rPr>
                <w:rFonts w:hint="eastAsia"/>
                <w:bCs/>
                <w:color w:val="auto"/>
              </w:rPr>
              <w:t>（1）生活污水</w:t>
            </w:r>
          </w:p>
          <w:p w14:paraId="7FD8357E">
            <w:pPr>
              <w:spacing w:line="360" w:lineRule="auto"/>
              <w:ind w:firstLine="420"/>
              <w:jc w:val="left"/>
              <w:rPr>
                <w:rFonts w:hint="eastAsia"/>
                <w:bCs/>
                <w:color w:val="auto"/>
                <w:lang w:val="en-US" w:eastAsia="zh-CN"/>
              </w:rPr>
            </w:pPr>
            <w:r>
              <w:rPr>
                <w:rFonts w:hint="eastAsia"/>
                <w:bCs/>
                <w:color w:val="auto"/>
                <w:lang w:val="en-US" w:eastAsia="zh-CN"/>
              </w:rPr>
              <w:t>建设项目拟定职工人数为20人，年工作时间为300天，根据《江苏省林牧渔业、工业、服务业和生活用水定额(2019 年修订)》（苏水节【2020】5 号），员工生活用水按100L/（天*人）计，产污系数以用水量的80%计，则职工生活用水量为600t/a，生活污水产生量约为480t/a，主要污染物为CODCr、SS、NH</w:t>
            </w:r>
            <w:r>
              <w:rPr>
                <w:rFonts w:hint="eastAsia"/>
                <w:bCs/>
                <w:color w:val="auto"/>
                <w:vertAlign w:val="subscript"/>
                <w:lang w:val="en-US" w:eastAsia="zh-CN"/>
              </w:rPr>
              <w:t>3</w:t>
            </w:r>
            <w:r>
              <w:rPr>
                <w:rFonts w:hint="eastAsia"/>
                <w:bCs/>
                <w:color w:val="auto"/>
                <w:lang w:val="en-US" w:eastAsia="zh-CN"/>
              </w:rPr>
              <w:t>-N、TP、TN。</w:t>
            </w:r>
          </w:p>
          <w:p w14:paraId="5F8AC59D">
            <w:pPr>
              <w:spacing w:line="360" w:lineRule="auto"/>
              <w:ind w:firstLine="420"/>
              <w:jc w:val="left"/>
              <w:rPr>
                <w:rFonts w:hint="eastAsia"/>
                <w:bCs/>
                <w:color w:val="auto"/>
                <w:lang w:val="en-US" w:eastAsia="zh-CN"/>
              </w:rPr>
            </w:pPr>
            <w:r>
              <w:rPr>
                <w:rFonts w:hint="eastAsia"/>
                <w:bCs/>
                <w:color w:val="auto"/>
                <w:lang w:val="en-US" w:eastAsia="zh-CN"/>
              </w:rPr>
              <w:t>（2）循环冷却水</w:t>
            </w:r>
          </w:p>
          <w:p w14:paraId="2EC1484C">
            <w:pPr>
              <w:numPr>
                <w:ilvl w:val="0"/>
                <w:numId w:val="0"/>
              </w:numPr>
              <w:spacing w:line="360" w:lineRule="auto"/>
              <w:ind w:firstLine="420" w:firstLineChars="200"/>
              <w:rPr>
                <w:rFonts w:hint="eastAsia"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项目热处理工序使用水直接冷却铸件，</w:t>
            </w:r>
            <w:r>
              <w:rPr>
                <w:rFonts w:hint="eastAsia" w:ascii="Times New Roman" w:hAnsi="Times New Roman" w:cs="Times New Roman"/>
                <w:bCs/>
                <w:color w:val="auto"/>
                <w:kern w:val="2"/>
                <w:sz w:val="21"/>
                <w:szCs w:val="21"/>
                <w:lang w:val="en-US" w:eastAsia="zh-CN" w:bidi="ar-SA"/>
              </w:rPr>
              <w:t>配有一个</w:t>
            </w:r>
            <w:r>
              <w:rPr>
                <w:rFonts w:hint="eastAsia" w:ascii="Times New Roman" w:hAnsi="Times New Roman" w:eastAsia="宋体" w:cs="Times New Roman"/>
                <w:bCs/>
                <w:color w:val="auto"/>
                <w:kern w:val="2"/>
                <w:sz w:val="21"/>
                <w:szCs w:val="21"/>
                <w:lang w:val="en-US" w:eastAsia="zh-CN" w:bidi="ar-SA"/>
              </w:rPr>
              <w:t>水槽</w:t>
            </w:r>
            <w:r>
              <w:rPr>
                <w:rFonts w:hint="eastAsia" w:cs="Times New Roman"/>
                <w:bCs/>
                <w:color w:val="auto"/>
                <w:kern w:val="2"/>
                <w:sz w:val="21"/>
                <w:szCs w:val="21"/>
                <w:lang w:val="en-US" w:eastAsia="zh-CN" w:bidi="ar-SA"/>
              </w:rPr>
              <w:t>5.184</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（1.</w:t>
            </w:r>
            <w:r>
              <w:rPr>
                <w:rFonts w:hint="eastAsia" w:cs="Times New Roman"/>
                <w:bCs/>
                <w:color w:val="auto"/>
                <w:kern w:val="2"/>
                <w:sz w:val="21"/>
                <w:szCs w:val="21"/>
                <w:lang w:val="en-US" w:eastAsia="zh-CN" w:bidi="ar-SA"/>
              </w:rPr>
              <w:t>8</w:t>
            </w:r>
            <w:r>
              <w:rPr>
                <w:rFonts w:hint="eastAsia" w:ascii="Times New Roman" w:hAnsi="Times New Roman" w:eastAsia="宋体" w:cs="Times New Roman"/>
                <w:bCs/>
                <w:color w:val="auto"/>
                <w:kern w:val="2"/>
                <w:sz w:val="21"/>
                <w:szCs w:val="21"/>
                <w:lang w:val="en-US" w:eastAsia="zh-CN" w:bidi="ar-SA"/>
              </w:rPr>
              <w:t>*1.</w:t>
            </w:r>
            <w:r>
              <w:rPr>
                <w:rFonts w:hint="eastAsia" w:cs="Times New Roman"/>
                <w:bCs/>
                <w:color w:val="auto"/>
                <w:kern w:val="2"/>
                <w:sz w:val="21"/>
                <w:szCs w:val="21"/>
                <w:lang w:val="en-US" w:eastAsia="zh-CN" w:bidi="ar-SA"/>
              </w:rPr>
              <w:t>8</w:t>
            </w:r>
            <w:r>
              <w:rPr>
                <w:rFonts w:hint="eastAsia" w:ascii="Times New Roman" w:hAnsi="Times New Roman" w:eastAsia="宋体" w:cs="Times New Roman"/>
                <w:bCs/>
                <w:color w:val="auto"/>
                <w:kern w:val="2"/>
                <w:sz w:val="21"/>
                <w:szCs w:val="21"/>
                <w:lang w:val="en-US" w:eastAsia="zh-CN" w:bidi="ar-SA"/>
              </w:rPr>
              <w:t>*</w:t>
            </w:r>
            <w:r>
              <w:rPr>
                <w:rFonts w:hint="eastAsia" w:cs="Times New Roman"/>
                <w:bCs/>
                <w:color w:val="auto"/>
                <w:kern w:val="2"/>
                <w:sz w:val="21"/>
                <w:szCs w:val="21"/>
                <w:lang w:val="en-US" w:eastAsia="zh-CN" w:bidi="ar-SA"/>
              </w:rPr>
              <w:t>1.6</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 w:val="0"/>
                <w:bCs w:val="0"/>
                <w:color w:val="auto"/>
                <w:kern w:val="0"/>
                <w:sz w:val="21"/>
                <w:szCs w:val="21"/>
                <w:lang w:val="en-US" w:eastAsia="zh-CN" w:bidi="ar-SA"/>
              </w:rPr>
              <w:t>有效容积为</w:t>
            </w:r>
            <w:r>
              <w:rPr>
                <w:rFonts w:hint="default" w:ascii="Times New Roman" w:hAnsi="Times New Roman" w:eastAsia="宋体" w:cs="Times New Roman"/>
                <w:b w:val="0"/>
                <w:bCs w:val="0"/>
                <w:color w:val="auto"/>
                <w:kern w:val="0"/>
                <w:sz w:val="21"/>
                <w:szCs w:val="21"/>
                <w:lang w:val="en-US" w:eastAsia="zh-CN" w:bidi="ar-SA"/>
              </w:rPr>
              <w:t>80%</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Cs/>
                <w:color w:val="auto"/>
                <w:kern w:val="2"/>
                <w:sz w:val="21"/>
                <w:szCs w:val="21"/>
                <w:lang w:val="en-US" w:eastAsia="zh-CN" w:bidi="ar-SA"/>
              </w:rPr>
              <w:t>水槽水</w:t>
            </w:r>
            <w:r>
              <w:rPr>
                <w:rFonts w:hint="eastAsia" w:ascii="Times New Roman" w:hAnsi="Times New Roman" w:eastAsia="宋体" w:cs="Times New Roman"/>
                <w:bCs/>
                <w:color w:val="auto"/>
                <w:kern w:val="2"/>
                <w:sz w:val="21"/>
                <w:szCs w:val="21"/>
                <w:lang w:val="en-US" w:eastAsia="zh-CN" w:bidi="ar-SA"/>
              </w:rPr>
              <w:t>量</w:t>
            </w:r>
            <w:r>
              <w:rPr>
                <w:rFonts w:hint="eastAsia" w:cs="Times New Roman"/>
                <w:bCs/>
                <w:color w:val="auto"/>
                <w:kern w:val="2"/>
                <w:sz w:val="21"/>
                <w:szCs w:val="21"/>
                <w:lang w:val="en-US" w:eastAsia="zh-CN" w:bidi="ar-SA"/>
              </w:rPr>
              <w:t>约</w:t>
            </w:r>
            <w:r>
              <w:rPr>
                <w:rFonts w:hint="eastAsia" w:ascii="Times New Roman" w:hAnsi="Times New Roman" w:eastAsia="宋体" w:cs="Times New Roman"/>
                <w:bCs/>
                <w:color w:val="auto"/>
                <w:kern w:val="2"/>
                <w:sz w:val="21"/>
                <w:szCs w:val="21"/>
                <w:lang w:val="en-US" w:eastAsia="zh-CN" w:bidi="ar-SA"/>
              </w:rPr>
              <w:t>为</w:t>
            </w:r>
            <w:r>
              <w:rPr>
                <w:rFonts w:hint="eastAsia" w:cs="Times New Roman"/>
                <w:bCs/>
                <w:color w:val="auto"/>
                <w:kern w:val="2"/>
                <w:sz w:val="21"/>
                <w:szCs w:val="21"/>
                <w:lang w:val="en-US" w:eastAsia="zh-CN" w:bidi="ar-SA"/>
              </w:rPr>
              <w:t>4</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，热处理工序</w:t>
            </w:r>
            <w:r>
              <w:rPr>
                <w:rFonts w:hint="eastAsia" w:ascii="Times New Roman" w:hAnsi="Times New Roman" w:eastAsia="宋体" w:cs="Times New Roman"/>
                <w:bCs/>
                <w:color w:val="auto"/>
                <w:kern w:val="2"/>
                <w:sz w:val="21"/>
                <w:szCs w:val="21"/>
                <w:lang w:val="en-US" w:eastAsia="zh-CN" w:bidi="ar-SA"/>
              </w:rPr>
              <w:t>年生产时间</w:t>
            </w:r>
            <w:r>
              <w:rPr>
                <w:rFonts w:hint="eastAsia" w:ascii="Times New Roman" w:hAnsi="Times New Roman" w:cs="Times New Roman"/>
                <w:bCs/>
                <w:color w:val="auto"/>
                <w:kern w:val="2"/>
                <w:sz w:val="21"/>
                <w:szCs w:val="21"/>
                <w:lang w:val="en-US" w:eastAsia="zh-CN" w:bidi="ar-SA"/>
              </w:rPr>
              <w:t>12</w:t>
            </w:r>
            <w:r>
              <w:rPr>
                <w:rFonts w:hint="eastAsia" w:ascii="Times New Roman" w:hAnsi="Times New Roman" w:eastAsia="宋体" w:cs="Times New Roman"/>
                <w:bCs/>
                <w:color w:val="auto"/>
                <w:kern w:val="2"/>
                <w:sz w:val="21"/>
                <w:szCs w:val="21"/>
                <w:lang w:val="en-US" w:eastAsia="zh-CN" w:bidi="ar-SA"/>
              </w:rPr>
              <w:t>00h，冷却水循环使用，损耗按</w:t>
            </w:r>
            <w:r>
              <w:rPr>
                <w:rFonts w:hint="eastAsia"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%计</w:t>
            </w:r>
            <w:r>
              <w:rPr>
                <w:rFonts w:hint="eastAsia" w:cs="Times New Roman"/>
                <w:bCs/>
                <w:color w:val="auto"/>
                <w:kern w:val="2"/>
                <w:sz w:val="21"/>
                <w:szCs w:val="21"/>
                <w:lang w:val="en-US" w:eastAsia="zh-CN" w:bidi="ar-SA"/>
              </w:rPr>
              <w:t>（蒸发损失率=温差/600=510/600≈1%）</w:t>
            </w:r>
            <w:r>
              <w:rPr>
                <w:rFonts w:hint="eastAsia" w:ascii="Times New Roman" w:hAnsi="Times New Roman" w:eastAsia="宋体" w:cs="Times New Roman"/>
                <w:bCs/>
                <w:color w:val="auto"/>
                <w:kern w:val="2"/>
                <w:sz w:val="21"/>
                <w:szCs w:val="21"/>
                <w:lang w:val="en-US" w:eastAsia="zh-CN" w:bidi="ar-SA"/>
              </w:rPr>
              <w:t>，则一年补充水量为</w:t>
            </w:r>
            <w:r>
              <w:rPr>
                <w:rFonts w:hint="eastAsia" w:cs="Times New Roman"/>
                <w:bCs/>
                <w:color w:val="auto"/>
                <w:kern w:val="2"/>
                <w:sz w:val="21"/>
                <w:szCs w:val="21"/>
                <w:lang w:val="en-US" w:eastAsia="zh-CN" w:bidi="ar-SA"/>
              </w:rPr>
              <w:t>48</w:t>
            </w:r>
            <w:r>
              <w:rPr>
                <w:rFonts w:hint="eastAsia" w:ascii="Times New Roman" w:hAnsi="Times New Roman" w:eastAsia="宋体" w:cs="Times New Roman"/>
                <w:bCs/>
                <w:color w:val="auto"/>
                <w:kern w:val="2"/>
                <w:sz w:val="21"/>
                <w:szCs w:val="21"/>
                <w:lang w:val="en-US" w:eastAsia="zh-CN" w:bidi="ar-SA"/>
              </w:rPr>
              <w:t>t/a。</w:t>
            </w:r>
            <w:r>
              <w:rPr>
                <w:rFonts w:hint="eastAsia" w:cs="Times New Roman"/>
                <w:bCs/>
                <w:color w:val="auto"/>
                <w:kern w:val="2"/>
                <w:sz w:val="21"/>
                <w:szCs w:val="21"/>
                <w:lang w:val="en-US" w:eastAsia="zh-CN" w:bidi="ar-SA"/>
              </w:rPr>
              <w:t>循环使用，</w:t>
            </w:r>
            <w:r>
              <w:rPr>
                <w:rFonts w:hint="eastAsia"/>
                <w:color w:val="auto"/>
                <w:szCs w:val="21"/>
                <w:lang w:val="en-US" w:eastAsia="zh-CN"/>
              </w:rPr>
              <w:t>每年更换1次，则全年更换次数为1次，更换水量为4*1=4t/a。新鲜水补充总量为52t/a。</w:t>
            </w:r>
          </w:p>
          <w:p w14:paraId="5AF36DB7">
            <w:pPr>
              <w:numPr>
                <w:ilvl w:val="0"/>
                <w:numId w:val="0"/>
              </w:numPr>
              <w:spacing w:line="360" w:lineRule="auto"/>
              <w:ind w:firstLine="420" w:firstLineChars="20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（3）超声波清洗水    </w:t>
            </w:r>
          </w:p>
          <w:p w14:paraId="03BC7A17">
            <w:pPr>
              <w:numPr>
                <w:ilvl w:val="0"/>
                <w:numId w:val="0"/>
              </w:numPr>
              <w:spacing w:line="360" w:lineRule="auto"/>
              <w:ind w:firstLine="420" w:firstLineChars="20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  项目采用超声波清洗铸件，建设单位配置3台清洗机，水槽1.44m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（1.2*1.2*1.0m），</w:t>
            </w:r>
            <w:r>
              <w:rPr>
                <w:rFonts w:hint="eastAsia" w:ascii="Times New Roman" w:hAnsi="Times New Roman" w:eastAsia="宋体" w:cs="Times New Roman"/>
                <w:b w:val="0"/>
                <w:bCs w:val="0"/>
                <w:color w:val="auto"/>
                <w:kern w:val="0"/>
                <w:sz w:val="21"/>
                <w:szCs w:val="21"/>
                <w:lang w:val="en-US" w:eastAsia="zh-CN" w:bidi="ar-SA"/>
              </w:rPr>
              <w:t>有效容积为</w:t>
            </w:r>
            <w:r>
              <w:rPr>
                <w:rFonts w:hint="default" w:ascii="Times New Roman" w:hAnsi="Times New Roman" w:eastAsia="宋体" w:cs="Times New Roman"/>
                <w:b w:val="0"/>
                <w:bCs w:val="0"/>
                <w:color w:val="auto"/>
                <w:kern w:val="0"/>
                <w:sz w:val="21"/>
                <w:szCs w:val="21"/>
                <w:lang w:val="en-US" w:eastAsia="zh-CN" w:bidi="ar-SA"/>
              </w:rPr>
              <w:t>80%</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Cs/>
                <w:color w:val="auto"/>
                <w:kern w:val="2"/>
                <w:sz w:val="21"/>
                <w:szCs w:val="21"/>
                <w:lang w:val="en-US" w:eastAsia="zh-CN" w:bidi="ar-SA"/>
              </w:rPr>
              <w:t>水槽水</w:t>
            </w:r>
            <w:r>
              <w:rPr>
                <w:rFonts w:hint="eastAsia" w:ascii="Times New Roman" w:hAnsi="Times New Roman" w:eastAsia="宋体" w:cs="Times New Roman"/>
                <w:bCs/>
                <w:color w:val="auto"/>
                <w:kern w:val="2"/>
                <w:sz w:val="21"/>
                <w:szCs w:val="21"/>
                <w:lang w:val="en-US" w:eastAsia="zh-CN" w:bidi="ar-SA"/>
              </w:rPr>
              <w:t>量为</w:t>
            </w:r>
            <w:r>
              <w:rPr>
                <w:rFonts w:hint="eastAsia" w:cs="Times New Roman"/>
                <w:bCs/>
                <w:color w:val="auto"/>
                <w:kern w:val="2"/>
                <w:sz w:val="21"/>
                <w:szCs w:val="21"/>
                <w:lang w:val="en-US" w:eastAsia="zh-CN" w:bidi="ar-SA"/>
              </w:rPr>
              <w:t>1.15</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，超声波清洗工序</w:t>
            </w:r>
            <w:r>
              <w:rPr>
                <w:rFonts w:hint="eastAsia" w:ascii="Times New Roman" w:hAnsi="Times New Roman" w:eastAsia="宋体" w:cs="Times New Roman"/>
                <w:bCs/>
                <w:color w:val="auto"/>
                <w:kern w:val="2"/>
                <w:sz w:val="21"/>
                <w:szCs w:val="21"/>
                <w:lang w:val="en-US" w:eastAsia="zh-CN" w:bidi="ar-SA"/>
              </w:rPr>
              <w:t>年生产时间</w:t>
            </w:r>
            <w:r>
              <w:rPr>
                <w:rFonts w:hint="eastAsia" w:ascii="Times New Roman" w:hAnsi="Times New Roman" w:cs="Times New Roman"/>
                <w:bCs/>
                <w:color w:val="auto"/>
                <w:kern w:val="2"/>
                <w:sz w:val="21"/>
                <w:szCs w:val="21"/>
                <w:lang w:val="en-US" w:eastAsia="zh-CN" w:bidi="ar-SA"/>
              </w:rPr>
              <w:t>9</w:t>
            </w:r>
            <w:r>
              <w:rPr>
                <w:rFonts w:hint="eastAsia" w:ascii="Times New Roman" w:hAnsi="Times New Roman" w:eastAsia="宋体" w:cs="Times New Roman"/>
                <w:bCs/>
                <w:color w:val="auto"/>
                <w:kern w:val="2"/>
                <w:sz w:val="21"/>
                <w:szCs w:val="21"/>
                <w:lang w:val="en-US" w:eastAsia="zh-CN" w:bidi="ar-SA"/>
              </w:rPr>
              <w:t>00h，超声波清洗水循环使用，</w:t>
            </w:r>
            <w:r>
              <w:rPr>
                <w:rFonts w:hint="eastAsia" w:cs="Times New Roman"/>
                <w:bCs/>
                <w:color w:val="auto"/>
                <w:kern w:val="2"/>
                <w:sz w:val="21"/>
                <w:szCs w:val="21"/>
                <w:lang w:val="en-US" w:eastAsia="zh-CN" w:bidi="ar-SA"/>
              </w:rPr>
              <w:t>常温下清洗，水蒸发量较小，不考虑损耗。循环使用，每6个月更换一次，</w:t>
            </w:r>
            <w:r>
              <w:rPr>
                <w:rFonts w:hint="eastAsia"/>
                <w:color w:val="auto"/>
                <w:szCs w:val="21"/>
                <w:lang w:val="en-US" w:eastAsia="zh-CN"/>
              </w:rPr>
              <w:t>则全年更换次数为2次，</w:t>
            </w:r>
            <w:r>
              <w:rPr>
                <w:rFonts w:hint="eastAsia" w:cs="Times New Roman"/>
                <w:bCs/>
                <w:color w:val="auto"/>
                <w:kern w:val="2"/>
                <w:sz w:val="21"/>
                <w:szCs w:val="21"/>
                <w:lang w:val="en-US" w:eastAsia="zh-CN" w:bidi="ar-SA"/>
              </w:rPr>
              <w:t>作为危废处理，更换量为1.15*3*2=6.9t/a。新鲜水用量6.9t/a。</w:t>
            </w:r>
          </w:p>
          <w:p w14:paraId="7262B44E">
            <w:pPr>
              <w:numPr>
                <w:ilvl w:val="0"/>
                <w:numId w:val="0"/>
              </w:numPr>
              <w:spacing w:line="360" w:lineRule="auto"/>
              <w:ind w:left="480" w:leftChars="0"/>
              <w:rPr>
                <w:rFonts w:hint="eastAsia"/>
                <w:bCs/>
                <w:color w:val="FF0000"/>
                <w:lang w:val="en-US" w:eastAsia="zh-CN"/>
              </w:rPr>
            </w:pPr>
            <w:r>
              <w:rPr>
                <w:rFonts w:hint="eastAsia"/>
                <w:bCs/>
                <w:color w:val="FF0000"/>
                <w:lang w:val="en-US" w:eastAsia="zh-CN"/>
              </w:rPr>
              <w:t xml:space="preserve">（4）切削液配水 </w:t>
            </w:r>
          </w:p>
          <w:p w14:paraId="463CB454">
            <w:pPr>
              <w:snapToGrid w:val="0"/>
              <w:spacing w:line="360" w:lineRule="auto"/>
              <w:ind w:firstLine="420" w:firstLineChars="200"/>
              <w:textAlignment w:val="baseline"/>
              <w:rPr>
                <w:rFonts w:hint="eastAsia"/>
                <w:color w:val="FF0000"/>
                <w:sz w:val="21"/>
                <w:szCs w:val="21"/>
              </w:rPr>
            </w:pPr>
            <w:r>
              <w:rPr>
                <w:rFonts w:hint="eastAsia" w:hAnsi="宋体" w:eastAsia="宋体"/>
                <w:color w:val="FF0000"/>
                <w:szCs w:val="21"/>
                <w:lang w:val="en-US" w:eastAsia="zh-CN"/>
              </w:rPr>
              <w:t>项目机加工</w:t>
            </w:r>
            <w:r>
              <w:rPr>
                <w:color w:val="FF0000"/>
                <w:shd w:val="clear" w:color="auto" w:fill="FFFFFF"/>
              </w:rPr>
              <w:t>过程中要使用一定的切削液，用来降低切削温度，减少刀具与工件之间的摩擦，本项</w:t>
            </w:r>
            <w:r>
              <w:rPr>
                <w:color w:val="FF0000"/>
                <w:sz w:val="21"/>
                <w:szCs w:val="21"/>
                <w:shd w:val="clear" w:color="auto" w:fill="FFFFFF"/>
              </w:rPr>
              <w:t>目使用水基合成切削液，切削液与水配置比例为1:10</w:t>
            </w:r>
            <w:r>
              <w:rPr>
                <w:rFonts w:hint="eastAsia"/>
                <w:color w:val="FF0000"/>
                <w:sz w:val="21"/>
                <w:szCs w:val="21"/>
                <w:shd w:val="clear" w:color="auto" w:fill="FFFFFF"/>
                <w:lang w:eastAsia="zh-CN"/>
              </w:rPr>
              <w:t>，</w:t>
            </w:r>
            <w:r>
              <w:rPr>
                <w:rFonts w:hint="eastAsia"/>
                <w:color w:val="FF0000"/>
                <w:sz w:val="21"/>
                <w:szCs w:val="21"/>
                <w:shd w:val="clear" w:color="auto" w:fill="FFFFFF"/>
                <w:lang w:val="en-US" w:eastAsia="zh-CN"/>
              </w:rPr>
              <w:t>切削液使用量0.5t/a，则用水量5t/a；根据切削液成分，切削液含水率80%，则含水量为0.4t/a。</w:t>
            </w:r>
            <w:r>
              <w:rPr>
                <w:rFonts w:hint="eastAsia"/>
                <w:color w:val="FF0000"/>
                <w:sz w:val="21"/>
                <w:szCs w:val="21"/>
              </w:rPr>
              <w:t>作业过程水分蒸发及随工件带走损耗</w:t>
            </w:r>
            <w:r>
              <w:rPr>
                <w:rFonts w:hint="eastAsia"/>
                <w:color w:val="FF0000"/>
                <w:sz w:val="21"/>
                <w:szCs w:val="21"/>
                <w:lang w:val="en-US" w:eastAsia="zh-CN"/>
              </w:rPr>
              <w:t>4</w:t>
            </w:r>
            <w:r>
              <w:rPr>
                <w:rFonts w:hint="eastAsia"/>
                <w:color w:val="FF0000"/>
                <w:sz w:val="21"/>
                <w:szCs w:val="21"/>
              </w:rPr>
              <w:t>t/a，其余水分</w:t>
            </w:r>
            <w:r>
              <w:rPr>
                <w:rFonts w:hint="eastAsia"/>
                <w:color w:val="FF0000"/>
                <w:sz w:val="21"/>
                <w:szCs w:val="21"/>
                <w:lang w:val="en-US" w:eastAsia="zh-CN"/>
              </w:rPr>
              <w:t>1.4</w:t>
            </w:r>
            <w:r>
              <w:rPr>
                <w:rFonts w:hint="eastAsia"/>
                <w:color w:val="FF0000"/>
                <w:sz w:val="21"/>
                <w:szCs w:val="21"/>
              </w:rPr>
              <w:t>t/a进入废切削液。</w:t>
            </w:r>
          </w:p>
          <w:p w14:paraId="42BADC62">
            <w:pPr>
              <w:numPr>
                <w:ilvl w:val="0"/>
                <w:numId w:val="5"/>
              </w:numPr>
              <w:snapToGrid w:val="0"/>
              <w:spacing w:line="360" w:lineRule="auto"/>
              <w:ind w:firstLine="420" w:firstLineChars="200"/>
              <w:textAlignment w:val="baseline"/>
              <w:rPr>
                <w:rFonts w:hint="eastAsia"/>
                <w:color w:val="FF0000"/>
                <w:sz w:val="21"/>
                <w:szCs w:val="21"/>
                <w:lang w:val="en-US" w:eastAsia="zh-CN"/>
              </w:rPr>
            </w:pPr>
            <w:r>
              <w:rPr>
                <w:rFonts w:hint="eastAsia"/>
                <w:color w:val="FF0000"/>
                <w:sz w:val="21"/>
                <w:szCs w:val="21"/>
                <w:lang w:val="en-US" w:eastAsia="zh-CN"/>
              </w:rPr>
              <w:t>脱膜剂含水</w:t>
            </w:r>
          </w:p>
          <w:p w14:paraId="35876918">
            <w:pPr>
              <w:numPr>
                <w:ilvl w:val="0"/>
                <w:numId w:val="0"/>
              </w:numPr>
              <w:snapToGrid w:val="0"/>
              <w:spacing w:line="360" w:lineRule="auto"/>
              <w:ind w:firstLine="420" w:firstLineChars="200"/>
              <w:textAlignment w:val="baseline"/>
              <w:rPr>
                <w:rFonts w:hint="eastAsia"/>
                <w:bCs/>
                <w:color w:val="auto"/>
              </w:rPr>
            </w:pPr>
            <w:r>
              <w:rPr>
                <w:rFonts w:hint="eastAsia"/>
                <w:color w:val="FF0000"/>
                <w:sz w:val="21"/>
                <w:szCs w:val="21"/>
                <w:lang w:val="en-US" w:eastAsia="zh-CN"/>
              </w:rPr>
              <w:t>脱膜剂使用量为0.04t/a，根据脱膜剂的成分，脱膜剂含水率30%，则脱膜剂含水量0.012t/a，在</w:t>
            </w:r>
            <w:r>
              <w:rPr>
                <w:rFonts w:hint="eastAsia"/>
                <w:color w:val="FF0000"/>
                <w:sz w:val="21"/>
                <w:szCs w:val="21"/>
              </w:rPr>
              <w:t>作业过程</w:t>
            </w:r>
            <w:r>
              <w:rPr>
                <w:rFonts w:hint="eastAsia"/>
                <w:color w:val="FF0000"/>
                <w:sz w:val="21"/>
                <w:szCs w:val="21"/>
                <w:lang w:val="en-US" w:eastAsia="zh-CN"/>
              </w:rPr>
              <w:t>中全部蒸发，则</w:t>
            </w:r>
            <w:r>
              <w:rPr>
                <w:rFonts w:hint="eastAsia"/>
                <w:color w:val="FF0000"/>
                <w:sz w:val="21"/>
                <w:szCs w:val="21"/>
              </w:rPr>
              <w:t>蒸发</w:t>
            </w:r>
            <w:r>
              <w:rPr>
                <w:rFonts w:hint="eastAsia"/>
                <w:color w:val="FF0000"/>
                <w:sz w:val="21"/>
                <w:szCs w:val="21"/>
                <w:lang w:val="en-US" w:eastAsia="zh-CN"/>
              </w:rPr>
              <w:t>损耗量为0.012t/a。</w:t>
            </w:r>
          </w:p>
          <w:p w14:paraId="10FEF83E">
            <w:pPr>
              <w:numPr>
                <w:ilvl w:val="0"/>
                <w:numId w:val="0"/>
              </w:numPr>
              <w:spacing w:line="360" w:lineRule="auto"/>
              <w:ind w:left="480" w:leftChars="0"/>
              <w:rPr>
                <w:b/>
                <w:color w:val="auto"/>
              </w:rPr>
            </w:pPr>
            <w:r>
              <w:rPr>
                <w:rFonts w:hint="eastAsia"/>
                <w:bCs/>
                <w:color w:val="auto"/>
              </w:rPr>
              <w:t>本项目废水产生情况见下表。</w:t>
            </w:r>
          </w:p>
          <w:p w14:paraId="386E0418">
            <w:pPr>
              <w:ind w:firstLine="420"/>
              <w:jc w:val="center"/>
              <w:rPr>
                <w:b/>
                <w:color w:val="auto"/>
              </w:rPr>
            </w:pPr>
            <w:r>
              <w:rPr>
                <w:b/>
                <w:color w:val="auto"/>
              </w:rPr>
              <w:t>表</w:t>
            </w:r>
            <w:r>
              <w:rPr>
                <w:rFonts w:hint="eastAsia"/>
                <w:b/>
                <w:color w:val="auto"/>
              </w:rPr>
              <w:t>4-</w:t>
            </w:r>
            <w:r>
              <w:rPr>
                <w:rFonts w:hint="eastAsia"/>
                <w:b/>
                <w:color w:val="auto"/>
                <w:lang w:val="en-US" w:eastAsia="zh-CN"/>
              </w:rPr>
              <w:t>1</w:t>
            </w:r>
            <w:r>
              <w:rPr>
                <w:b/>
                <w:color w:val="auto"/>
              </w:rPr>
              <w:t>建设项目</w:t>
            </w:r>
            <w:r>
              <w:rPr>
                <w:rFonts w:hint="eastAsia"/>
                <w:b/>
                <w:color w:val="auto"/>
              </w:rPr>
              <w:t>污水</w:t>
            </w:r>
            <w:r>
              <w:rPr>
                <w:b/>
                <w:color w:val="auto"/>
              </w:rPr>
              <w:t>处理情况一览表</w:t>
            </w:r>
          </w:p>
          <w:tbl>
            <w:tblPr>
              <w:tblStyle w:val="25"/>
              <w:tblW w:w="50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6"/>
              <w:gridCol w:w="735"/>
              <w:gridCol w:w="945"/>
              <w:gridCol w:w="1230"/>
              <w:gridCol w:w="1035"/>
              <w:gridCol w:w="825"/>
              <w:gridCol w:w="1155"/>
              <w:gridCol w:w="1230"/>
              <w:gridCol w:w="1015"/>
            </w:tblGrid>
            <w:tr w14:paraId="20717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313" w:type="pct"/>
                  <w:noWrap w:val="0"/>
                  <w:vAlign w:val="center"/>
                </w:tcPr>
                <w:p w14:paraId="3E636310">
                  <w:pPr>
                    <w:snapToGrid w:val="0"/>
                    <w:jc w:val="center"/>
                    <w:rPr>
                      <w:b/>
                      <w:bCs/>
                      <w:color w:val="auto"/>
                      <w:sz w:val="21"/>
                      <w:szCs w:val="21"/>
                    </w:rPr>
                  </w:pPr>
                  <w:r>
                    <w:rPr>
                      <w:b/>
                      <w:bCs/>
                      <w:color w:val="auto"/>
                      <w:sz w:val="21"/>
                      <w:szCs w:val="21"/>
                    </w:rPr>
                    <w:t>种类</w:t>
                  </w:r>
                </w:p>
              </w:tc>
              <w:tc>
                <w:tcPr>
                  <w:tcW w:w="421" w:type="pct"/>
                  <w:noWrap w:val="0"/>
                  <w:vAlign w:val="center"/>
                </w:tcPr>
                <w:p w14:paraId="255F3F2F">
                  <w:pPr>
                    <w:snapToGrid w:val="0"/>
                    <w:jc w:val="center"/>
                    <w:rPr>
                      <w:b/>
                      <w:bCs/>
                      <w:color w:val="auto"/>
                      <w:sz w:val="21"/>
                      <w:szCs w:val="21"/>
                    </w:rPr>
                  </w:pPr>
                  <w:r>
                    <w:rPr>
                      <w:b/>
                      <w:bCs/>
                      <w:color w:val="auto"/>
                      <w:sz w:val="21"/>
                      <w:szCs w:val="21"/>
                    </w:rPr>
                    <w:t>废水量(t/a)</w:t>
                  </w:r>
                </w:p>
              </w:tc>
              <w:tc>
                <w:tcPr>
                  <w:tcW w:w="542" w:type="pct"/>
                  <w:noWrap w:val="0"/>
                  <w:vAlign w:val="center"/>
                </w:tcPr>
                <w:p w14:paraId="24182C4E">
                  <w:pPr>
                    <w:snapToGrid w:val="0"/>
                    <w:jc w:val="center"/>
                    <w:rPr>
                      <w:b/>
                      <w:bCs/>
                      <w:color w:val="auto"/>
                      <w:sz w:val="21"/>
                      <w:szCs w:val="21"/>
                    </w:rPr>
                  </w:pPr>
                  <w:r>
                    <w:rPr>
                      <w:b/>
                      <w:bCs/>
                      <w:color w:val="auto"/>
                      <w:sz w:val="21"/>
                      <w:szCs w:val="21"/>
                    </w:rPr>
                    <w:t>污染</w:t>
                  </w:r>
                </w:p>
                <w:p w14:paraId="30E7DFB4">
                  <w:pPr>
                    <w:snapToGrid w:val="0"/>
                    <w:jc w:val="center"/>
                    <w:rPr>
                      <w:b/>
                      <w:bCs/>
                      <w:color w:val="auto"/>
                      <w:sz w:val="21"/>
                      <w:szCs w:val="21"/>
                    </w:rPr>
                  </w:pPr>
                  <w:r>
                    <w:rPr>
                      <w:b/>
                      <w:bCs/>
                      <w:color w:val="auto"/>
                      <w:sz w:val="21"/>
                      <w:szCs w:val="21"/>
                    </w:rPr>
                    <w:t>因子</w:t>
                  </w:r>
                </w:p>
              </w:tc>
              <w:tc>
                <w:tcPr>
                  <w:tcW w:w="705" w:type="pct"/>
                  <w:noWrap w:val="0"/>
                  <w:vAlign w:val="center"/>
                </w:tcPr>
                <w:p w14:paraId="091B0B3C">
                  <w:pPr>
                    <w:snapToGrid w:val="0"/>
                    <w:jc w:val="center"/>
                    <w:rPr>
                      <w:b/>
                      <w:bCs/>
                      <w:color w:val="auto"/>
                      <w:sz w:val="21"/>
                      <w:szCs w:val="21"/>
                    </w:rPr>
                  </w:pPr>
                  <w:r>
                    <w:rPr>
                      <w:b/>
                      <w:bCs/>
                      <w:color w:val="auto"/>
                      <w:sz w:val="21"/>
                      <w:szCs w:val="21"/>
                    </w:rPr>
                    <w:t>产生</w:t>
                  </w:r>
                </w:p>
                <w:p w14:paraId="2118FDEA">
                  <w:pPr>
                    <w:snapToGrid w:val="0"/>
                    <w:jc w:val="center"/>
                    <w:rPr>
                      <w:b/>
                      <w:bCs/>
                      <w:color w:val="auto"/>
                      <w:sz w:val="21"/>
                      <w:szCs w:val="21"/>
                    </w:rPr>
                  </w:pPr>
                  <w:r>
                    <w:rPr>
                      <w:b/>
                      <w:bCs/>
                      <w:color w:val="auto"/>
                      <w:sz w:val="21"/>
                      <w:szCs w:val="21"/>
                    </w:rPr>
                    <w:t>浓度(mg/L)</w:t>
                  </w:r>
                </w:p>
              </w:tc>
              <w:tc>
                <w:tcPr>
                  <w:tcW w:w="593" w:type="pct"/>
                  <w:noWrap w:val="0"/>
                  <w:vAlign w:val="center"/>
                </w:tcPr>
                <w:p w14:paraId="4EDD345F">
                  <w:pPr>
                    <w:snapToGrid w:val="0"/>
                    <w:jc w:val="center"/>
                    <w:rPr>
                      <w:b/>
                      <w:bCs/>
                      <w:color w:val="auto"/>
                      <w:sz w:val="21"/>
                      <w:szCs w:val="21"/>
                    </w:rPr>
                  </w:pPr>
                  <w:r>
                    <w:rPr>
                      <w:b/>
                      <w:bCs/>
                      <w:color w:val="auto"/>
                      <w:sz w:val="21"/>
                      <w:szCs w:val="21"/>
                    </w:rPr>
                    <w:t>产生量(t/a)</w:t>
                  </w:r>
                </w:p>
              </w:tc>
              <w:tc>
                <w:tcPr>
                  <w:tcW w:w="473" w:type="pct"/>
                  <w:noWrap w:val="0"/>
                  <w:vAlign w:val="center"/>
                </w:tcPr>
                <w:p w14:paraId="259CD5CC">
                  <w:pPr>
                    <w:snapToGrid w:val="0"/>
                    <w:jc w:val="center"/>
                    <w:rPr>
                      <w:b/>
                      <w:color w:val="auto"/>
                      <w:sz w:val="21"/>
                      <w:szCs w:val="21"/>
                    </w:rPr>
                  </w:pPr>
                  <w:r>
                    <w:rPr>
                      <w:b/>
                      <w:color w:val="auto"/>
                      <w:sz w:val="21"/>
                      <w:szCs w:val="21"/>
                    </w:rPr>
                    <w:t>治理</w:t>
                  </w:r>
                </w:p>
                <w:p w14:paraId="3FA72E3B">
                  <w:pPr>
                    <w:snapToGrid w:val="0"/>
                    <w:jc w:val="center"/>
                    <w:rPr>
                      <w:b/>
                      <w:color w:val="auto"/>
                      <w:sz w:val="21"/>
                      <w:szCs w:val="21"/>
                    </w:rPr>
                  </w:pPr>
                  <w:r>
                    <w:rPr>
                      <w:b/>
                      <w:color w:val="auto"/>
                      <w:sz w:val="21"/>
                      <w:szCs w:val="21"/>
                    </w:rPr>
                    <w:t>措施</w:t>
                  </w:r>
                </w:p>
              </w:tc>
              <w:tc>
                <w:tcPr>
                  <w:tcW w:w="662" w:type="pct"/>
                  <w:noWrap w:val="0"/>
                  <w:vAlign w:val="center"/>
                </w:tcPr>
                <w:p w14:paraId="243BC96C">
                  <w:pPr>
                    <w:snapToGrid w:val="0"/>
                    <w:jc w:val="center"/>
                    <w:rPr>
                      <w:b/>
                      <w:bCs/>
                      <w:color w:val="auto"/>
                      <w:sz w:val="21"/>
                      <w:szCs w:val="21"/>
                    </w:rPr>
                  </w:pPr>
                  <w:r>
                    <w:rPr>
                      <w:b/>
                      <w:bCs/>
                      <w:color w:val="auto"/>
                      <w:sz w:val="21"/>
                      <w:szCs w:val="21"/>
                    </w:rPr>
                    <w:t>排放</w:t>
                  </w:r>
                </w:p>
                <w:p w14:paraId="7C17CBA9">
                  <w:pPr>
                    <w:snapToGrid w:val="0"/>
                    <w:jc w:val="center"/>
                    <w:rPr>
                      <w:b/>
                      <w:bCs/>
                      <w:color w:val="auto"/>
                      <w:sz w:val="21"/>
                      <w:szCs w:val="21"/>
                    </w:rPr>
                  </w:pPr>
                  <w:r>
                    <w:rPr>
                      <w:b/>
                      <w:bCs/>
                      <w:color w:val="auto"/>
                      <w:sz w:val="21"/>
                      <w:szCs w:val="21"/>
                    </w:rPr>
                    <w:t>浓度(mg/L)</w:t>
                  </w:r>
                </w:p>
              </w:tc>
              <w:tc>
                <w:tcPr>
                  <w:tcW w:w="705" w:type="pct"/>
                  <w:noWrap w:val="0"/>
                  <w:vAlign w:val="center"/>
                </w:tcPr>
                <w:p w14:paraId="3C01C88C">
                  <w:pPr>
                    <w:snapToGrid w:val="0"/>
                    <w:jc w:val="center"/>
                    <w:rPr>
                      <w:b/>
                      <w:bCs/>
                      <w:color w:val="auto"/>
                      <w:sz w:val="21"/>
                      <w:szCs w:val="21"/>
                    </w:rPr>
                  </w:pPr>
                  <w:r>
                    <w:rPr>
                      <w:b/>
                      <w:bCs/>
                      <w:color w:val="auto"/>
                      <w:sz w:val="21"/>
                      <w:szCs w:val="21"/>
                    </w:rPr>
                    <w:t>排放量</w:t>
                  </w:r>
                </w:p>
                <w:p w14:paraId="76AE4F68">
                  <w:pPr>
                    <w:snapToGrid w:val="0"/>
                    <w:jc w:val="center"/>
                    <w:rPr>
                      <w:b/>
                      <w:bCs/>
                      <w:color w:val="auto"/>
                      <w:sz w:val="21"/>
                      <w:szCs w:val="21"/>
                    </w:rPr>
                  </w:pPr>
                  <w:r>
                    <w:rPr>
                      <w:b/>
                      <w:bCs/>
                      <w:color w:val="auto"/>
                      <w:sz w:val="21"/>
                      <w:szCs w:val="21"/>
                    </w:rPr>
                    <w:t>(t/a)</w:t>
                  </w:r>
                </w:p>
              </w:tc>
              <w:tc>
                <w:tcPr>
                  <w:tcW w:w="582" w:type="pct"/>
                  <w:noWrap w:val="0"/>
                  <w:vAlign w:val="center"/>
                </w:tcPr>
                <w:p w14:paraId="33E9994D">
                  <w:pPr>
                    <w:snapToGrid w:val="0"/>
                    <w:jc w:val="center"/>
                    <w:rPr>
                      <w:b/>
                      <w:color w:val="auto"/>
                      <w:sz w:val="21"/>
                      <w:szCs w:val="21"/>
                    </w:rPr>
                  </w:pPr>
                  <w:r>
                    <w:rPr>
                      <w:b/>
                      <w:color w:val="auto"/>
                      <w:sz w:val="21"/>
                      <w:szCs w:val="21"/>
                    </w:rPr>
                    <w:t>去向</w:t>
                  </w:r>
                </w:p>
              </w:tc>
            </w:tr>
            <w:tr w14:paraId="7B70A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313" w:type="pct"/>
                  <w:vMerge w:val="restart"/>
                  <w:noWrap w:val="0"/>
                  <w:vAlign w:val="center"/>
                </w:tcPr>
                <w:p w14:paraId="64D37F0B">
                  <w:pPr>
                    <w:snapToGrid w:val="0"/>
                    <w:jc w:val="center"/>
                    <w:rPr>
                      <w:color w:val="auto"/>
                      <w:sz w:val="21"/>
                      <w:szCs w:val="21"/>
                    </w:rPr>
                  </w:pPr>
                  <w:r>
                    <w:rPr>
                      <w:color w:val="auto"/>
                      <w:sz w:val="21"/>
                      <w:szCs w:val="21"/>
                    </w:rPr>
                    <w:t>生活污水</w:t>
                  </w:r>
                </w:p>
              </w:tc>
              <w:tc>
                <w:tcPr>
                  <w:tcW w:w="421" w:type="pct"/>
                  <w:vMerge w:val="restart"/>
                  <w:noWrap w:val="0"/>
                  <w:vAlign w:val="center"/>
                </w:tcPr>
                <w:p w14:paraId="6FB2C376">
                  <w:pPr>
                    <w:snapToGrid w:val="0"/>
                    <w:jc w:val="center"/>
                    <w:rPr>
                      <w:rFonts w:hint="default" w:eastAsia="宋体"/>
                      <w:bCs/>
                      <w:color w:val="auto"/>
                      <w:sz w:val="21"/>
                      <w:szCs w:val="21"/>
                      <w:lang w:val="en-US" w:eastAsia="zh-CN"/>
                    </w:rPr>
                  </w:pPr>
                  <w:r>
                    <w:rPr>
                      <w:rFonts w:hint="eastAsia"/>
                      <w:bCs/>
                      <w:color w:val="auto"/>
                      <w:sz w:val="21"/>
                      <w:szCs w:val="21"/>
                      <w:lang w:val="en-US" w:eastAsia="zh-CN"/>
                    </w:rPr>
                    <w:t>480</w:t>
                  </w:r>
                </w:p>
              </w:tc>
              <w:tc>
                <w:tcPr>
                  <w:tcW w:w="542" w:type="pct"/>
                  <w:noWrap w:val="0"/>
                  <w:vAlign w:val="center"/>
                </w:tcPr>
                <w:p w14:paraId="5A84A02B">
                  <w:pPr>
                    <w:snapToGrid w:val="0"/>
                    <w:jc w:val="center"/>
                    <w:rPr>
                      <w:bCs/>
                      <w:color w:val="auto"/>
                      <w:sz w:val="21"/>
                      <w:szCs w:val="21"/>
                    </w:rPr>
                  </w:pPr>
                  <w:r>
                    <w:rPr>
                      <w:bCs/>
                      <w:color w:val="auto"/>
                      <w:sz w:val="21"/>
                      <w:szCs w:val="21"/>
                    </w:rPr>
                    <w:t>COD</w:t>
                  </w:r>
                </w:p>
              </w:tc>
              <w:tc>
                <w:tcPr>
                  <w:tcW w:w="705" w:type="pct"/>
                  <w:noWrap w:val="0"/>
                  <w:vAlign w:val="center"/>
                </w:tcPr>
                <w:p w14:paraId="15D70C7E">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bidi="ar"/>
                    </w:rPr>
                    <w:t>450</w:t>
                  </w:r>
                </w:p>
              </w:tc>
              <w:tc>
                <w:tcPr>
                  <w:tcW w:w="593" w:type="pct"/>
                  <w:noWrap w:val="0"/>
                  <w:vAlign w:val="center"/>
                </w:tcPr>
                <w:p w14:paraId="39FC8410">
                  <w:pPr>
                    <w:snapToGrid w:val="0"/>
                    <w:jc w:val="center"/>
                    <w:rPr>
                      <w:rFonts w:hint="default" w:eastAsia="宋体"/>
                      <w:bCs/>
                      <w:color w:val="auto"/>
                      <w:sz w:val="21"/>
                      <w:szCs w:val="21"/>
                      <w:lang w:val="en-US" w:eastAsia="zh-CN"/>
                    </w:rPr>
                  </w:pPr>
                  <w:r>
                    <w:rPr>
                      <w:rFonts w:hint="eastAsia"/>
                      <w:bCs/>
                      <w:color w:val="auto"/>
                      <w:sz w:val="21"/>
                      <w:szCs w:val="21"/>
                      <w:lang w:val="en-US" w:eastAsia="zh-CN"/>
                    </w:rPr>
                    <w:t>0.216</w:t>
                  </w:r>
                </w:p>
              </w:tc>
              <w:tc>
                <w:tcPr>
                  <w:tcW w:w="473" w:type="pct"/>
                  <w:vMerge w:val="restart"/>
                  <w:noWrap w:val="0"/>
                  <w:vAlign w:val="center"/>
                </w:tcPr>
                <w:p w14:paraId="22FEE667">
                  <w:pPr>
                    <w:snapToGrid w:val="0"/>
                    <w:jc w:val="center"/>
                    <w:rPr>
                      <w:bCs/>
                      <w:color w:val="auto"/>
                      <w:sz w:val="21"/>
                      <w:szCs w:val="21"/>
                    </w:rPr>
                  </w:pPr>
                  <w:r>
                    <w:rPr>
                      <w:color w:val="auto"/>
                      <w:sz w:val="21"/>
                      <w:szCs w:val="21"/>
                    </w:rPr>
                    <w:t>化粪池处理</w:t>
                  </w:r>
                </w:p>
              </w:tc>
              <w:tc>
                <w:tcPr>
                  <w:tcW w:w="662" w:type="pct"/>
                  <w:noWrap w:val="0"/>
                  <w:vAlign w:val="center"/>
                </w:tcPr>
                <w:p w14:paraId="4291711B">
                  <w:pPr>
                    <w:snapToGrid w:val="0"/>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705" w:type="pct"/>
                  <w:noWrap w:val="0"/>
                  <w:vAlign w:val="center"/>
                </w:tcPr>
                <w:p w14:paraId="6642B0D6">
                  <w:pPr>
                    <w:snapToGrid w:val="0"/>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582" w:type="pct"/>
                  <w:vMerge w:val="restart"/>
                  <w:noWrap w:val="0"/>
                  <w:vAlign w:val="center"/>
                </w:tcPr>
                <w:p w14:paraId="1CE2170E">
                  <w:pPr>
                    <w:snapToGrid w:val="0"/>
                    <w:jc w:val="center"/>
                    <w:rPr>
                      <w:rFonts w:hint="eastAsia"/>
                      <w:bCs/>
                      <w:color w:val="auto"/>
                      <w:sz w:val="21"/>
                      <w:szCs w:val="21"/>
                      <w:lang w:val="en-US" w:eastAsia="zh-CN"/>
                    </w:rPr>
                  </w:pPr>
                  <w:r>
                    <w:rPr>
                      <w:rFonts w:hint="eastAsia"/>
                      <w:bCs/>
                      <w:color w:val="auto"/>
                      <w:sz w:val="21"/>
                      <w:szCs w:val="21"/>
                      <w:lang w:val="en-US" w:eastAsia="zh-CN"/>
                    </w:rPr>
                    <w:t>用作</w:t>
                  </w:r>
                </w:p>
                <w:p w14:paraId="27A878E3">
                  <w:pPr>
                    <w:snapToGrid w:val="0"/>
                    <w:jc w:val="center"/>
                    <w:rPr>
                      <w:rFonts w:hint="default" w:eastAsia="宋体"/>
                      <w:bCs/>
                      <w:color w:val="auto"/>
                      <w:sz w:val="21"/>
                      <w:szCs w:val="21"/>
                      <w:lang w:val="en-US" w:eastAsia="zh-CN"/>
                    </w:rPr>
                  </w:pPr>
                  <w:r>
                    <w:rPr>
                      <w:rFonts w:hint="eastAsia"/>
                      <w:bCs/>
                      <w:color w:val="auto"/>
                      <w:sz w:val="21"/>
                      <w:szCs w:val="21"/>
                      <w:lang w:val="en-US" w:eastAsia="zh-CN"/>
                    </w:rPr>
                    <w:t>农肥</w:t>
                  </w:r>
                </w:p>
              </w:tc>
            </w:tr>
            <w:tr w14:paraId="4C62C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313" w:type="pct"/>
                  <w:vMerge w:val="continue"/>
                  <w:noWrap w:val="0"/>
                  <w:vAlign w:val="center"/>
                </w:tcPr>
                <w:p w14:paraId="77C77996">
                  <w:pPr>
                    <w:snapToGrid w:val="0"/>
                    <w:jc w:val="center"/>
                    <w:rPr>
                      <w:bCs/>
                      <w:color w:val="auto"/>
                      <w:sz w:val="21"/>
                      <w:szCs w:val="21"/>
                    </w:rPr>
                  </w:pPr>
                </w:p>
              </w:tc>
              <w:tc>
                <w:tcPr>
                  <w:tcW w:w="421" w:type="pct"/>
                  <w:vMerge w:val="continue"/>
                  <w:noWrap w:val="0"/>
                  <w:vAlign w:val="center"/>
                </w:tcPr>
                <w:p w14:paraId="583A406B">
                  <w:pPr>
                    <w:snapToGrid w:val="0"/>
                    <w:jc w:val="center"/>
                    <w:rPr>
                      <w:bCs/>
                      <w:color w:val="auto"/>
                      <w:sz w:val="21"/>
                      <w:szCs w:val="21"/>
                    </w:rPr>
                  </w:pPr>
                </w:p>
              </w:tc>
              <w:tc>
                <w:tcPr>
                  <w:tcW w:w="542" w:type="pct"/>
                  <w:noWrap w:val="0"/>
                  <w:vAlign w:val="center"/>
                </w:tcPr>
                <w:p w14:paraId="24CCFA94">
                  <w:pPr>
                    <w:snapToGrid w:val="0"/>
                    <w:jc w:val="center"/>
                    <w:rPr>
                      <w:bCs/>
                      <w:color w:val="auto"/>
                      <w:sz w:val="21"/>
                      <w:szCs w:val="21"/>
                    </w:rPr>
                  </w:pPr>
                  <w:r>
                    <w:rPr>
                      <w:bCs/>
                      <w:color w:val="auto"/>
                      <w:sz w:val="21"/>
                      <w:szCs w:val="21"/>
                    </w:rPr>
                    <w:t>SS</w:t>
                  </w:r>
                </w:p>
              </w:tc>
              <w:tc>
                <w:tcPr>
                  <w:tcW w:w="705" w:type="pct"/>
                  <w:noWrap w:val="0"/>
                  <w:vAlign w:val="center"/>
                </w:tcPr>
                <w:p w14:paraId="61D46377">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bidi="ar"/>
                    </w:rPr>
                    <w:t>250</w:t>
                  </w:r>
                </w:p>
              </w:tc>
              <w:tc>
                <w:tcPr>
                  <w:tcW w:w="593" w:type="pct"/>
                  <w:noWrap w:val="0"/>
                  <w:vAlign w:val="center"/>
                </w:tcPr>
                <w:p w14:paraId="77A9D2AD">
                  <w:pPr>
                    <w:snapToGrid w:val="0"/>
                    <w:jc w:val="center"/>
                    <w:rPr>
                      <w:rFonts w:hint="default" w:eastAsia="宋体"/>
                      <w:bCs/>
                      <w:color w:val="auto"/>
                      <w:sz w:val="21"/>
                      <w:szCs w:val="21"/>
                      <w:lang w:val="en-US" w:eastAsia="zh-CN"/>
                    </w:rPr>
                  </w:pPr>
                  <w:r>
                    <w:rPr>
                      <w:rFonts w:hint="eastAsia"/>
                      <w:bCs/>
                      <w:color w:val="auto"/>
                      <w:sz w:val="21"/>
                      <w:szCs w:val="21"/>
                      <w:lang w:val="en-US" w:eastAsia="zh-CN"/>
                    </w:rPr>
                    <w:t>0.12</w:t>
                  </w:r>
                </w:p>
              </w:tc>
              <w:tc>
                <w:tcPr>
                  <w:tcW w:w="473" w:type="pct"/>
                  <w:vMerge w:val="continue"/>
                  <w:noWrap w:val="0"/>
                  <w:vAlign w:val="center"/>
                </w:tcPr>
                <w:p w14:paraId="5B99AB35">
                  <w:pPr>
                    <w:snapToGrid w:val="0"/>
                    <w:jc w:val="center"/>
                    <w:rPr>
                      <w:color w:val="auto"/>
                      <w:sz w:val="21"/>
                      <w:szCs w:val="21"/>
                    </w:rPr>
                  </w:pPr>
                </w:p>
              </w:tc>
              <w:tc>
                <w:tcPr>
                  <w:tcW w:w="1155" w:type="dxa"/>
                  <w:noWrap w:val="0"/>
                  <w:vAlign w:val="center"/>
                </w:tcPr>
                <w:p w14:paraId="61C1997F">
                  <w:pPr>
                    <w:snapToGrid w:val="0"/>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1230" w:type="dxa"/>
                  <w:noWrap w:val="0"/>
                  <w:vAlign w:val="center"/>
                </w:tcPr>
                <w:p w14:paraId="745553DF">
                  <w:pPr>
                    <w:snapToGrid w:val="0"/>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582" w:type="pct"/>
                  <w:vMerge w:val="continue"/>
                  <w:noWrap w:val="0"/>
                  <w:vAlign w:val="center"/>
                </w:tcPr>
                <w:p w14:paraId="545E3DE5">
                  <w:pPr>
                    <w:snapToGrid w:val="0"/>
                    <w:jc w:val="center"/>
                    <w:rPr>
                      <w:color w:val="auto"/>
                      <w:sz w:val="21"/>
                      <w:szCs w:val="21"/>
                    </w:rPr>
                  </w:pPr>
                </w:p>
              </w:tc>
            </w:tr>
            <w:tr w14:paraId="58F56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313" w:type="pct"/>
                  <w:vMerge w:val="continue"/>
                  <w:noWrap w:val="0"/>
                  <w:vAlign w:val="center"/>
                </w:tcPr>
                <w:p w14:paraId="41E143C8">
                  <w:pPr>
                    <w:snapToGrid w:val="0"/>
                    <w:jc w:val="center"/>
                    <w:rPr>
                      <w:color w:val="auto"/>
                      <w:sz w:val="21"/>
                      <w:szCs w:val="21"/>
                    </w:rPr>
                  </w:pPr>
                </w:p>
              </w:tc>
              <w:tc>
                <w:tcPr>
                  <w:tcW w:w="421" w:type="pct"/>
                  <w:vMerge w:val="continue"/>
                  <w:noWrap w:val="0"/>
                  <w:vAlign w:val="center"/>
                </w:tcPr>
                <w:p w14:paraId="22B956D7">
                  <w:pPr>
                    <w:snapToGrid w:val="0"/>
                    <w:jc w:val="center"/>
                    <w:rPr>
                      <w:color w:val="auto"/>
                      <w:sz w:val="21"/>
                      <w:szCs w:val="21"/>
                    </w:rPr>
                  </w:pPr>
                </w:p>
              </w:tc>
              <w:tc>
                <w:tcPr>
                  <w:tcW w:w="542" w:type="pct"/>
                  <w:noWrap w:val="0"/>
                  <w:vAlign w:val="center"/>
                </w:tcPr>
                <w:p w14:paraId="6F247B7F">
                  <w:pPr>
                    <w:snapToGrid w:val="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705" w:type="pct"/>
                  <w:noWrap w:val="0"/>
                  <w:vAlign w:val="center"/>
                </w:tcPr>
                <w:p w14:paraId="217280A4">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bidi="ar"/>
                    </w:rPr>
                    <w:t>40</w:t>
                  </w:r>
                </w:p>
              </w:tc>
              <w:tc>
                <w:tcPr>
                  <w:tcW w:w="593" w:type="pct"/>
                  <w:noWrap w:val="0"/>
                  <w:vAlign w:val="center"/>
                </w:tcPr>
                <w:p w14:paraId="2F70BFF3">
                  <w:pPr>
                    <w:snapToGrid w:val="0"/>
                    <w:jc w:val="center"/>
                    <w:rPr>
                      <w:rFonts w:hint="default" w:eastAsia="宋体"/>
                      <w:bCs/>
                      <w:color w:val="auto"/>
                      <w:sz w:val="21"/>
                      <w:szCs w:val="21"/>
                      <w:lang w:val="en-US" w:eastAsia="zh-CN"/>
                    </w:rPr>
                  </w:pPr>
                  <w:r>
                    <w:rPr>
                      <w:rFonts w:hint="eastAsia"/>
                      <w:bCs/>
                      <w:color w:val="auto"/>
                      <w:sz w:val="21"/>
                      <w:szCs w:val="21"/>
                      <w:lang w:val="en-US" w:eastAsia="zh-CN"/>
                    </w:rPr>
                    <w:t>0.0192</w:t>
                  </w:r>
                </w:p>
              </w:tc>
              <w:tc>
                <w:tcPr>
                  <w:tcW w:w="473" w:type="pct"/>
                  <w:vMerge w:val="continue"/>
                  <w:noWrap w:val="0"/>
                  <w:vAlign w:val="center"/>
                </w:tcPr>
                <w:p w14:paraId="0662B033">
                  <w:pPr>
                    <w:snapToGrid w:val="0"/>
                    <w:jc w:val="center"/>
                    <w:rPr>
                      <w:color w:val="auto"/>
                      <w:sz w:val="21"/>
                      <w:szCs w:val="21"/>
                    </w:rPr>
                  </w:pPr>
                </w:p>
              </w:tc>
              <w:tc>
                <w:tcPr>
                  <w:tcW w:w="1155" w:type="dxa"/>
                  <w:noWrap w:val="0"/>
                  <w:vAlign w:val="center"/>
                </w:tcPr>
                <w:p w14:paraId="00F34B1D">
                  <w:pPr>
                    <w:widowControl w:val="0"/>
                    <w:adjustRightInd w:val="0"/>
                    <w:snapToGrid w:val="0"/>
                    <w:spacing w:before="0" w:beforeAutospacing="0" w:after="0" w:afterAutospacing="0" w:line="320" w:lineRule="exact"/>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1230" w:type="dxa"/>
                  <w:noWrap w:val="0"/>
                  <w:vAlign w:val="center"/>
                </w:tcPr>
                <w:p w14:paraId="41D5874C">
                  <w:pPr>
                    <w:snapToGrid w:val="0"/>
                    <w:jc w:val="center"/>
                    <w:rPr>
                      <w:bCs/>
                      <w:color w:val="auto"/>
                      <w:sz w:val="21"/>
                      <w:szCs w:val="21"/>
                    </w:rPr>
                  </w:pPr>
                  <w:r>
                    <w:rPr>
                      <w:rFonts w:hint="eastAsia"/>
                      <w:bCs/>
                      <w:color w:val="auto"/>
                      <w:sz w:val="21"/>
                      <w:szCs w:val="21"/>
                      <w:lang w:val="en-US" w:eastAsia="zh-CN"/>
                    </w:rPr>
                    <w:t>/</w:t>
                  </w:r>
                </w:p>
              </w:tc>
              <w:tc>
                <w:tcPr>
                  <w:tcW w:w="582" w:type="pct"/>
                  <w:vMerge w:val="continue"/>
                  <w:noWrap w:val="0"/>
                  <w:vAlign w:val="center"/>
                </w:tcPr>
                <w:p w14:paraId="61D87A25">
                  <w:pPr>
                    <w:snapToGrid w:val="0"/>
                    <w:jc w:val="center"/>
                    <w:rPr>
                      <w:color w:val="auto"/>
                      <w:sz w:val="21"/>
                      <w:szCs w:val="21"/>
                    </w:rPr>
                  </w:pPr>
                </w:p>
              </w:tc>
            </w:tr>
            <w:tr w14:paraId="5CFED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13" w:type="pct"/>
                  <w:vMerge w:val="continue"/>
                  <w:noWrap w:val="0"/>
                  <w:vAlign w:val="center"/>
                </w:tcPr>
                <w:p w14:paraId="21EBFEB8">
                  <w:pPr>
                    <w:snapToGrid w:val="0"/>
                    <w:jc w:val="center"/>
                    <w:rPr>
                      <w:color w:val="auto"/>
                      <w:sz w:val="21"/>
                      <w:szCs w:val="21"/>
                    </w:rPr>
                  </w:pPr>
                </w:p>
              </w:tc>
              <w:tc>
                <w:tcPr>
                  <w:tcW w:w="421" w:type="pct"/>
                  <w:vMerge w:val="continue"/>
                  <w:noWrap w:val="0"/>
                  <w:vAlign w:val="center"/>
                </w:tcPr>
                <w:p w14:paraId="35AC35D5">
                  <w:pPr>
                    <w:snapToGrid w:val="0"/>
                    <w:jc w:val="center"/>
                    <w:rPr>
                      <w:color w:val="auto"/>
                      <w:sz w:val="21"/>
                      <w:szCs w:val="21"/>
                    </w:rPr>
                  </w:pPr>
                </w:p>
              </w:tc>
              <w:tc>
                <w:tcPr>
                  <w:tcW w:w="542" w:type="pct"/>
                  <w:noWrap w:val="0"/>
                  <w:vAlign w:val="center"/>
                </w:tcPr>
                <w:p w14:paraId="1EB8D4D9">
                  <w:pPr>
                    <w:snapToGrid w:val="0"/>
                    <w:jc w:val="center"/>
                    <w:rPr>
                      <w:bCs/>
                      <w:color w:val="auto"/>
                      <w:sz w:val="21"/>
                      <w:szCs w:val="21"/>
                    </w:rPr>
                  </w:pPr>
                  <w:r>
                    <w:rPr>
                      <w:bCs/>
                      <w:color w:val="auto"/>
                      <w:sz w:val="21"/>
                      <w:szCs w:val="21"/>
                    </w:rPr>
                    <w:t>TP</w:t>
                  </w:r>
                </w:p>
              </w:tc>
              <w:tc>
                <w:tcPr>
                  <w:tcW w:w="705" w:type="pct"/>
                  <w:noWrap w:val="0"/>
                  <w:vAlign w:val="center"/>
                </w:tcPr>
                <w:p w14:paraId="255BD061">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bidi="ar"/>
                    </w:rPr>
                    <w:t>4</w:t>
                  </w:r>
                </w:p>
              </w:tc>
              <w:tc>
                <w:tcPr>
                  <w:tcW w:w="593" w:type="pct"/>
                  <w:noWrap w:val="0"/>
                  <w:vAlign w:val="center"/>
                </w:tcPr>
                <w:p w14:paraId="7C75DC24">
                  <w:pPr>
                    <w:snapToGrid w:val="0"/>
                    <w:jc w:val="center"/>
                    <w:rPr>
                      <w:rFonts w:hint="default" w:eastAsia="宋体"/>
                      <w:bCs/>
                      <w:color w:val="auto"/>
                      <w:sz w:val="21"/>
                      <w:szCs w:val="21"/>
                      <w:lang w:val="en-US" w:eastAsia="zh-CN"/>
                    </w:rPr>
                  </w:pPr>
                  <w:r>
                    <w:rPr>
                      <w:rFonts w:hint="eastAsia"/>
                      <w:bCs/>
                      <w:color w:val="auto"/>
                      <w:sz w:val="21"/>
                      <w:szCs w:val="21"/>
                      <w:lang w:val="en-US" w:eastAsia="zh-CN"/>
                    </w:rPr>
                    <w:t>0.002</w:t>
                  </w:r>
                </w:p>
              </w:tc>
              <w:tc>
                <w:tcPr>
                  <w:tcW w:w="473" w:type="pct"/>
                  <w:vMerge w:val="continue"/>
                  <w:noWrap w:val="0"/>
                  <w:vAlign w:val="center"/>
                </w:tcPr>
                <w:p w14:paraId="004079AB">
                  <w:pPr>
                    <w:snapToGrid w:val="0"/>
                    <w:jc w:val="center"/>
                    <w:rPr>
                      <w:color w:val="auto"/>
                      <w:sz w:val="21"/>
                      <w:szCs w:val="21"/>
                    </w:rPr>
                  </w:pPr>
                </w:p>
              </w:tc>
              <w:tc>
                <w:tcPr>
                  <w:tcW w:w="1155" w:type="dxa"/>
                  <w:noWrap w:val="0"/>
                  <w:vAlign w:val="center"/>
                </w:tcPr>
                <w:p w14:paraId="7B07CEA4">
                  <w:pPr>
                    <w:widowControl w:val="0"/>
                    <w:adjustRightInd w:val="0"/>
                    <w:snapToGrid w:val="0"/>
                    <w:spacing w:before="0" w:beforeAutospacing="0" w:after="0" w:afterAutospacing="0" w:line="320" w:lineRule="exact"/>
                    <w:jc w:val="center"/>
                    <w:rPr>
                      <w:rFonts w:hint="eastAsia" w:eastAsia="宋体"/>
                      <w:bCs/>
                      <w:color w:val="auto"/>
                      <w:sz w:val="21"/>
                      <w:szCs w:val="21"/>
                      <w:lang w:val="en-US" w:eastAsia="zh-CN"/>
                    </w:rPr>
                  </w:pPr>
                  <w:r>
                    <w:rPr>
                      <w:rFonts w:hint="eastAsia"/>
                      <w:bCs/>
                      <w:color w:val="auto"/>
                      <w:sz w:val="21"/>
                      <w:szCs w:val="21"/>
                      <w:lang w:val="en-US" w:eastAsia="zh-CN"/>
                    </w:rPr>
                    <w:t>/</w:t>
                  </w:r>
                </w:p>
              </w:tc>
              <w:tc>
                <w:tcPr>
                  <w:tcW w:w="1230" w:type="dxa"/>
                  <w:noWrap w:val="0"/>
                  <w:vAlign w:val="center"/>
                </w:tcPr>
                <w:p w14:paraId="6F897292">
                  <w:pPr>
                    <w:snapToGrid w:val="0"/>
                    <w:jc w:val="center"/>
                    <w:rPr>
                      <w:rFonts w:hint="eastAsia"/>
                      <w:bCs/>
                      <w:color w:val="auto"/>
                      <w:sz w:val="21"/>
                      <w:szCs w:val="21"/>
                    </w:rPr>
                  </w:pPr>
                  <w:r>
                    <w:rPr>
                      <w:rFonts w:hint="eastAsia"/>
                      <w:bCs/>
                      <w:color w:val="auto"/>
                      <w:sz w:val="21"/>
                      <w:szCs w:val="21"/>
                      <w:lang w:val="en-US" w:eastAsia="zh-CN"/>
                    </w:rPr>
                    <w:t>/</w:t>
                  </w:r>
                </w:p>
              </w:tc>
              <w:tc>
                <w:tcPr>
                  <w:tcW w:w="582" w:type="pct"/>
                  <w:vMerge w:val="continue"/>
                  <w:noWrap w:val="0"/>
                  <w:vAlign w:val="center"/>
                </w:tcPr>
                <w:p w14:paraId="49BF9286">
                  <w:pPr>
                    <w:snapToGrid w:val="0"/>
                    <w:jc w:val="center"/>
                    <w:rPr>
                      <w:color w:val="auto"/>
                      <w:sz w:val="21"/>
                      <w:szCs w:val="21"/>
                    </w:rPr>
                  </w:pPr>
                </w:p>
              </w:tc>
            </w:tr>
            <w:tr w14:paraId="013FC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313" w:type="pct"/>
                  <w:vMerge w:val="continue"/>
                  <w:noWrap w:val="0"/>
                  <w:vAlign w:val="center"/>
                </w:tcPr>
                <w:p w14:paraId="75D74062">
                  <w:pPr>
                    <w:snapToGrid w:val="0"/>
                    <w:jc w:val="center"/>
                    <w:rPr>
                      <w:color w:val="auto"/>
                      <w:sz w:val="21"/>
                      <w:szCs w:val="21"/>
                    </w:rPr>
                  </w:pPr>
                </w:p>
              </w:tc>
              <w:tc>
                <w:tcPr>
                  <w:tcW w:w="421" w:type="pct"/>
                  <w:vMerge w:val="continue"/>
                  <w:noWrap w:val="0"/>
                  <w:vAlign w:val="center"/>
                </w:tcPr>
                <w:p w14:paraId="795C3A1C">
                  <w:pPr>
                    <w:snapToGrid w:val="0"/>
                    <w:jc w:val="center"/>
                    <w:rPr>
                      <w:color w:val="auto"/>
                      <w:sz w:val="21"/>
                      <w:szCs w:val="21"/>
                    </w:rPr>
                  </w:pPr>
                </w:p>
              </w:tc>
              <w:tc>
                <w:tcPr>
                  <w:tcW w:w="542" w:type="pct"/>
                  <w:noWrap w:val="0"/>
                  <w:vAlign w:val="center"/>
                </w:tcPr>
                <w:p w14:paraId="4FC8BF4C">
                  <w:pPr>
                    <w:snapToGrid w:val="0"/>
                    <w:jc w:val="center"/>
                    <w:rPr>
                      <w:bCs/>
                      <w:color w:val="auto"/>
                      <w:sz w:val="21"/>
                      <w:szCs w:val="21"/>
                    </w:rPr>
                  </w:pPr>
                  <w:r>
                    <w:rPr>
                      <w:bCs/>
                      <w:color w:val="auto"/>
                      <w:sz w:val="21"/>
                      <w:szCs w:val="21"/>
                    </w:rPr>
                    <w:t>TN</w:t>
                  </w:r>
                </w:p>
              </w:tc>
              <w:tc>
                <w:tcPr>
                  <w:tcW w:w="705" w:type="pct"/>
                  <w:noWrap w:val="0"/>
                  <w:vAlign w:val="center"/>
                </w:tcPr>
                <w:p w14:paraId="59752F4A">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color w:val="auto"/>
                      <w:sz w:val="21"/>
                      <w:szCs w:val="21"/>
                      <w:lang w:val="en-US" w:eastAsia="zh-CN" w:bidi="ar"/>
                    </w:rPr>
                  </w:pPr>
                  <w:r>
                    <w:rPr>
                      <w:rFonts w:hint="eastAsia" w:ascii="Times New Roman" w:hAnsi="Times New Roman"/>
                      <w:color w:val="auto"/>
                      <w:sz w:val="21"/>
                      <w:szCs w:val="21"/>
                      <w:lang w:val="en-US" w:eastAsia="zh-CN" w:bidi="ar"/>
                    </w:rPr>
                    <w:t>45</w:t>
                  </w:r>
                </w:p>
              </w:tc>
              <w:tc>
                <w:tcPr>
                  <w:tcW w:w="593" w:type="pct"/>
                  <w:noWrap w:val="0"/>
                  <w:vAlign w:val="center"/>
                </w:tcPr>
                <w:p w14:paraId="36A2528E">
                  <w:pPr>
                    <w:snapToGrid w:val="0"/>
                    <w:jc w:val="center"/>
                    <w:rPr>
                      <w:rFonts w:hint="default" w:eastAsia="宋体"/>
                      <w:bCs/>
                      <w:color w:val="auto"/>
                      <w:sz w:val="21"/>
                      <w:szCs w:val="21"/>
                      <w:lang w:val="en-US" w:eastAsia="zh-CN"/>
                    </w:rPr>
                  </w:pPr>
                  <w:r>
                    <w:rPr>
                      <w:rFonts w:hint="eastAsia"/>
                      <w:bCs/>
                      <w:color w:val="auto"/>
                      <w:sz w:val="21"/>
                      <w:szCs w:val="21"/>
                      <w:lang w:val="en-US" w:eastAsia="zh-CN"/>
                    </w:rPr>
                    <w:t>0.0216</w:t>
                  </w:r>
                </w:p>
              </w:tc>
              <w:tc>
                <w:tcPr>
                  <w:tcW w:w="473" w:type="pct"/>
                  <w:vMerge w:val="continue"/>
                  <w:noWrap w:val="0"/>
                  <w:vAlign w:val="center"/>
                </w:tcPr>
                <w:p w14:paraId="6A035734">
                  <w:pPr>
                    <w:snapToGrid w:val="0"/>
                    <w:jc w:val="center"/>
                    <w:rPr>
                      <w:color w:val="auto"/>
                      <w:sz w:val="21"/>
                      <w:szCs w:val="21"/>
                    </w:rPr>
                  </w:pPr>
                </w:p>
              </w:tc>
              <w:tc>
                <w:tcPr>
                  <w:tcW w:w="1155" w:type="dxa"/>
                  <w:noWrap w:val="0"/>
                  <w:vAlign w:val="center"/>
                </w:tcPr>
                <w:p w14:paraId="716AAE00">
                  <w:pPr>
                    <w:widowControl w:val="0"/>
                    <w:adjustRightInd w:val="0"/>
                    <w:snapToGrid w:val="0"/>
                    <w:spacing w:before="0" w:beforeAutospacing="0" w:after="0" w:afterAutospacing="0" w:line="320" w:lineRule="exact"/>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1230" w:type="dxa"/>
                  <w:noWrap w:val="0"/>
                  <w:vAlign w:val="center"/>
                </w:tcPr>
                <w:p w14:paraId="72F07B12">
                  <w:pPr>
                    <w:snapToGrid w:val="0"/>
                    <w:jc w:val="center"/>
                    <w:rPr>
                      <w:rFonts w:hint="eastAsia"/>
                      <w:bCs/>
                      <w:color w:val="auto"/>
                      <w:sz w:val="21"/>
                      <w:szCs w:val="21"/>
                    </w:rPr>
                  </w:pPr>
                  <w:r>
                    <w:rPr>
                      <w:rFonts w:hint="eastAsia"/>
                      <w:bCs/>
                      <w:color w:val="auto"/>
                      <w:sz w:val="21"/>
                      <w:szCs w:val="21"/>
                      <w:lang w:val="en-US" w:eastAsia="zh-CN"/>
                    </w:rPr>
                    <w:t>/</w:t>
                  </w:r>
                </w:p>
              </w:tc>
              <w:tc>
                <w:tcPr>
                  <w:tcW w:w="582" w:type="pct"/>
                  <w:vMerge w:val="continue"/>
                  <w:noWrap w:val="0"/>
                  <w:vAlign w:val="center"/>
                </w:tcPr>
                <w:p w14:paraId="4A07D3F4">
                  <w:pPr>
                    <w:snapToGrid w:val="0"/>
                    <w:jc w:val="center"/>
                    <w:rPr>
                      <w:color w:val="auto"/>
                      <w:sz w:val="21"/>
                      <w:szCs w:val="21"/>
                    </w:rPr>
                  </w:pPr>
                </w:p>
              </w:tc>
            </w:tr>
          </w:tbl>
          <w:p w14:paraId="7C70ACC0">
            <w:pPr>
              <w:numPr>
                <w:ilvl w:val="0"/>
                <w:numId w:val="0"/>
              </w:numPr>
              <w:spacing w:line="360" w:lineRule="auto"/>
              <w:ind w:firstLine="422" w:firstLineChars="200"/>
              <w:rPr>
                <w:rFonts w:hint="eastAsia" w:ascii="Times New Roman" w:hAnsi="Times New Roman" w:eastAsia="宋体" w:cs="Times New Roman"/>
                <w:b/>
                <w:bCs w:val="0"/>
                <w:color w:val="auto"/>
                <w:kern w:val="2"/>
                <w:sz w:val="21"/>
                <w:szCs w:val="21"/>
                <w:lang w:val="zh-CN" w:eastAsia="zh-CN" w:bidi="ar-SA"/>
              </w:rPr>
            </w:pPr>
            <w:r>
              <w:rPr>
                <w:rFonts w:hint="eastAsia" w:ascii="Times New Roman" w:hAnsi="Times New Roman" w:eastAsia="宋体" w:cs="Times New Roman"/>
                <w:b/>
                <w:bCs w:val="0"/>
                <w:color w:val="auto"/>
                <w:kern w:val="2"/>
                <w:sz w:val="21"/>
                <w:szCs w:val="21"/>
                <w:lang w:val="en-US" w:eastAsia="zh-CN" w:bidi="ar-SA"/>
              </w:rPr>
              <w:t>2.2</w:t>
            </w:r>
            <w:r>
              <w:rPr>
                <w:rFonts w:hint="eastAsia" w:ascii="Times New Roman" w:hAnsi="Times New Roman" w:eastAsia="宋体" w:cs="Times New Roman"/>
                <w:b/>
                <w:bCs w:val="0"/>
                <w:color w:val="auto"/>
                <w:kern w:val="2"/>
                <w:sz w:val="21"/>
                <w:szCs w:val="21"/>
                <w:lang w:val="zh-CN" w:eastAsia="zh-CN" w:bidi="ar-SA"/>
              </w:rPr>
              <w:t>废水处理措施可行性分析</w:t>
            </w:r>
          </w:p>
          <w:p w14:paraId="6A5B6056">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zh-CN" w:eastAsia="zh-CN" w:bidi="ar-SA"/>
              </w:rPr>
            </w:pPr>
            <w:r>
              <w:rPr>
                <w:rFonts w:hint="eastAsia" w:ascii="Times New Roman" w:hAnsi="Times New Roman" w:eastAsia="宋体" w:cs="Times New Roman"/>
                <w:bCs/>
                <w:color w:val="auto"/>
                <w:kern w:val="2"/>
                <w:sz w:val="21"/>
                <w:szCs w:val="21"/>
                <w:lang w:val="zh-CN" w:eastAsia="zh-CN" w:bidi="ar-SA"/>
              </w:rPr>
              <w:t>（</w:t>
            </w:r>
            <w:r>
              <w:rPr>
                <w:rFonts w:hint="eastAsia" w:ascii="Times New Roman" w:hAnsi="Times New Roman" w:eastAsia="宋体"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zh-CN" w:eastAsia="zh-CN" w:bidi="ar-SA"/>
              </w:rPr>
              <w:t>）水污染控制和水环境影响减缓措施有效性评价</w:t>
            </w:r>
          </w:p>
          <w:p w14:paraId="1128961B">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生活污水处理工艺可行性分析：</w:t>
            </w:r>
          </w:p>
          <w:p w14:paraId="3A692C37">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zh-CN" w:eastAsia="zh-CN" w:bidi="ar-SA"/>
              </w:rPr>
            </w:pPr>
            <w:r>
              <w:rPr>
                <w:rFonts w:hint="eastAsia" w:ascii="Times New Roman" w:hAnsi="Times New Roman" w:eastAsia="宋体" w:cs="Times New Roman"/>
                <w:bCs/>
                <w:color w:val="auto"/>
                <w:kern w:val="2"/>
                <w:sz w:val="21"/>
                <w:szCs w:val="21"/>
                <w:lang w:val="zh-CN" w:eastAsia="zh-CN" w:bidi="ar-SA"/>
              </w:rPr>
              <w:t>本项目生活污水污染物为COD、SS、氨氮、TP、</w:t>
            </w:r>
            <w:r>
              <w:rPr>
                <w:rFonts w:hint="eastAsia" w:ascii="Times New Roman" w:hAnsi="Times New Roman" w:eastAsia="宋体" w:cs="Times New Roman"/>
                <w:bCs/>
                <w:color w:val="auto"/>
                <w:kern w:val="2"/>
                <w:sz w:val="21"/>
                <w:szCs w:val="21"/>
                <w:lang w:val="en-US" w:eastAsia="zh-CN" w:bidi="ar-SA"/>
              </w:rPr>
              <w:t>TN</w:t>
            </w:r>
            <w:r>
              <w:rPr>
                <w:rFonts w:hint="eastAsia" w:ascii="Times New Roman" w:hAnsi="Times New Roman" w:eastAsia="宋体" w:cs="Times New Roman"/>
                <w:bCs/>
                <w:color w:val="auto"/>
                <w:kern w:val="2"/>
                <w:sz w:val="21"/>
                <w:szCs w:val="21"/>
                <w:lang w:val="zh-CN" w:eastAsia="zh-CN" w:bidi="ar-SA"/>
              </w:rPr>
              <w:t>。本项目拟将生活污水经化粪池预处理后农肥利用。</w:t>
            </w:r>
          </w:p>
          <w:p w14:paraId="5DED3B0A">
            <w:pPr>
              <w:numPr>
                <w:ilvl w:val="0"/>
                <w:numId w:val="0"/>
              </w:numPr>
              <w:spacing w:line="360" w:lineRule="auto"/>
              <w:ind w:firstLine="420" w:firstLineChars="200"/>
              <w:rPr>
                <w:b/>
                <w:bCs/>
                <w:color w:val="auto"/>
                <w:sz w:val="21"/>
                <w:szCs w:val="21"/>
              </w:rPr>
            </w:pPr>
            <w:r>
              <w:rPr>
                <w:rFonts w:hint="eastAsia" w:ascii="Times New Roman" w:hAnsi="Times New Roman" w:eastAsia="宋体" w:cs="Times New Roman"/>
                <w:bCs/>
                <w:color w:val="auto"/>
                <w:kern w:val="2"/>
                <w:sz w:val="21"/>
                <w:szCs w:val="21"/>
                <w:lang w:val="zh-CN" w:eastAsia="zh-CN" w:bidi="ar-SA"/>
              </w:rPr>
              <w:t>化粪池是处理粪便并加以过滤沉淀的设备，其原理是：经分解和澄清后的上层的水化物进入管道流走，下层沉淀的固化物（粪便等垃圾）进一步水解，最后作为污泥被清掏。一般情况下，化粪池对于COD及SS的去除率为</w:t>
            </w:r>
            <w:r>
              <w:rPr>
                <w:rFonts w:hint="eastAsia" w:ascii="Times New Roman" w:hAnsi="Times New Roman" w:eastAsia="宋体"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zh-CN" w:eastAsia="zh-CN" w:bidi="ar-SA"/>
              </w:rPr>
              <w:t>0%左右，对其他污染物去除能力较差。生活污水</w:t>
            </w:r>
            <w:r>
              <w:rPr>
                <w:rFonts w:hint="eastAsia" w:ascii="Times New Roman" w:hAnsi="Times New Roman" w:eastAsia="宋体" w:cs="Times New Roman"/>
                <w:bCs/>
                <w:color w:val="auto"/>
                <w:kern w:val="2"/>
                <w:sz w:val="21"/>
                <w:szCs w:val="21"/>
                <w:lang w:val="en-US" w:eastAsia="zh-CN" w:bidi="ar-SA"/>
              </w:rPr>
              <w:t>量为</w:t>
            </w:r>
            <w:r>
              <w:rPr>
                <w:rFonts w:hint="eastAsia" w:cs="Times New Roman"/>
                <w:bCs/>
                <w:color w:val="auto"/>
                <w:kern w:val="2"/>
                <w:sz w:val="21"/>
                <w:szCs w:val="21"/>
                <w:lang w:val="en-US" w:eastAsia="zh-CN" w:bidi="ar-SA"/>
              </w:rPr>
              <w:t>480</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，平均每天产生生活污水</w:t>
            </w:r>
            <w:r>
              <w:rPr>
                <w:rFonts w:hint="eastAsia" w:cs="Times New Roman"/>
                <w:bCs/>
                <w:color w:val="auto"/>
                <w:kern w:val="2"/>
                <w:sz w:val="21"/>
                <w:szCs w:val="21"/>
                <w:lang w:val="en-US" w:eastAsia="zh-CN" w:bidi="ar-SA"/>
              </w:rPr>
              <w:t>1.6</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，本项目依托租赁方20m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的化粪池可以满足处理要求。</w:t>
            </w:r>
          </w:p>
          <w:p w14:paraId="197B202C">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zh-CN" w:eastAsia="zh-CN" w:bidi="ar-SA"/>
              </w:rPr>
            </w:pPr>
            <w:r>
              <w:rPr>
                <w:rFonts w:hint="eastAsia" w:ascii="Times New Roman" w:hAnsi="Times New Roman" w:eastAsia="宋体" w:cs="Times New Roman"/>
                <w:bCs/>
                <w:color w:val="auto"/>
                <w:kern w:val="2"/>
                <w:sz w:val="21"/>
                <w:szCs w:val="21"/>
                <w:lang w:val="zh-CN" w:eastAsia="zh-CN" w:bidi="ar-SA"/>
              </w:rPr>
              <w:t>农肥利用可行性分析：</w:t>
            </w:r>
          </w:p>
          <w:p w14:paraId="7587B189">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zh-CN" w:eastAsia="zh-CN" w:bidi="ar-SA"/>
              </w:rPr>
            </w:pPr>
            <w:r>
              <w:rPr>
                <w:rFonts w:hint="eastAsia" w:ascii="Times New Roman" w:hAnsi="Times New Roman" w:eastAsia="宋体" w:cs="Times New Roman"/>
                <w:bCs/>
                <w:color w:val="auto"/>
                <w:kern w:val="2"/>
                <w:sz w:val="21"/>
                <w:szCs w:val="21"/>
                <w:lang w:val="zh-CN" w:eastAsia="zh-CN" w:bidi="ar-SA"/>
              </w:rPr>
              <w:t>项目周边有大量农田，在农肥期污水经化粪池预处理后可用于农田施肥，根据《畜禽粪污土地承载力测算技术指南》，种植小麦的土地一亩当季需要农肥4.7吨，种植水稻的土地一亩当季需要农肥5.0吨，根据本地种植特点（上半年种植小麦，下半年种植水稻），项目生活污水量为</w:t>
            </w:r>
            <w:r>
              <w:rPr>
                <w:rFonts w:hint="eastAsia" w:cs="Times New Roman"/>
                <w:bCs/>
                <w:color w:val="auto"/>
                <w:kern w:val="2"/>
                <w:sz w:val="21"/>
                <w:szCs w:val="21"/>
                <w:lang w:val="en-US" w:eastAsia="zh-CN" w:bidi="ar-SA"/>
              </w:rPr>
              <w:t>48</w:t>
            </w:r>
            <w:r>
              <w:rPr>
                <w:rFonts w:hint="eastAsia" w:ascii="Times New Roman" w:hAnsi="Times New Roman" w:eastAsia="宋体" w:cs="Times New Roman"/>
                <w:bCs/>
                <w:color w:val="auto"/>
                <w:kern w:val="2"/>
                <w:sz w:val="21"/>
                <w:szCs w:val="21"/>
                <w:lang w:val="en-US" w:eastAsia="zh-CN" w:bidi="ar-SA"/>
              </w:rPr>
              <w:t>0</w:t>
            </w:r>
            <w:r>
              <w:rPr>
                <w:rFonts w:hint="eastAsia" w:ascii="Times New Roman" w:hAnsi="Times New Roman" w:eastAsia="宋体" w:cs="Times New Roman"/>
                <w:bCs/>
                <w:color w:val="auto"/>
                <w:kern w:val="2"/>
                <w:sz w:val="21"/>
                <w:szCs w:val="21"/>
                <w:lang w:val="zh-CN" w:eastAsia="zh-CN" w:bidi="ar-SA"/>
              </w:rPr>
              <w:t>t/a，则约需要</w:t>
            </w:r>
            <w:r>
              <w:rPr>
                <w:rFonts w:hint="eastAsia" w:cs="Times New Roman"/>
                <w:bCs/>
                <w:color w:val="auto"/>
                <w:kern w:val="2"/>
                <w:sz w:val="21"/>
                <w:szCs w:val="21"/>
                <w:lang w:val="en-US" w:eastAsia="zh-CN" w:bidi="ar-SA"/>
              </w:rPr>
              <w:t>48</w:t>
            </w:r>
            <w:r>
              <w:rPr>
                <w:rFonts w:hint="eastAsia" w:ascii="Times New Roman" w:hAnsi="Times New Roman" w:eastAsia="宋体" w:cs="Times New Roman"/>
                <w:bCs/>
                <w:color w:val="auto"/>
                <w:kern w:val="2"/>
                <w:sz w:val="21"/>
                <w:szCs w:val="21"/>
                <w:lang w:val="zh-CN" w:eastAsia="zh-CN" w:bidi="ar-SA"/>
              </w:rPr>
              <w:t>亩农田容纳本项目产生的农肥。据现场查勘，项目周围农田面积大于</w:t>
            </w:r>
            <w:r>
              <w:rPr>
                <w:rFonts w:hint="eastAsia" w:cs="Times New Roman"/>
                <w:bCs/>
                <w:color w:val="auto"/>
                <w:kern w:val="2"/>
                <w:sz w:val="21"/>
                <w:szCs w:val="21"/>
                <w:lang w:val="en-US" w:eastAsia="zh-CN" w:bidi="ar-SA"/>
              </w:rPr>
              <w:t>48</w:t>
            </w:r>
            <w:r>
              <w:rPr>
                <w:rFonts w:hint="eastAsia" w:ascii="Times New Roman" w:hAnsi="Times New Roman" w:eastAsia="宋体" w:cs="Times New Roman"/>
                <w:bCs/>
                <w:color w:val="auto"/>
                <w:kern w:val="2"/>
                <w:sz w:val="21"/>
                <w:szCs w:val="21"/>
                <w:lang w:val="zh-CN" w:eastAsia="zh-CN" w:bidi="ar-SA"/>
              </w:rPr>
              <w:t>亩，完全能满足本项目产生的农肥。本项目污水使用化粪池及污水暂存池加盖密封暂存，并对化粪池及污水暂存池周边设置绿化带使其与周边建筑物隔开，化粪池定期清理后用于农田施肥。因此本项目对地表水环境影响较小。</w:t>
            </w:r>
          </w:p>
          <w:p w14:paraId="73327280">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zh-CN" w:eastAsia="zh-CN" w:bidi="ar-SA"/>
              </w:rPr>
            </w:pPr>
            <w:r>
              <w:rPr>
                <w:rFonts w:hint="eastAsia" w:ascii="Times New Roman" w:hAnsi="Times New Roman" w:eastAsia="宋体" w:cs="Times New Roman"/>
                <w:bCs/>
                <w:color w:val="auto"/>
                <w:kern w:val="2"/>
                <w:sz w:val="21"/>
                <w:szCs w:val="21"/>
                <w:lang w:val="zh-CN" w:eastAsia="zh-CN" w:bidi="ar-SA"/>
              </w:rPr>
              <w:t>（2）地表水环境影响评价结论</w:t>
            </w:r>
          </w:p>
          <w:p w14:paraId="5ABD655B">
            <w:pPr>
              <w:numPr>
                <w:ilvl w:val="0"/>
                <w:numId w:val="0"/>
              </w:numPr>
              <w:spacing w:line="360" w:lineRule="auto"/>
              <w:ind w:firstLine="420" w:firstLineChars="200"/>
              <w:rPr>
                <w:rFonts w:hint="eastAsia" w:ascii="Times New Roman" w:hAnsi="Times New Roman" w:eastAsia="宋体" w:cs="Times New Roman"/>
                <w:bCs/>
                <w:color w:val="auto"/>
                <w:kern w:val="2"/>
                <w:sz w:val="21"/>
                <w:szCs w:val="21"/>
                <w:lang w:val="zh-CN" w:eastAsia="zh-CN" w:bidi="ar-SA"/>
              </w:rPr>
            </w:pPr>
            <w:r>
              <w:rPr>
                <w:rFonts w:hint="eastAsia" w:ascii="Times New Roman" w:hAnsi="Times New Roman" w:eastAsia="宋体" w:cs="Times New Roman"/>
                <w:bCs/>
                <w:color w:val="auto"/>
                <w:kern w:val="2"/>
                <w:sz w:val="21"/>
                <w:szCs w:val="21"/>
                <w:lang w:val="zh-CN" w:eastAsia="zh-CN" w:bidi="ar-SA"/>
              </w:rPr>
              <w:t>本项目生活污水水质简单，经化粪池处理后可作农肥利用。水污染控制措施有效，对地表水环境影响较小。</w:t>
            </w:r>
          </w:p>
          <w:p w14:paraId="5ECFD3B3">
            <w:pPr>
              <w:spacing w:line="360" w:lineRule="auto"/>
              <w:ind w:firstLine="422" w:firstLineChars="200"/>
              <w:jc w:val="left"/>
              <w:rPr>
                <w:rFonts w:hint="eastAsia"/>
                <w:b/>
                <w:color w:val="auto"/>
                <w:kern w:val="0"/>
                <w:szCs w:val="21"/>
              </w:rPr>
            </w:pPr>
          </w:p>
          <w:p w14:paraId="102537B9">
            <w:pPr>
              <w:spacing w:line="360" w:lineRule="auto"/>
              <w:ind w:firstLine="422" w:firstLineChars="200"/>
              <w:jc w:val="left"/>
              <w:rPr>
                <w:rFonts w:hint="eastAsia"/>
                <w:b/>
                <w:color w:val="auto"/>
                <w:kern w:val="0"/>
                <w:szCs w:val="21"/>
              </w:rPr>
            </w:pPr>
            <w:r>
              <w:rPr>
                <w:rFonts w:hint="eastAsia"/>
                <w:b/>
                <w:color w:val="auto"/>
                <w:kern w:val="0"/>
                <w:szCs w:val="21"/>
              </w:rPr>
              <w:t>3、噪声</w:t>
            </w:r>
          </w:p>
          <w:p w14:paraId="13781EBF">
            <w:pPr>
              <w:spacing w:line="360" w:lineRule="auto"/>
              <w:ind w:firstLine="413" w:firstLineChars="196"/>
              <w:rPr>
                <w:rFonts w:hint="eastAsia"/>
                <w:b/>
                <w:color w:val="auto"/>
                <w:kern w:val="0"/>
                <w:szCs w:val="21"/>
              </w:rPr>
            </w:pPr>
            <w:r>
              <w:rPr>
                <w:rFonts w:hint="eastAsia"/>
                <w:b/>
                <w:color w:val="auto"/>
                <w:kern w:val="0"/>
                <w:szCs w:val="21"/>
              </w:rPr>
              <w:t>3.1源强</w:t>
            </w:r>
          </w:p>
          <w:p w14:paraId="0A91621F">
            <w:pPr>
              <w:adjustRightInd w:val="0"/>
              <w:snapToGrid w:val="0"/>
              <w:spacing w:line="360" w:lineRule="auto"/>
              <w:ind w:firstLine="420" w:firstLineChars="200"/>
              <w:rPr>
                <w:rFonts w:hint="eastAsia" w:hAnsi="宋体"/>
                <w:b/>
                <w:color w:val="auto"/>
              </w:rPr>
            </w:pPr>
            <w:r>
              <w:rPr>
                <w:rFonts w:hint="eastAsia"/>
                <w:color w:val="auto"/>
                <w:kern w:val="0"/>
                <w:szCs w:val="21"/>
              </w:rPr>
              <w:t>营运期</w:t>
            </w:r>
            <w:r>
              <w:rPr>
                <w:color w:val="auto"/>
                <w:kern w:val="0"/>
                <w:szCs w:val="21"/>
              </w:rPr>
              <w:t>噪声主要来源于</w:t>
            </w:r>
            <w:r>
              <w:rPr>
                <w:rFonts w:hint="eastAsia"/>
                <w:color w:val="auto"/>
                <w:kern w:val="0"/>
                <w:szCs w:val="21"/>
              </w:rPr>
              <w:t>空压机、</w:t>
            </w:r>
            <w:r>
              <w:rPr>
                <w:rFonts w:hint="eastAsia"/>
                <w:color w:val="auto"/>
                <w:szCs w:val="21"/>
              </w:rPr>
              <w:t>卧式加工中心</w:t>
            </w:r>
            <w:r>
              <w:rPr>
                <w:rFonts w:hint="eastAsia"/>
                <w:color w:val="auto"/>
                <w:kern w:val="0"/>
                <w:szCs w:val="21"/>
              </w:rPr>
              <w:t>、风机</w:t>
            </w:r>
            <w:r>
              <w:rPr>
                <w:rFonts w:hint="eastAsia"/>
                <w:color w:val="auto"/>
                <w:kern w:val="0"/>
                <w:szCs w:val="21"/>
                <w:shd w:val="clear" w:color="auto" w:fill="FFFFFF"/>
                <w:lang w:bidi="ar"/>
              </w:rPr>
              <w:t>等</w:t>
            </w:r>
            <w:r>
              <w:rPr>
                <w:color w:val="auto"/>
                <w:kern w:val="0"/>
                <w:szCs w:val="21"/>
              </w:rPr>
              <w:t>的</w:t>
            </w:r>
            <w:r>
              <w:rPr>
                <w:rFonts w:hint="eastAsia"/>
                <w:color w:val="auto"/>
                <w:kern w:val="0"/>
                <w:szCs w:val="21"/>
              </w:rPr>
              <w:t>运转</w:t>
            </w:r>
            <w:r>
              <w:rPr>
                <w:color w:val="auto"/>
                <w:kern w:val="0"/>
                <w:szCs w:val="21"/>
              </w:rPr>
              <w:t>噪声，其源强为7</w:t>
            </w:r>
            <w:r>
              <w:rPr>
                <w:rFonts w:hint="eastAsia"/>
                <w:color w:val="auto"/>
                <w:kern w:val="0"/>
                <w:szCs w:val="21"/>
              </w:rPr>
              <w:t>5</w:t>
            </w:r>
            <w:r>
              <w:rPr>
                <w:color w:val="auto"/>
                <w:kern w:val="0"/>
                <w:szCs w:val="21"/>
              </w:rPr>
              <w:t>~</w:t>
            </w:r>
            <w:r>
              <w:rPr>
                <w:rFonts w:hint="eastAsia"/>
                <w:color w:val="auto"/>
                <w:kern w:val="0"/>
                <w:szCs w:val="21"/>
                <w:lang w:val="en-US" w:eastAsia="zh-CN"/>
              </w:rPr>
              <w:t>90</w:t>
            </w:r>
            <w:r>
              <w:rPr>
                <w:color w:val="auto"/>
                <w:kern w:val="0"/>
                <w:szCs w:val="21"/>
              </w:rPr>
              <w:t>dB（A）。</w:t>
            </w:r>
            <w:r>
              <w:rPr>
                <w:rFonts w:hint="eastAsia" w:hAnsi="宋体"/>
                <w:color w:val="auto"/>
              </w:rPr>
              <w:t>建设项目主要高噪声设备和所在位置见下表。</w:t>
            </w:r>
          </w:p>
          <w:p w14:paraId="6D73F839">
            <w:pPr>
              <w:jc w:val="center"/>
              <w:rPr>
                <w:b/>
                <w:color w:val="auto"/>
                <w:sz w:val="24"/>
              </w:rPr>
            </w:pPr>
            <w:r>
              <w:rPr>
                <w:rFonts w:hint="eastAsia" w:hAnsi="宋体"/>
                <w:b/>
                <w:color w:val="auto"/>
              </w:rPr>
              <w:t>表4-</w:t>
            </w:r>
            <w:r>
              <w:rPr>
                <w:rFonts w:hint="eastAsia" w:hAnsi="宋体"/>
                <w:b/>
                <w:color w:val="auto"/>
                <w:lang w:val="en-US" w:eastAsia="zh-CN"/>
              </w:rPr>
              <w:t>2</w:t>
            </w:r>
            <w:r>
              <w:rPr>
                <w:rFonts w:hAnsi="宋体"/>
                <w:b/>
                <w:color w:val="auto"/>
              </w:rPr>
              <w:t>项目</w:t>
            </w:r>
            <w:r>
              <w:rPr>
                <w:rFonts w:hint="eastAsia" w:hAnsi="宋体"/>
                <w:b/>
                <w:color w:val="auto"/>
              </w:rPr>
              <w:t>室外</w:t>
            </w:r>
            <w:r>
              <w:rPr>
                <w:rFonts w:hAnsi="宋体"/>
                <w:b/>
                <w:color w:val="auto"/>
              </w:rPr>
              <w:t>噪声源一览表</w:t>
            </w:r>
          </w:p>
          <w:tbl>
            <w:tblPr>
              <w:tblStyle w:val="25"/>
              <w:tblW w:w="86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468"/>
              <w:gridCol w:w="953"/>
              <w:gridCol w:w="932"/>
              <w:gridCol w:w="734"/>
              <w:gridCol w:w="735"/>
              <w:gridCol w:w="1153"/>
              <w:gridCol w:w="917"/>
              <w:gridCol w:w="1158"/>
            </w:tblGrid>
            <w:tr w14:paraId="11989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60" w:type="pct"/>
                  <w:vMerge w:val="restart"/>
                  <w:noWrap w:val="0"/>
                  <w:vAlign w:val="center"/>
                </w:tcPr>
                <w:p w14:paraId="1232E677">
                  <w:pPr>
                    <w:widowControl/>
                    <w:jc w:val="center"/>
                    <w:rPr>
                      <w:b/>
                      <w:bCs/>
                      <w:color w:val="auto"/>
                      <w:kern w:val="0"/>
                      <w:sz w:val="21"/>
                      <w:szCs w:val="21"/>
                    </w:rPr>
                  </w:pPr>
                  <w:r>
                    <w:rPr>
                      <w:rFonts w:hint="eastAsia"/>
                      <w:b/>
                      <w:bCs/>
                      <w:color w:val="auto"/>
                      <w:kern w:val="0"/>
                      <w:sz w:val="21"/>
                      <w:szCs w:val="21"/>
                    </w:rPr>
                    <w:t>序号</w:t>
                  </w:r>
                </w:p>
              </w:tc>
              <w:tc>
                <w:tcPr>
                  <w:tcW w:w="846" w:type="pct"/>
                  <w:vMerge w:val="restart"/>
                  <w:noWrap w:val="0"/>
                  <w:vAlign w:val="center"/>
                </w:tcPr>
                <w:p w14:paraId="47328E53">
                  <w:pPr>
                    <w:widowControl/>
                    <w:jc w:val="center"/>
                    <w:rPr>
                      <w:b/>
                      <w:bCs/>
                      <w:color w:val="auto"/>
                      <w:kern w:val="0"/>
                      <w:sz w:val="21"/>
                      <w:szCs w:val="21"/>
                    </w:rPr>
                  </w:pPr>
                  <w:r>
                    <w:rPr>
                      <w:b/>
                      <w:bCs/>
                      <w:color w:val="auto"/>
                      <w:kern w:val="0"/>
                      <w:sz w:val="21"/>
                      <w:szCs w:val="21"/>
                    </w:rPr>
                    <w:t>声源名称</w:t>
                  </w:r>
                </w:p>
              </w:tc>
              <w:tc>
                <w:tcPr>
                  <w:tcW w:w="549" w:type="pct"/>
                  <w:vMerge w:val="restart"/>
                  <w:noWrap w:val="0"/>
                  <w:vAlign w:val="center"/>
                </w:tcPr>
                <w:p w14:paraId="1B01A528">
                  <w:pPr>
                    <w:jc w:val="center"/>
                    <w:rPr>
                      <w:b/>
                      <w:bCs/>
                      <w:color w:val="auto"/>
                      <w:kern w:val="0"/>
                      <w:sz w:val="21"/>
                      <w:szCs w:val="21"/>
                    </w:rPr>
                  </w:pPr>
                  <w:r>
                    <w:rPr>
                      <w:rFonts w:hint="eastAsia"/>
                      <w:b/>
                      <w:bCs/>
                      <w:color w:val="auto"/>
                      <w:kern w:val="0"/>
                      <w:sz w:val="21"/>
                      <w:szCs w:val="21"/>
                    </w:rPr>
                    <w:t>型号</w:t>
                  </w:r>
                </w:p>
              </w:tc>
              <w:tc>
                <w:tcPr>
                  <w:tcW w:w="1383" w:type="pct"/>
                  <w:gridSpan w:val="3"/>
                  <w:noWrap w:val="0"/>
                  <w:vAlign w:val="center"/>
                </w:tcPr>
                <w:p w14:paraId="50DDAAE1">
                  <w:pPr>
                    <w:widowControl/>
                    <w:jc w:val="center"/>
                    <w:rPr>
                      <w:b/>
                      <w:bCs/>
                      <w:color w:val="auto"/>
                      <w:kern w:val="0"/>
                      <w:sz w:val="21"/>
                      <w:szCs w:val="21"/>
                    </w:rPr>
                  </w:pPr>
                  <w:r>
                    <w:rPr>
                      <w:rFonts w:hint="eastAsia"/>
                      <w:b/>
                      <w:bCs/>
                      <w:color w:val="auto"/>
                      <w:kern w:val="0"/>
                      <w:sz w:val="21"/>
                      <w:szCs w:val="21"/>
                    </w:rPr>
                    <w:t>空间</w:t>
                  </w:r>
                  <w:r>
                    <w:rPr>
                      <w:b/>
                      <w:bCs/>
                      <w:color w:val="auto"/>
                      <w:kern w:val="0"/>
                      <w:sz w:val="21"/>
                      <w:szCs w:val="21"/>
                    </w:rPr>
                    <w:t>相对位置m</w:t>
                  </w:r>
                </w:p>
              </w:tc>
              <w:tc>
                <w:tcPr>
                  <w:tcW w:w="664" w:type="pct"/>
                  <w:noWrap w:val="0"/>
                  <w:vAlign w:val="center"/>
                </w:tcPr>
                <w:p w14:paraId="43CAD001">
                  <w:pPr>
                    <w:widowControl/>
                    <w:jc w:val="center"/>
                    <w:rPr>
                      <w:b/>
                      <w:bCs/>
                      <w:color w:val="auto"/>
                      <w:kern w:val="0"/>
                      <w:sz w:val="21"/>
                      <w:szCs w:val="21"/>
                    </w:rPr>
                  </w:pPr>
                  <w:r>
                    <w:rPr>
                      <w:b/>
                      <w:bCs/>
                      <w:color w:val="auto"/>
                      <w:kern w:val="0"/>
                      <w:sz w:val="21"/>
                      <w:szCs w:val="21"/>
                    </w:rPr>
                    <w:t>声源源强</w:t>
                  </w:r>
                </w:p>
              </w:tc>
              <w:tc>
                <w:tcPr>
                  <w:tcW w:w="528" w:type="pct"/>
                  <w:vMerge w:val="restart"/>
                  <w:noWrap w:val="0"/>
                  <w:vAlign w:val="center"/>
                </w:tcPr>
                <w:p w14:paraId="5C429739">
                  <w:pPr>
                    <w:widowControl/>
                    <w:jc w:val="center"/>
                    <w:rPr>
                      <w:b/>
                      <w:bCs/>
                      <w:color w:val="auto"/>
                      <w:kern w:val="0"/>
                      <w:sz w:val="21"/>
                      <w:szCs w:val="21"/>
                    </w:rPr>
                  </w:pPr>
                  <w:r>
                    <w:rPr>
                      <w:rFonts w:hint="eastAsia"/>
                      <w:b/>
                      <w:bCs/>
                      <w:color w:val="auto"/>
                      <w:kern w:val="0"/>
                      <w:sz w:val="21"/>
                      <w:szCs w:val="21"/>
                    </w:rPr>
                    <w:t>声源控制</w:t>
                  </w:r>
                  <w:r>
                    <w:rPr>
                      <w:b/>
                      <w:bCs/>
                      <w:color w:val="auto"/>
                      <w:kern w:val="0"/>
                      <w:sz w:val="21"/>
                      <w:szCs w:val="21"/>
                    </w:rPr>
                    <w:t>措施</w:t>
                  </w:r>
                </w:p>
              </w:tc>
              <w:tc>
                <w:tcPr>
                  <w:tcW w:w="667" w:type="pct"/>
                  <w:vMerge w:val="restart"/>
                  <w:noWrap w:val="0"/>
                  <w:vAlign w:val="center"/>
                </w:tcPr>
                <w:p w14:paraId="2D81F465">
                  <w:pPr>
                    <w:widowControl/>
                    <w:jc w:val="center"/>
                    <w:rPr>
                      <w:b/>
                      <w:bCs/>
                      <w:color w:val="auto"/>
                      <w:kern w:val="0"/>
                      <w:sz w:val="21"/>
                      <w:szCs w:val="21"/>
                    </w:rPr>
                  </w:pPr>
                  <w:r>
                    <w:rPr>
                      <w:rFonts w:hint="eastAsia"/>
                      <w:b/>
                      <w:bCs/>
                      <w:color w:val="auto"/>
                      <w:kern w:val="0"/>
                      <w:sz w:val="21"/>
                      <w:szCs w:val="21"/>
                    </w:rPr>
                    <w:t>运行</w:t>
                  </w:r>
                  <w:r>
                    <w:rPr>
                      <w:b/>
                      <w:bCs/>
                      <w:color w:val="auto"/>
                      <w:kern w:val="0"/>
                      <w:sz w:val="21"/>
                      <w:szCs w:val="21"/>
                    </w:rPr>
                    <w:t>时段</w:t>
                  </w:r>
                </w:p>
              </w:tc>
            </w:tr>
            <w:tr w14:paraId="7523B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60" w:type="pct"/>
                  <w:vMerge w:val="continue"/>
                  <w:noWrap w:val="0"/>
                  <w:vAlign w:val="center"/>
                </w:tcPr>
                <w:p w14:paraId="4A6161BC">
                  <w:pPr>
                    <w:widowControl/>
                    <w:jc w:val="center"/>
                    <w:rPr>
                      <w:color w:val="auto"/>
                      <w:kern w:val="0"/>
                      <w:sz w:val="21"/>
                      <w:szCs w:val="21"/>
                    </w:rPr>
                  </w:pPr>
                </w:p>
              </w:tc>
              <w:tc>
                <w:tcPr>
                  <w:tcW w:w="846" w:type="pct"/>
                  <w:vMerge w:val="continue"/>
                  <w:noWrap w:val="0"/>
                  <w:vAlign w:val="center"/>
                </w:tcPr>
                <w:p w14:paraId="6EBC1421">
                  <w:pPr>
                    <w:widowControl/>
                    <w:jc w:val="center"/>
                    <w:rPr>
                      <w:color w:val="auto"/>
                      <w:kern w:val="0"/>
                      <w:sz w:val="21"/>
                      <w:szCs w:val="21"/>
                    </w:rPr>
                  </w:pPr>
                </w:p>
              </w:tc>
              <w:tc>
                <w:tcPr>
                  <w:tcW w:w="549" w:type="pct"/>
                  <w:vMerge w:val="continue"/>
                  <w:noWrap w:val="0"/>
                  <w:vAlign w:val="center"/>
                </w:tcPr>
                <w:p w14:paraId="0D72D434">
                  <w:pPr>
                    <w:widowControl/>
                    <w:jc w:val="center"/>
                    <w:rPr>
                      <w:color w:val="auto"/>
                      <w:kern w:val="0"/>
                      <w:sz w:val="21"/>
                      <w:szCs w:val="21"/>
                    </w:rPr>
                  </w:pPr>
                </w:p>
              </w:tc>
              <w:tc>
                <w:tcPr>
                  <w:tcW w:w="537" w:type="pct"/>
                  <w:noWrap w:val="0"/>
                  <w:vAlign w:val="center"/>
                </w:tcPr>
                <w:p w14:paraId="3290970E">
                  <w:pPr>
                    <w:widowControl/>
                    <w:jc w:val="center"/>
                    <w:rPr>
                      <w:b/>
                      <w:bCs/>
                      <w:color w:val="auto"/>
                      <w:kern w:val="0"/>
                      <w:sz w:val="21"/>
                      <w:szCs w:val="21"/>
                    </w:rPr>
                  </w:pPr>
                  <w:r>
                    <w:rPr>
                      <w:rFonts w:hint="eastAsia"/>
                      <w:b/>
                      <w:bCs/>
                      <w:color w:val="auto"/>
                      <w:kern w:val="0"/>
                      <w:sz w:val="21"/>
                      <w:szCs w:val="21"/>
                    </w:rPr>
                    <w:t>X</w:t>
                  </w:r>
                </w:p>
              </w:tc>
              <w:tc>
                <w:tcPr>
                  <w:tcW w:w="423" w:type="pct"/>
                  <w:noWrap w:val="0"/>
                  <w:vAlign w:val="center"/>
                </w:tcPr>
                <w:p w14:paraId="36EB8E5B">
                  <w:pPr>
                    <w:widowControl/>
                    <w:jc w:val="center"/>
                    <w:rPr>
                      <w:b/>
                      <w:bCs/>
                      <w:color w:val="auto"/>
                      <w:kern w:val="0"/>
                      <w:sz w:val="21"/>
                      <w:szCs w:val="21"/>
                    </w:rPr>
                  </w:pPr>
                  <w:r>
                    <w:rPr>
                      <w:rFonts w:hint="eastAsia"/>
                      <w:b/>
                      <w:bCs/>
                      <w:color w:val="auto"/>
                      <w:kern w:val="0"/>
                      <w:sz w:val="21"/>
                      <w:szCs w:val="21"/>
                    </w:rPr>
                    <w:t>Y</w:t>
                  </w:r>
                </w:p>
              </w:tc>
              <w:tc>
                <w:tcPr>
                  <w:tcW w:w="423" w:type="pct"/>
                  <w:noWrap w:val="0"/>
                  <w:vAlign w:val="center"/>
                </w:tcPr>
                <w:p w14:paraId="262F05AA">
                  <w:pPr>
                    <w:widowControl/>
                    <w:jc w:val="center"/>
                    <w:rPr>
                      <w:b/>
                      <w:bCs/>
                      <w:color w:val="auto"/>
                      <w:kern w:val="0"/>
                      <w:sz w:val="21"/>
                      <w:szCs w:val="21"/>
                    </w:rPr>
                  </w:pPr>
                  <w:r>
                    <w:rPr>
                      <w:rFonts w:hint="eastAsia"/>
                      <w:b/>
                      <w:bCs/>
                      <w:color w:val="auto"/>
                      <w:kern w:val="0"/>
                      <w:sz w:val="21"/>
                      <w:szCs w:val="21"/>
                    </w:rPr>
                    <w:t>Z</w:t>
                  </w:r>
                </w:p>
              </w:tc>
              <w:tc>
                <w:tcPr>
                  <w:tcW w:w="664" w:type="pct"/>
                  <w:noWrap w:val="0"/>
                  <w:vAlign w:val="center"/>
                </w:tcPr>
                <w:p w14:paraId="3072A29C">
                  <w:pPr>
                    <w:widowControl/>
                    <w:jc w:val="center"/>
                    <w:rPr>
                      <w:b/>
                      <w:bCs/>
                      <w:color w:val="auto"/>
                      <w:kern w:val="0"/>
                      <w:sz w:val="21"/>
                      <w:szCs w:val="21"/>
                    </w:rPr>
                  </w:pPr>
                  <w:r>
                    <w:rPr>
                      <w:b/>
                      <w:bCs/>
                      <w:color w:val="auto"/>
                      <w:kern w:val="0"/>
                      <w:sz w:val="21"/>
                      <w:szCs w:val="21"/>
                    </w:rPr>
                    <w:t>声功率级dB(A)</w:t>
                  </w:r>
                </w:p>
              </w:tc>
              <w:tc>
                <w:tcPr>
                  <w:tcW w:w="528" w:type="pct"/>
                  <w:vMerge w:val="continue"/>
                  <w:noWrap w:val="0"/>
                  <w:vAlign w:val="center"/>
                </w:tcPr>
                <w:p w14:paraId="7D7F3237">
                  <w:pPr>
                    <w:widowControl/>
                    <w:jc w:val="center"/>
                    <w:rPr>
                      <w:color w:val="auto"/>
                      <w:kern w:val="0"/>
                      <w:sz w:val="21"/>
                      <w:szCs w:val="21"/>
                    </w:rPr>
                  </w:pPr>
                </w:p>
              </w:tc>
              <w:tc>
                <w:tcPr>
                  <w:tcW w:w="667" w:type="pct"/>
                  <w:vMerge w:val="continue"/>
                  <w:noWrap w:val="0"/>
                  <w:vAlign w:val="center"/>
                </w:tcPr>
                <w:p w14:paraId="099B0159">
                  <w:pPr>
                    <w:widowControl/>
                    <w:jc w:val="center"/>
                    <w:rPr>
                      <w:color w:val="auto"/>
                      <w:kern w:val="0"/>
                      <w:sz w:val="21"/>
                      <w:szCs w:val="21"/>
                    </w:rPr>
                  </w:pPr>
                </w:p>
              </w:tc>
            </w:tr>
            <w:tr w14:paraId="277D4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60" w:type="pct"/>
                  <w:noWrap w:val="0"/>
                  <w:vAlign w:val="center"/>
                </w:tcPr>
                <w:p w14:paraId="2AC3EC6E">
                  <w:pPr>
                    <w:widowControl/>
                    <w:jc w:val="center"/>
                    <w:rPr>
                      <w:rFonts w:hint="eastAsia"/>
                      <w:color w:val="auto"/>
                      <w:kern w:val="0"/>
                      <w:sz w:val="21"/>
                      <w:szCs w:val="21"/>
                    </w:rPr>
                  </w:pPr>
                  <w:r>
                    <w:rPr>
                      <w:rFonts w:hint="eastAsia"/>
                      <w:color w:val="auto"/>
                      <w:kern w:val="0"/>
                      <w:sz w:val="21"/>
                      <w:szCs w:val="21"/>
                    </w:rPr>
                    <w:t>1</w:t>
                  </w:r>
                </w:p>
              </w:tc>
              <w:tc>
                <w:tcPr>
                  <w:tcW w:w="846" w:type="pct"/>
                  <w:noWrap w:val="0"/>
                  <w:vAlign w:val="center"/>
                </w:tcPr>
                <w:p w14:paraId="603256F2">
                  <w:pPr>
                    <w:widowControl/>
                    <w:jc w:val="center"/>
                    <w:rPr>
                      <w:rFonts w:hint="eastAsia"/>
                      <w:color w:val="auto"/>
                      <w:kern w:val="0"/>
                      <w:sz w:val="21"/>
                      <w:szCs w:val="21"/>
                    </w:rPr>
                  </w:pPr>
                  <w:r>
                    <w:rPr>
                      <w:rFonts w:hint="eastAsia"/>
                      <w:color w:val="auto"/>
                      <w:kern w:val="0"/>
                      <w:sz w:val="21"/>
                      <w:szCs w:val="21"/>
                      <w:lang w:val="en-US" w:eastAsia="zh-CN"/>
                    </w:rPr>
                    <w:t>DA001</w:t>
                  </w:r>
                  <w:r>
                    <w:rPr>
                      <w:rFonts w:hint="eastAsia"/>
                      <w:color w:val="auto"/>
                      <w:kern w:val="0"/>
                      <w:sz w:val="21"/>
                      <w:szCs w:val="21"/>
                    </w:rPr>
                    <w:t>风机</w:t>
                  </w:r>
                </w:p>
              </w:tc>
              <w:tc>
                <w:tcPr>
                  <w:tcW w:w="549" w:type="pct"/>
                  <w:noWrap w:val="0"/>
                  <w:vAlign w:val="center"/>
                </w:tcPr>
                <w:p w14:paraId="0DA59F55">
                  <w:pPr>
                    <w:widowControl/>
                    <w:jc w:val="center"/>
                    <w:rPr>
                      <w:rFonts w:hint="eastAsia"/>
                      <w:color w:val="auto"/>
                      <w:kern w:val="0"/>
                      <w:sz w:val="21"/>
                      <w:szCs w:val="21"/>
                    </w:rPr>
                  </w:pPr>
                  <w:r>
                    <w:rPr>
                      <w:rFonts w:hint="eastAsia"/>
                      <w:color w:val="auto"/>
                      <w:kern w:val="0"/>
                      <w:sz w:val="21"/>
                      <w:szCs w:val="21"/>
                    </w:rPr>
                    <w:t>--</w:t>
                  </w:r>
                </w:p>
              </w:tc>
              <w:tc>
                <w:tcPr>
                  <w:tcW w:w="537" w:type="pct"/>
                  <w:noWrap w:val="0"/>
                  <w:vAlign w:val="center"/>
                </w:tcPr>
                <w:p w14:paraId="718FCA6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423" w:type="pct"/>
                  <w:noWrap w:val="0"/>
                  <w:vAlign w:val="center"/>
                </w:tcPr>
                <w:p w14:paraId="5ACCD65C">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-33</w:t>
                  </w:r>
                </w:p>
              </w:tc>
              <w:tc>
                <w:tcPr>
                  <w:tcW w:w="423" w:type="pct"/>
                  <w:noWrap w:val="0"/>
                  <w:vAlign w:val="center"/>
                </w:tcPr>
                <w:p w14:paraId="17EE57B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1.5</w:t>
                  </w:r>
                </w:p>
              </w:tc>
              <w:tc>
                <w:tcPr>
                  <w:tcW w:w="664" w:type="pct"/>
                  <w:noWrap w:val="0"/>
                  <w:vAlign w:val="center"/>
                </w:tcPr>
                <w:p w14:paraId="7A683276">
                  <w:pPr>
                    <w:jc w:val="center"/>
                    <w:rPr>
                      <w:rFonts w:hint="eastAsia"/>
                      <w:color w:val="auto"/>
                      <w:kern w:val="0"/>
                      <w:sz w:val="21"/>
                      <w:szCs w:val="21"/>
                    </w:rPr>
                  </w:pPr>
                  <w:r>
                    <w:rPr>
                      <w:rFonts w:hint="eastAsia"/>
                      <w:color w:val="auto"/>
                      <w:kern w:val="0"/>
                      <w:sz w:val="21"/>
                      <w:szCs w:val="21"/>
                    </w:rPr>
                    <w:t>85</w:t>
                  </w:r>
                </w:p>
              </w:tc>
              <w:tc>
                <w:tcPr>
                  <w:tcW w:w="528" w:type="pct"/>
                  <w:vMerge w:val="restart"/>
                  <w:noWrap w:val="0"/>
                  <w:vAlign w:val="center"/>
                </w:tcPr>
                <w:p w14:paraId="24182386">
                  <w:pPr>
                    <w:jc w:val="center"/>
                    <w:rPr>
                      <w:rFonts w:hint="eastAsia"/>
                      <w:color w:val="auto"/>
                      <w:kern w:val="0"/>
                      <w:sz w:val="21"/>
                      <w:szCs w:val="21"/>
                    </w:rPr>
                  </w:pPr>
                  <w:r>
                    <w:rPr>
                      <w:color w:val="auto"/>
                      <w:kern w:val="0"/>
                      <w:sz w:val="21"/>
                      <w:szCs w:val="21"/>
                    </w:rPr>
                    <w:t>基础减震</w:t>
                  </w:r>
                  <w:r>
                    <w:rPr>
                      <w:rFonts w:hint="eastAsia"/>
                      <w:color w:val="auto"/>
                      <w:kern w:val="0"/>
                      <w:sz w:val="21"/>
                      <w:szCs w:val="21"/>
                    </w:rPr>
                    <w:t>、距离衰减</w:t>
                  </w:r>
                </w:p>
              </w:tc>
              <w:tc>
                <w:tcPr>
                  <w:tcW w:w="667" w:type="pct"/>
                  <w:noWrap w:val="0"/>
                  <w:vAlign w:val="center"/>
                </w:tcPr>
                <w:p w14:paraId="2643B056">
                  <w:pPr>
                    <w:jc w:val="center"/>
                    <w:rPr>
                      <w:color w:val="auto"/>
                      <w:sz w:val="21"/>
                      <w:szCs w:val="21"/>
                    </w:rPr>
                  </w:pPr>
                  <w:r>
                    <w:rPr>
                      <w:color w:val="auto"/>
                      <w:kern w:val="0"/>
                      <w:sz w:val="21"/>
                      <w:szCs w:val="21"/>
                    </w:rPr>
                    <w:t>8:00</w:t>
                  </w:r>
                  <w:r>
                    <w:rPr>
                      <w:color w:val="auto"/>
                      <w:sz w:val="21"/>
                      <w:szCs w:val="21"/>
                    </w:rPr>
                    <w:t>-</w:t>
                  </w:r>
                  <w:r>
                    <w:rPr>
                      <w:rFonts w:hint="eastAsia"/>
                      <w:color w:val="auto"/>
                      <w:sz w:val="21"/>
                      <w:szCs w:val="21"/>
                      <w:lang w:val="en-US" w:eastAsia="zh-CN"/>
                    </w:rPr>
                    <w:t>24</w:t>
                  </w:r>
                  <w:r>
                    <w:rPr>
                      <w:color w:val="auto"/>
                      <w:kern w:val="0"/>
                      <w:sz w:val="21"/>
                      <w:szCs w:val="21"/>
                    </w:rPr>
                    <w:t>:</w:t>
                  </w:r>
                  <w:r>
                    <w:rPr>
                      <w:color w:val="auto"/>
                      <w:sz w:val="21"/>
                      <w:szCs w:val="21"/>
                    </w:rPr>
                    <w:t>00</w:t>
                  </w:r>
                </w:p>
              </w:tc>
            </w:tr>
            <w:tr w14:paraId="1F276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60" w:type="pct"/>
                  <w:noWrap w:val="0"/>
                  <w:vAlign w:val="center"/>
                </w:tcPr>
                <w:p w14:paraId="3EBBE333">
                  <w:pPr>
                    <w:widowControl/>
                    <w:jc w:val="center"/>
                    <w:rPr>
                      <w:rFonts w:hint="eastAsia"/>
                      <w:color w:val="auto"/>
                      <w:kern w:val="0"/>
                      <w:sz w:val="21"/>
                      <w:szCs w:val="21"/>
                    </w:rPr>
                  </w:pPr>
                  <w:r>
                    <w:rPr>
                      <w:rFonts w:hint="eastAsia"/>
                      <w:color w:val="auto"/>
                      <w:kern w:val="0"/>
                      <w:sz w:val="21"/>
                      <w:szCs w:val="21"/>
                    </w:rPr>
                    <w:t>2</w:t>
                  </w:r>
                </w:p>
              </w:tc>
              <w:tc>
                <w:tcPr>
                  <w:tcW w:w="846" w:type="pct"/>
                  <w:noWrap w:val="0"/>
                  <w:vAlign w:val="center"/>
                </w:tcPr>
                <w:p w14:paraId="024F1547">
                  <w:pPr>
                    <w:widowControl/>
                    <w:jc w:val="center"/>
                    <w:rPr>
                      <w:rFonts w:hint="eastAsia"/>
                      <w:color w:val="auto"/>
                      <w:kern w:val="0"/>
                      <w:sz w:val="21"/>
                      <w:szCs w:val="21"/>
                    </w:rPr>
                  </w:pPr>
                  <w:r>
                    <w:rPr>
                      <w:rFonts w:hint="eastAsia"/>
                      <w:color w:val="auto"/>
                      <w:kern w:val="0"/>
                      <w:sz w:val="21"/>
                      <w:szCs w:val="21"/>
                      <w:lang w:val="en-US" w:eastAsia="zh-CN"/>
                    </w:rPr>
                    <w:t>DA002</w:t>
                  </w:r>
                  <w:r>
                    <w:rPr>
                      <w:rFonts w:hint="eastAsia"/>
                      <w:color w:val="auto"/>
                      <w:kern w:val="0"/>
                      <w:sz w:val="21"/>
                      <w:szCs w:val="21"/>
                    </w:rPr>
                    <w:t>风机</w:t>
                  </w:r>
                </w:p>
              </w:tc>
              <w:tc>
                <w:tcPr>
                  <w:tcW w:w="549" w:type="pct"/>
                  <w:noWrap w:val="0"/>
                  <w:vAlign w:val="center"/>
                </w:tcPr>
                <w:p w14:paraId="47A45808">
                  <w:pPr>
                    <w:widowControl/>
                    <w:jc w:val="center"/>
                    <w:rPr>
                      <w:rFonts w:hint="eastAsia"/>
                      <w:color w:val="auto"/>
                      <w:kern w:val="0"/>
                      <w:sz w:val="21"/>
                      <w:szCs w:val="21"/>
                    </w:rPr>
                  </w:pPr>
                  <w:r>
                    <w:rPr>
                      <w:rFonts w:hint="eastAsia"/>
                      <w:color w:val="auto"/>
                      <w:kern w:val="0"/>
                      <w:sz w:val="21"/>
                      <w:szCs w:val="21"/>
                    </w:rPr>
                    <w:t>--</w:t>
                  </w:r>
                </w:p>
              </w:tc>
              <w:tc>
                <w:tcPr>
                  <w:tcW w:w="537" w:type="pct"/>
                  <w:noWrap w:val="0"/>
                  <w:vAlign w:val="center"/>
                </w:tcPr>
                <w:p w14:paraId="4539692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0</w:t>
                  </w:r>
                </w:p>
              </w:tc>
              <w:tc>
                <w:tcPr>
                  <w:tcW w:w="423" w:type="pct"/>
                  <w:noWrap w:val="0"/>
                  <w:vAlign w:val="center"/>
                </w:tcPr>
                <w:p w14:paraId="39B00DC6">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-33</w:t>
                  </w:r>
                </w:p>
              </w:tc>
              <w:tc>
                <w:tcPr>
                  <w:tcW w:w="423" w:type="pct"/>
                  <w:noWrap w:val="0"/>
                  <w:vAlign w:val="center"/>
                </w:tcPr>
                <w:p w14:paraId="45616B3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1.5</w:t>
                  </w:r>
                </w:p>
              </w:tc>
              <w:tc>
                <w:tcPr>
                  <w:tcW w:w="664" w:type="pct"/>
                  <w:noWrap w:val="0"/>
                  <w:vAlign w:val="center"/>
                </w:tcPr>
                <w:p w14:paraId="2C2E952F">
                  <w:pPr>
                    <w:jc w:val="center"/>
                    <w:rPr>
                      <w:rFonts w:hint="eastAsia"/>
                      <w:color w:val="auto"/>
                      <w:kern w:val="0"/>
                      <w:sz w:val="21"/>
                      <w:szCs w:val="21"/>
                    </w:rPr>
                  </w:pPr>
                  <w:r>
                    <w:rPr>
                      <w:rFonts w:hint="eastAsia"/>
                      <w:color w:val="auto"/>
                      <w:kern w:val="0"/>
                      <w:sz w:val="21"/>
                      <w:szCs w:val="21"/>
                    </w:rPr>
                    <w:t>85</w:t>
                  </w:r>
                </w:p>
              </w:tc>
              <w:tc>
                <w:tcPr>
                  <w:tcW w:w="528" w:type="pct"/>
                  <w:vMerge w:val="continue"/>
                  <w:noWrap w:val="0"/>
                  <w:vAlign w:val="center"/>
                </w:tcPr>
                <w:p w14:paraId="141EF142">
                  <w:pPr>
                    <w:jc w:val="center"/>
                    <w:rPr>
                      <w:color w:val="auto"/>
                      <w:kern w:val="0"/>
                      <w:sz w:val="21"/>
                      <w:szCs w:val="21"/>
                    </w:rPr>
                  </w:pPr>
                </w:p>
              </w:tc>
              <w:tc>
                <w:tcPr>
                  <w:tcW w:w="667" w:type="pct"/>
                  <w:noWrap w:val="0"/>
                  <w:vAlign w:val="center"/>
                </w:tcPr>
                <w:p w14:paraId="34A4E36D">
                  <w:pPr>
                    <w:jc w:val="center"/>
                    <w:rPr>
                      <w:rFonts w:hint="eastAsia" w:eastAsia="宋体"/>
                      <w:color w:val="auto"/>
                      <w:kern w:val="0"/>
                      <w:sz w:val="21"/>
                      <w:szCs w:val="21"/>
                      <w:lang w:val="en-US" w:eastAsia="zh-CN"/>
                    </w:rPr>
                  </w:pPr>
                  <w:r>
                    <w:rPr>
                      <w:rFonts w:hint="eastAsia"/>
                      <w:color w:val="auto"/>
                      <w:kern w:val="0"/>
                      <w:sz w:val="21"/>
                      <w:szCs w:val="21"/>
                      <w:lang w:val="en-US" w:eastAsia="zh-CN"/>
                    </w:rPr>
                    <w:t>全天</w:t>
                  </w:r>
                </w:p>
              </w:tc>
            </w:tr>
            <w:tr w14:paraId="20F2F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60" w:type="pct"/>
                  <w:noWrap w:val="0"/>
                  <w:vAlign w:val="center"/>
                </w:tcPr>
                <w:p w14:paraId="24B08227">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3</w:t>
                  </w:r>
                </w:p>
              </w:tc>
              <w:tc>
                <w:tcPr>
                  <w:tcW w:w="846" w:type="pct"/>
                  <w:noWrap w:val="0"/>
                  <w:vAlign w:val="center"/>
                </w:tcPr>
                <w:p w14:paraId="3BC12B47">
                  <w:pPr>
                    <w:widowControl/>
                    <w:jc w:val="center"/>
                    <w:rPr>
                      <w:rFonts w:hint="eastAsia"/>
                      <w:color w:val="auto"/>
                      <w:kern w:val="0"/>
                      <w:sz w:val="21"/>
                      <w:szCs w:val="21"/>
                    </w:rPr>
                  </w:pPr>
                  <w:r>
                    <w:rPr>
                      <w:rFonts w:hint="eastAsia"/>
                      <w:color w:val="auto"/>
                      <w:kern w:val="0"/>
                      <w:sz w:val="21"/>
                      <w:szCs w:val="21"/>
                      <w:lang w:val="en-US" w:eastAsia="zh-CN"/>
                    </w:rPr>
                    <w:t>DA003</w:t>
                  </w:r>
                  <w:r>
                    <w:rPr>
                      <w:rFonts w:hint="eastAsia"/>
                      <w:color w:val="auto"/>
                      <w:kern w:val="0"/>
                      <w:sz w:val="21"/>
                      <w:szCs w:val="21"/>
                    </w:rPr>
                    <w:t>风机</w:t>
                  </w:r>
                </w:p>
              </w:tc>
              <w:tc>
                <w:tcPr>
                  <w:tcW w:w="549" w:type="pct"/>
                  <w:noWrap w:val="0"/>
                  <w:vAlign w:val="center"/>
                </w:tcPr>
                <w:p w14:paraId="7451393D">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537" w:type="pct"/>
                  <w:noWrap w:val="0"/>
                  <w:vAlign w:val="center"/>
                </w:tcPr>
                <w:p w14:paraId="651F067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423" w:type="pct"/>
                  <w:noWrap w:val="0"/>
                  <w:vAlign w:val="center"/>
                </w:tcPr>
                <w:p w14:paraId="77D802A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-33</w:t>
                  </w:r>
                </w:p>
              </w:tc>
              <w:tc>
                <w:tcPr>
                  <w:tcW w:w="423" w:type="pct"/>
                  <w:noWrap w:val="0"/>
                  <w:vAlign w:val="center"/>
                </w:tcPr>
                <w:p w14:paraId="63EA520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1.5</w:t>
                  </w:r>
                </w:p>
              </w:tc>
              <w:tc>
                <w:tcPr>
                  <w:tcW w:w="664" w:type="pct"/>
                  <w:noWrap w:val="0"/>
                  <w:vAlign w:val="center"/>
                </w:tcPr>
                <w:p w14:paraId="17122FF5">
                  <w:pPr>
                    <w:jc w:val="center"/>
                    <w:rPr>
                      <w:rFonts w:hint="default" w:eastAsia="宋体"/>
                      <w:color w:val="auto"/>
                      <w:kern w:val="0"/>
                      <w:sz w:val="21"/>
                      <w:szCs w:val="21"/>
                      <w:lang w:val="en-US" w:eastAsia="zh-CN"/>
                    </w:rPr>
                  </w:pPr>
                  <w:r>
                    <w:rPr>
                      <w:rFonts w:hint="eastAsia"/>
                      <w:color w:val="auto"/>
                      <w:kern w:val="0"/>
                      <w:sz w:val="21"/>
                      <w:szCs w:val="21"/>
                      <w:lang w:val="en-US" w:eastAsia="zh-CN"/>
                    </w:rPr>
                    <w:t>85</w:t>
                  </w:r>
                </w:p>
              </w:tc>
              <w:tc>
                <w:tcPr>
                  <w:tcW w:w="528" w:type="pct"/>
                  <w:vMerge w:val="continue"/>
                  <w:noWrap w:val="0"/>
                  <w:vAlign w:val="center"/>
                </w:tcPr>
                <w:p w14:paraId="26F79B64">
                  <w:pPr>
                    <w:jc w:val="center"/>
                    <w:rPr>
                      <w:color w:val="auto"/>
                      <w:kern w:val="0"/>
                      <w:sz w:val="21"/>
                      <w:szCs w:val="21"/>
                    </w:rPr>
                  </w:pPr>
                </w:p>
              </w:tc>
              <w:tc>
                <w:tcPr>
                  <w:tcW w:w="667" w:type="pct"/>
                  <w:noWrap w:val="0"/>
                  <w:vAlign w:val="center"/>
                </w:tcPr>
                <w:p w14:paraId="22DDBA72">
                  <w:pPr>
                    <w:jc w:val="center"/>
                    <w:rPr>
                      <w:color w:val="auto"/>
                      <w:kern w:val="0"/>
                      <w:sz w:val="21"/>
                      <w:szCs w:val="21"/>
                    </w:rPr>
                  </w:pPr>
                  <w:r>
                    <w:rPr>
                      <w:color w:val="auto"/>
                      <w:kern w:val="0"/>
                      <w:sz w:val="21"/>
                      <w:szCs w:val="21"/>
                    </w:rPr>
                    <w:t>8:00</w:t>
                  </w:r>
                  <w:r>
                    <w:rPr>
                      <w:color w:val="auto"/>
                      <w:sz w:val="21"/>
                      <w:szCs w:val="21"/>
                    </w:rPr>
                    <w:t>-</w:t>
                  </w:r>
                  <w:r>
                    <w:rPr>
                      <w:rFonts w:hint="eastAsia"/>
                      <w:color w:val="auto"/>
                      <w:sz w:val="21"/>
                      <w:szCs w:val="21"/>
                      <w:lang w:val="en-US" w:eastAsia="zh-CN"/>
                    </w:rPr>
                    <w:t>24</w:t>
                  </w:r>
                  <w:r>
                    <w:rPr>
                      <w:color w:val="auto"/>
                      <w:kern w:val="0"/>
                      <w:sz w:val="21"/>
                      <w:szCs w:val="21"/>
                    </w:rPr>
                    <w:t>:</w:t>
                  </w:r>
                  <w:r>
                    <w:rPr>
                      <w:color w:val="auto"/>
                      <w:sz w:val="21"/>
                      <w:szCs w:val="21"/>
                    </w:rPr>
                    <w:t>00</w:t>
                  </w:r>
                </w:p>
              </w:tc>
            </w:tr>
          </w:tbl>
          <w:p w14:paraId="342EE8D7">
            <w:pPr>
              <w:pStyle w:val="6"/>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以</w:t>
            </w:r>
            <w:r>
              <w:rPr>
                <w:rFonts w:hint="eastAsia" w:ascii="Times New Roman" w:eastAsia="宋体" w:cs="Times New Roman"/>
                <w:color w:val="auto"/>
                <w:sz w:val="21"/>
                <w:szCs w:val="21"/>
                <w:lang w:val="en-US" w:eastAsia="zh-CN"/>
              </w:rPr>
              <w:t>租赁车间中心点</w:t>
            </w:r>
            <w:r>
              <w:rPr>
                <w:rFonts w:hint="default" w:ascii="Times New Roman" w:hAnsi="Times New Roman" w:eastAsia="宋体" w:cs="Times New Roman"/>
                <w:color w:val="auto"/>
                <w:sz w:val="21"/>
                <w:szCs w:val="21"/>
                <w:lang w:val="en-US" w:eastAsia="zh-CN"/>
              </w:rPr>
              <w:t>为参照点。</w:t>
            </w:r>
          </w:p>
          <w:p w14:paraId="2BFB1501">
            <w:pPr>
              <w:jc w:val="center"/>
              <w:rPr>
                <w:rFonts w:hAnsi="宋体"/>
                <w:b/>
                <w:color w:val="auto"/>
              </w:rPr>
            </w:pPr>
            <w:r>
              <w:rPr>
                <w:rFonts w:hAnsi="宋体"/>
                <w:b/>
                <w:color w:val="auto"/>
              </w:rPr>
              <w:t>表</w:t>
            </w:r>
            <w:r>
              <w:rPr>
                <w:rFonts w:hint="eastAsia" w:hAnsi="宋体"/>
                <w:b/>
                <w:color w:val="auto"/>
              </w:rPr>
              <w:t>4-</w:t>
            </w:r>
            <w:r>
              <w:rPr>
                <w:rFonts w:hint="eastAsia" w:hAnsi="宋体"/>
                <w:b/>
                <w:color w:val="auto"/>
                <w:lang w:val="en-US" w:eastAsia="zh-CN"/>
              </w:rPr>
              <w:t>3</w:t>
            </w:r>
            <w:r>
              <w:rPr>
                <w:rFonts w:hAnsi="宋体"/>
                <w:b/>
                <w:color w:val="auto"/>
              </w:rPr>
              <w:t>项目</w:t>
            </w:r>
            <w:r>
              <w:rPr>
                <w:rFonts w:hint="eastAsia" w:hAnsi="宋体"/>
                <w:b/>
                <w:color w:val="auto"/>
              </w:rPr>
              <w:t>室内</w:t>
            </w:r>
            <w:r>
              <w:rPr>
                <w:rFonts w:hAnsi="宋体"/>
                <w:b/>
                <w:color w:val="auto"/>
              </w:rPr>
              <w:t>噪声源一览表</w:t>
            </w:r>
          </w:p>
          <w:tbl>
            <w:tblPr>
              <w:tblStyle w:val="25"/>
              <w:tblW w:w="8832" w:type="dxa"/>
              <w:tblInd w:w="-1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60"/>
              <w:gridCol w:w="1245"/>
              <w:gridCol w:w="900"/>
              <w:gridCol w:w="660"/>
              <w:gridCol w:w="330"/>
              <w:gridCol w:w="573"/>
              <w:gridCol w:w="399"/>
              <w:gridCol w:w="510"/>
              <w:gridCol w:w="510"/>
              <w:gridCol w:w="483"/>
              <w:gridCol w:w="645"/>
              <w:gridCol w:w="676"/>
              <w:gridCol w:w="676"/>
              <w:gridCol w:w="490"/>
            </w:tblGrid>
            <w:tr w14:paraId="21031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2" w:type="pct"/>
                  <w:vMerge w:val="restart"/>
                  <w:noWrap w:val="0"/>
                  <w:vAlign w:val="center"/>
                </w:tcPr>
                <w:p w14:paraId="29809A93">
                  <w:pPr>
                    <w:widowControl/>
                    <w:jc w:val="center"/>
                    <w:rPr>
                      <w:color w:val="auto"/>
                      <w:kern w:val="0"/>
                      <w:sz w:val="21"/>
                      <w:szCs w:val="21"/>
                    </w:rPr>
                  </w:pPr>
                  <w:r>
                    <w:rPr>
                      <w:b/>
                      <w:bCs/>
                      <w:color w:val="auto"/>
                      <w:kern w:val="0"/>
                      <w:sz w:val="21"/>
                      <w:szCs w:val="21"/>
                    </w:rPr>
                    <w:t>序号</w:t>
                  </w:r>
                </w:p>
              </w:tc>
              <w:tc>
                <w:tcPr>
                  <w:tcW w:w="203" w:type="pct"/>
                  <w:vMerge w:val="restart"/>
                  <w:noWrap w:val="0"/>
                  <w:vAlign w:val="center"/>
                </w:tcPr>
                <w:p w14:paraId="3A9518C7">
                  <w:pPr>
                    <w:widowControl/>
                    <w:jc w:val="center"/>
                    <w:rPr>
                      <w:color w:val="auto"/>
                      <w:kern w:val="0"/>
                      <w:sz w:val="21"/>
                      <w:szCs w:val="21"/>
                    </w:rPr>
                  </w:pPr>
                  <w:r>
                    <w:rPr>
                      <w:color w:val="auto"/>
                      <w:kern w:val="0"/>
                      <w:sz w:val="21"/>
                      <w:szCs w:val="21"/>
                    </w:rPr>
                    <w:t>建筑物名称</w:t>
                  </w:r>
                </w:p>
              </w:tc>
              <w:tc>
                <w:tcPr>
                  <w:tcW w:w="704" w:type="pct"/>
                  <w:vMerge w:val="restart"/>
                  <w:noWrap w:val="0"/>
                  <w:vAlign w:val="center"/>
                </w:tcPr>
                <w:p w14:paraId="5A2EA8E3">
                  <w:pPr>
                    <w:widowControl/>
                    <w:jc w:val="center"/>
                    <w:rPr>
                      <w:b/>
                      <w:bCs/>
                      <w:color w:val="auto"/>
                      <w:kern w:val="0"/>
                      <w:sz w:val="21"/>
                      <w:szCs w:val="21"/>
                    </w:rPr>
                  </w:pPr>
                  <w:r>
                    <w:rPr>
                      <w:b/>
                      <w:bCs/>
                      <w:color w:val="auto"/>
                      <w:kern w:val="0"/>
                      <w:sz w:val="21"/>
                      <w:szCs w:val="21"/>
                    </w:rPr>
                    <w:t>噪声源名称</w:t>
                  </w:r>
                </w:p>
              </w:tc>
              <w:tc>
                <w:tcPr>
                  <w:tcW w:w="509" w:type="pct"/>
                  <w:vMerge w:val="restart"/>
                  <w:noWrap w:val="0"/>
                  <w:vAlign w:val="center"/>
                </w:tcPr>
                <w:p w14:paraId="5E80DEEB">
                  <w:pPr>
                    <w:widowControl/>
                    <w:jc w:val="center"/>
                    <w:rPr>
                      <w:b/>
                      <w:bCs/>
                      <w:color w:val="auto"/>
                      <w:kern w:val="0"/>
                      <w:sz w:val="21"/>
                      <w:szCs w:val="21"/>
                    </w:rPr>
                  </w:pPr>
                  <w:r>
                    <w:rPr>
                      <w:b/>
                      <w:bCs/>
                      <w:color w:val="auto"/>
                      <w:kern w:val="0"/>
                      <w:sz w:val="21"/>
                      <w:szCs w:val="21"/>
                    </w:rPr>
                    <w:t>型号</w:t>
                  </w:r>
                </w:p>
              </w:tc>
              <w:tc>
                <w:tcPr>
                  <w:tcW w:w="373" w:type="pct"/>
                  <w:noWrap w:val="0"/>
                  <w:vAlign w:val="center"/>
                </w:tcPr>
                <w:p w14:paraId="34A3E870">
                  <w:pPr>
                    <w:widowControl/>
                    <w:jc w:val="center"/>
                    <w:rPr>
                      <w:b/>
                      <w:bCs/>
                      <w:color w:val="auto"/>
                      <w:kern w:val="0"/>
                      <w:sz w:val="21"/>
                      <w:szCs w:val="21"/>
                    </w:rPr>
                  </w:pPr>
                  <w:r>
                    <w:rPr>
                      <w:b/>
                      <w:bCs/>
                      <w:color w:val="auto"/>
                      <w:kern w:val="0"/>
                      <w:sz w:val="21"/>
                      <w:szCs w:val="21"/>
                    </w:rPr>
                    <w:t>声源源强</w:t>
                  </w:r>
                </w:p>
              </w:tc>
              <w:tc>
                <w:tcPr>
                  <w:tcW w:w="186" w:type="pct"/>
                  <w:vMerge w:val="restart"/>
                  <w:noWrap w:val="0"/>
                  <w:vAlign w:val="center"/>
                </w:tcPr>
                <w:p w14:paraId="4A5664D6">
                  <w:pPr>
                    <w:jc w:val="center"/>
                    <w:rPr>
                      <w:b/>
                      <w:bCs/>
                      <w:color w:val="auto"/>
                      <w:kern w:val="0"/>
                      <w:sz w:val="21"/>
                      <w:szCs w:val="21"/>
                    </w:rPr>
                  </w:pPr>
                  <w:r>
                    <w:rPr>
                      <w:rFonts w:hint="eastAsia"/>
                      <w:b w:val="0"/>
                      <w:bCs w:val="0"/>
                      <w:color w:val="auto"/>
                      <w:kern w:val="0"/>
                      <w:sz w:val="21"/>
                      <w:szCs w:val="21"/>
                    </w:rPr>
                    <w:t>声源</w:t>
                  </w:r>
                  <w:r>
                    <w:rPr>
                      <w:b w:val="0"/>
                      <w:bCs w:val="0"/>
                      <w:color w:val="auto"/>
                      <w:kern w:val="0"/>
                      <w:sz w:val="21"/>
                      <w:szCs w:val="21"/>
                    </w:rPr>
                    <w:t>控制措施</w:t>
                  </w:r>
                </w:p>
              </w:tc>
              <w:tc>
                <w:tcPr>
                  <w:tcW w:w="838" w:type="pct"/>
                  <w:gridSpan w:val="3"/>
                  <w:noWrap w:val="0"/>
                  <w:vAlign w:val="center"/>
                </w:tcPr>
                <w:p w14:paraId="26AC7FD9">
                  <w:pPr>
                    <w:widowControl/>
                    <w:jc w:val="center"/>
                    <w:rPr>
                      <w:b/>
                      <w:bCs/>
                      <w:color w:val="auto"/>
                      <w:kern w:val="0"/>
                      <w:sz w:val="21"/>
                      <w:szCs w:val="21"/>
                    </w:rPr>
                  </w:pPr>
                  <w:r>
                    <w:rPr>
                      <w:rFonts w:hint="eastAsia"/>
                      <w:b/>
                      <w:bCs/>
                      <w:color w:val="auto"/>
                      <w:kern w:val="0"/>
                      <w:sz w:val="21"/>
                      <w:szCs w:val="21"/>
                    </w:rPr>
                    <w:t>空间</w:t>
                  </w:r>
                  <w:r>
                    <w:rPr>
                      <w:b/>
                      <w:bCs/>
                      <w:color w:val="auto"/>
                      <w:kern w:val="0"/>
                      <w:sz w:val="21"/>
                      <w:szCs w:val="21"/>
                    </w:rPr>
                    <w:t>相对位置m</w:t>
                  </w:r>
                </w:p>
              </w:tc>
              <w:tc>
                <w:tcPr>
                  <w:tcW w:w="288" w:type="pct"/>
                  <w:vMerge w:val="restart"/>
                  <w:noWrap w:val="0"/>
                  <w:vAlign w:val="center"/>
                </w:tcPr>
                <w:p w14:paraId="517C0887">
                  <w:pPr>
                    <w:widowControl/>
                    <w:jc w:val="center"/>
                    <w:rPr>
                      <w:b/>
                      <w:bCs/>
                      <w:color w:val="auto"/>
                      <w:kern w:val="0"/>
                      <w:sz w:val="21"/>
                      <w:szCs w:val="21"/>
                    </w:rPr>
                  </w:pPr>
                  <w:r>
                    <w:rPr>
                      <w:b/>
                      <w:bCs/>
                      <w:color w:val="auto"/>
                      <w:kern w:val="0"/>
                      <w:sz w:val="21"/>
                      <w:szCs w:val="21"/>
                    </w:rPr>
                    <w:t>距</w:t>
                  </w:r>
                  <w:r>
                    <w:rPr>
                      <w:rFonts w:hint="eastAsia"/>
                      <w:b/>
                      <w:bCs/>
                      <w:color w:val="auto"/>
                      <w:kern w:val="0"/>
                      <w:sz w:val="21"/>
                      <w:szCs w:val="21"/>
                    </w:rPr>
                    <w:t>离室内</w:t>
                  </w:r>
                  <w:r>
                    <w:rPr>
                      <w:b/>
                      <w:bCs/>
                      <w:color w:val="auto"/>
                      <w:kern w:val="0"/>
                      <w:sz w:val="21"/>
                      <w:szCs w:val="21"/>
                    </w:rPr>
                    <w:t>边界距离m</w:t>
                  </w:r>
                </w:p>
              </w:tc>
              <w:tc>
                <w:tcPr>
                  <w:tcW w:w="273" w:type="pct"/>
                  <w:vMerge w:val="restart"/>
                  <w:noWrap w:val="0"/>
                  <w:vAlign w:val="center"/>
                </w:tcPr>
                <w:p w14:paraId="2C579DAE">
                  <w:pPr>
                    <w:widowControl/>
                    <w:jc w:val="center"/>
                    <w:rPr>
                      <w:b/>
                      <w:bCs/>
                      <w:color w:val="auto"/>
                      <w:kern w:val="0"/>
                      <w:sz w:val="21"/>
                      <w:szCs w:val="21"/>
                    </w:rPr>
                  </w:pPr>
                  <w:r>
                    <w:rPr>
                      <w:rFonts w:hint="eastAsia"/>
                      <w:b/>
                      <w:bCs/>
                      <w:color w:val="auto"/>
                      <w:kern w:val="0"/>
                      <w:sz w:val="21"/>
                      <w:szCs w:val="21"/>
                    </w:rPr>
                    <w:t>室内</w:t>
                  </w:r>
                  <w:r>
                    <w:rPr>
                      <w:b/>
                      <w:bCs/>
                      <w:color w:val="auto"/>
                      <w:kern w:val="0"/>
                      <w:sz w:val="21"/>
                      <w:szCs w:val="21"/>
                    </w:rPr>
                    <w:t>边界声级dB(A)</w:t>
                  </w:r>
                </w:p>
              </w:tc>
              <w:tc>
                <w:tcPr>
                  <w:tcW w:w="365" w:type="pct"/>
                  <w:vMerge w:val="restart"/>
                  <w:noWrap w:val="0"/>
                  <w:vAlign w:val="center"/>
                </w:tcPr>
                <w:p w14:paraId="562B1ED9">
                  <w:pPr>
                    <w:widowControl/>
                    <w:jc w:val="center"/>
                    <w:rPr>
                      <w:b/>
                      <w:bCs/>
                      <w:color w:val="auto"/>
                      <w:kern w:val="0"/>
                      <w:sz w:val="21"/>
                      <w:szCs w:val="21"/>
                    </w:rPr>
                  </w:pPr>
                  <w:r>
                    <w:rPr>
                      <w:b/>
                      <w:bCs/>
                      <w:color w:val="auto"/>
                      <w:kern w:val="0"/>
                      <w:sz w:val="21"/>
                      <w:szCs w:val="21"/>
                    </w:rPr>
                    <w:t>运行时段</w:t>
                  </w:r>
                </w:p>
              </w:tc>
              <w:tc>
                <w:tcPr>
                  <w:tcW w:w="382" w:type="pct"/>
                  <w:vMerge w:val="restart"/>
                  <w:noWrap w:val="0"/>
                  <w:vAlign w:val="center"/>
                </w:tcPr>
                <w:p w14:paraId="41B8614B">
                  <w:pPr>
                    <w:widowControl/>
                    <w:jc w:val="center"/>
                    <w:rPr>
                      <w:b/>
                      <w:bCs/>
                      <w:color w:val="auto"/>
                      <w:kern w:val="0"/>
                      <w:sz w:val="21"/>
                      <w:szCs w:val="21"/>
                    </w:rPr>
                  </w:pPr>
                  <w:r>
                    <w:rPr>
                      <w:b/>
                      <w:bCs/>
                      <w:color w:val="auto"/>
                      <w:kern w:val="0"/>
                      <w:sz w:val="21"/>
                      <w:szCs w:val="21"/>
                    </w:rPr>
                    <w:t>建筑物插入损失dB(A)</w:t>
                  </w:r>
                </w:p>
              </w:tc>
              <w:tc>
                <w:tcPr>
                  <w:tcW w:w="660" w:type="pct"/>
                  <w:gridSpan w:val="2"/>
                  <w:noWrap w:val="0"/>
                  <w:vAlign w:val="center"/>
                </w:tcPr>
                <w:p w14:paraId="729A6976">
                  <w:pPr>
                    <w:widowControl/>
                    <w:jc w:val="center"/>
                    <w:rPr>
                      <w:b/>
                      <w:bCs/>
                      <w:color w:val="auto"/>
                      <w:kern w:val="0"/>
                      <w:sz w:val="21"/>
                      <w:szCs w:val="21"/>
                    </w:rPr>
                  </w:pPr>
                  <w:r>
                    <w:rPr>
                      <w:rFonts w:hint="eastAsia"/>
                      <w:b/>
                      <w:bCs/>
                      <w:color w:val="auto"/>
                      <w:kern w:val="0"/>
                      <w:sz w:val="21"/>
                      <w:szCs w:val="21"/>
                    </w:rPr>
                    <w:t>建筑物</w:t>
                  </w:r>
                  <w:r>
                    <w:rPr>
                      <w:b/>
                      <w:bCs/>
                      <w:color w:val="auto"/>
                      <w:kern w:val="0"/>
                      <w:sz w:val="21"/>
                      <w:szCs w:val="21"/>
                    </w:rPr>
                    <w:t>外噪声</w:t>
                  </w:r>
                </w:p>
              </w:tc>
            </w:tr>
            <w:tr w14:paraId="28EDE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2" w:type="pct"/>
                  <w:vMerge w:val="continue"/>
                  <w:noWrap w:val="0"/>
                  <w:vAlign w:val="center"/>
                </w:tcPr>
                <w:p w14:paraId="6168A89C">
                  <w:pPr>
                    <w:widowControl/>
                    <w:jc w:val="center"/>
                    <w:rPr>
                      <w:color w:val="auto"/>
                      <w:kern w:val="0"/>
                      <w:sz w:val="21"/>
                      <w:szCs w:val="21"/>
                    </w:rPr>
                  </w:pPr>
                </w:p>
              </w:tc>
              <w:tc>
                <w:tcPr>
                  <w:tcW w:w="203" w:type="pct"/>
                  <w:vMerge w:val="continue"/>
                  <w:noWrap w:val="0"/>
                  <w:vAlign w:val="center"/>
                </w:tcPr>
                <w:p w14:paraId="23CF7205">
                  <w:pPr>
                    <w:widowControl/>
                    <w:jc w:val="center"/>
                    <w:rPr>
                      <w:color w:val="auto"/>
                      <w:kern w:val="0"/>
                      <w:sz w:val="21"/>
                      <w:szCs w:val="21"/>
                    </w:rPr>
                  </w:pPr>
                </w:p>
              </w:tc>
              <w:tc>
                <w:tcPr>
                  <w:tcW w:w="704" w:type="pct"/>
                  <w:vMerge w:val="continue"/>
                  <w:noWrap w:val="0"/>
                  <w:vAlign w:val="center"/>
                </w:tcPr>
                <w:p w14:paraId="47B4B72B">
                  <w:pPr>
                    <w:widowControl/>
                    <w:jc w:val="center"/>
                    <w:rPr>
                      <w:b/>
                      <w:bCs/>
                      <w:color w:val="auto"/>
                      <w:kern w:val="0"/>
                      <w:sz w:val="21"/>
                      <w:szCs w:val="21"/>
                    </w:rPr>
                  </w:pPr>
                </w:p>
              </w:tc>
              <w:tc>
                <w:tcPr>
                  <w:tcW w:w="509" w:type="pct"/>
                  <w:vMerge w:val="continue"/>
                  <w:noWrap w:val="0"/>
                  <w:vAlign w:val="center"/>
                </w:tcPr>
                <w:p w14:paraId="11509EBA">
                  <w:pPr>
                    <w:widowControl/>
                    <w:jc w:val="center"/>
                    <w:rPr>
                      <w:b/>
                      <w:bCs/>
                      <w:color w:val="auto"/>
                      <w:kern w:val="0"/>
                      <w:sz w:val="21"/>
                      <w:szCs w:val="21"/>
                    </w:rPr>
                  </w:pPr>
                </w:p>
              </w:tc>
              <w:tc>
                <w:tcPr>
                  <w:tcW w:w="373" w:type="pct"/>
                  <w:noWrap w:val="0"/>
                  <w:vAlign w:val="center"/>
                </w:tcPr>
                <w:p w14:paraId="64D953B9">
                  <w:pPr>
                    <w:widowControl/>
                    <w:jc w:val="center"/>
                    <w:rPr>
                      <w:b/>
                      <w:bCs/>
                      <w:color w:val="auto"/>
                      <w:kern w:val="0"/>
                      <w:sz w:val="21"/>
                      <w:szCs w:val="21"/>
                    </w:rPr>
                  </w:pPr>
                  <w:r>
                    <w:rPr>
                      <w:b/>
                      <w:bCs/>
                      <w:color w:val="auto"/>
                      <w:kern w:val="0"/>
                      <w:sz w:val="21"/>
                      <w:szCs w:val="21"/>
                    </w:rPr>
                    <w:t>声功率级dB(A)</w:t>
                  </w:r>
                </w:p>
              </w:tc>
              <w:tc>
                <w:tcPr>
                  <w:tcW w:w="186" w:type="pct"/>
                  <w:vMerge w:val="continue"/>
                  <w:noWrap w:val="0"/>
                  <w:vAlign w:val="center"/>
                </w:tcPr>
                <w:p w14:paraId="64DB1418">
                  <w:pPr>
                    <w:widowControl/>
                    <w:jc w:val="center"/>
                    <w:rPr>
                      <w:b/>
                      <w:bCs/>
                      <w:color w:val="auto"/>
                      <w:kern w:val="0"/>
                      <w:sz w:val="21"/>
                      <w:szCs w:val="21"/>
                    </w:rPr>
                  </w:pPr>
                </w:p>
              </w:tc>
              <w:tc>
                <w:tcPr>
                  <w:tcW w:w="324" w:type="pct"/>
                  <w:noWrap w:val="0"/>
                  <w:vAlign w:val="center"/>
                </w:tcPr>
                <w:p w14:paraId="16F3EE96">
                  <w:pPr>
                    <w:widowControl/>
                    <w:jc w:val="center"/>
                    <w:rPr>
                      <w:b/>
                      <w:bCs/>
                      <w:color w:val="auto"/>
                      <w:kern w:val="0"/>
                      <w:sz w:val="21"/>
                      <w:szCs w:val="21"/>
                    </w:rPr>
                  </w:pPr>
                  <w:r>
                    <w:rPr>
                      <w:rFonts w:hint="eastAsia"/>
                      <w:b/>
                      <w:bCs/>
                      <w:color w:val="auto"/>
                      <w:kern w:val="0"/>
                      <w:sz w:val="21"/>
                      <w:szCs w:val="21"/>
                    </w:rPr>
                    <w:t>X</w:t>
                  </w:r>
                </w:p>
              </w:tc>
              <w:tc>
                <w:tcPr>
                  <w:tcW w:w="225" w:type="pct"/>
                  <w:noWrap w:val="0"/>
                  <w:vAlign w:val="center"/>
                </w:tcPr>
                <w:p w14:paraId="43449695">
                  <w:pPr>
                    <w:widowControl/>
                    <w:jc w:val="center"/>
                    <w:rPr>
                      <w:b/>
                      <w:bCs/>
                      <w:color w:val="auto"/>
                      <w:kern w:val="0"/>
                      <w:sz w:val="21"/>
                      <w:szCs w:val="21"/>
                    </w:rPr>
                  </w:pPr>
                  <w:r>
                    <w:rPr>
                      <w:rFonts w:hint="eastAsia"/>
                      <w:b/>
                      <w:bCs/>
                      <w:color w:val="auto"/>
                      <w:kern w:val="0"/>
                      <w:sz w:val="21"/>
                      <w:szCs w:val="21"/>
                    </w:rPr>
                    <w:t>Y</w:t>
                  </w:r>
                </w:p>
              </w:tc>
              <w:tc>
                <w:tcPr>
                  <w:tcW w:w="288" w:type="pct"/>
                  <w:noWrap w:val="0"/>
                  <w:vAlign w:val="center"/>
                </w:tcPr>
                <w:p w14:paraId="521D6F97">
                  <w:pPr>
                    <w:widowControl/>
                    <w:jc w:val="center"/>
                    <w:rPr>
                      <w:b/>
                      <w:bCs/>
                      <w:color w:val="auto"/>
                      <w:kern w:val="0"/>
                      <w:sz w:val="21"/>
                      <w:szCs w:val="21"/>
                    </w:rPr>
                  </w:pPr>
                  <w:r>
                    <w:rPr>
                      <w:rFonts w:hint="eastAsia"/>
                      <w:b/>
                      <w:bCs/>
                      <w:color w:val="auto"/>
                      <w:kern w:val="0"/>
                      <w:sz w:val="21"/>
                      <w:szCs w:val="21"/>
                    </w:rPr>
                    <w:t>Z</w:t>
                  </w:r>
                </w:p>
              </w:tc>
              <w:tc>
                <w:tcPr>
                  <w:tcW w:w="288" w:type="pct"/>
                  <w:vMerge w:val="continue"/>
                  <w:noWrap w:val="0"/>
                  <w:vAlign w:val="center"/>
                </w:tcPr>
                <w:p w14:paraId="31300417">
                  <w:pPr>
                    <w:widowControl/>
                    <w:jc w:val="center"/>
                    <w:rPr>
                      <w:b/>
                      <w:bCs/>
                      <w:color w:val="auto"/>
                      <w:kern w:val="0"/>
                      <w:sz w:val="21"/>
                      <w:szCs w:val="21"/>
                    </w:rPr>
                  </w:pPr>
                </w:p>
              </w:tc>
              <w:tc>
                <w:tcPr>
                  <w:tcW w:w="273" w:type="pct"/>
                  <w:vMerge w:val="continue"/>
                  <w:noWrap w:val="0"/>
                  <w:vAlign w:val="center"/>
                </w:tcPr>
                <w:p w14:paraId="3759A526">
                  <w:pPr>
                    <w:widowControl/>
                    <w:jc w:val="center"/>
                    <w:rPr>
                      <w:b/>
                      <w:bCs/>
                      <w:color w:val="auto"/>
                      <w:kern w:val="0"/>
                      <w:sz w:val="21"/>
                      <w:szCs w:val="21"/>
                    </w:rPr>
                  </w:pPr>
                </w:p>
              </w:tc>
              <w:tc>
                <w:tcPr>
                  <w:tcW w:w="365" w:type="pct"/>
                  <w:vMerge w:val="continue"/>
                  <w:noWrap w:val="0"/>
                  <w:vAlign w:val="center"/>
                </w:tcPr>
                <w:p w14:paraId="65F2DF80">
                  <w:pPr>
                    <w:widowControl/>
                    <w:jc w:val="center"/>
                    <w:rPr>
                      <w:b/>
                      <w:bCs/>
                      <w:color w:val="auto"/>
                      <w:kern w:val="0"/>
                      <w:sz w:val="21"/>
                      <w:szCs w:val="21"/>
                    </w:rPr>
                  </w:pPr>
                </w:p>
              </w:tc>
              <w:tc>
                <w:tcPr>
                  <w:tcW w:w="382" w:type="pct"/>
                  <w:vMerge w:val="continue"/>
                  <w:noWrap w:val="0"/>
                  <w:vAlign w:val="center"/>
                </w:tcPr>
                <w:p w14:paraId="31C58675">
                  <w:pPr>
                    <w:widowControl/>
                    <w:jc w:val="center"/>
                    <w:rPr>
                      <w:b/>
                      <w:bCs/>
                      <w:color w:val="auto"/>
                      <w:kern w:val="0"/>
                      <w:sz w:val="21"/>
                      <w:szCs w:val="21"/>
                    </w:rPr>
                  </w:pPr>
                </w:p>
              </w:tc>
              <w:tc>
                <w:tcPr>
                  <w:tcW w:w="382" w:type="pct"/>
                  <w:noWrap w:val="0"/>
                  <w:vAlign w:val="center"/>
                </w:tcPr>
                <w:p w14:paraId="46D6C13C">
                  <w:pPr>
                    <w:widowControl/>
                    <w:jc w:val="center"/>
                    <w:rPr>
                      <w:b/>
                      <w:bCs/>
                      <w:color w:val="auto"/>
                      <w:kern w:val="0"/>
                      <w:sz w:val="21"/>
                      <w:szCs w:val="21"/>
                    </w:rPr>
                  </w:pPr>
                  <w:r>
                    <w:rPr>
                      <w:b/>
                      <w:bCs/>
                      <w:color w:val="auto"/>
                      <w:kern w:val="0"/>
                      <w:sz w:val="21"/>
                      <w:szCs w:val="21"/>
                    </w:rPr>
                    <w:t>声压级dB(A)</w:t>
                  </w:r>
                </w:p>
              </w:tc>
              <w:tc>
                <w:tcPr>
                  <w:tcW w:w="277" w:type="pct"/>
                  <w:noWrap w:val="0"/>
                  <w:vAlign w:val="center"/>
                </w:tcPr>
                <w:p w14:paraId="67144E2E">
                  <w:pPr>
                    <w:widowControl/>
                    <w:jc w:val="center"/>
                    <w:rPr>
                      <w:b/>
                      <w:bCs/>
                      <w:color w:val="auto"/>
                      <w:kern w:val="0"/>
                      <w:sz w:val="21"/>
                      <w:szCs w:val="21"/>
                    </w:rPr>
                  </w:pPr>
                  <w:r>
                    <w:rPr>
                      <w:b/>
                      <w:bCs/>
                      <w:color w:val="auto"/>
                      <w:kern w:val="0"/>
                      <w:sz w:val="21"/>
                      <w:szCs w:val="21"/>
                    </w:rPr>
                    <w:t>建筑物外距离m</w:t>
                  </w:r>
                </w:p>
              </w:tc>
            </w:tr>
            <w:tr w14:paraId="1E438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12" w:type="pct"/>
                  <w:noWrap w:val="0"/>
                  <w:vAlign w:val="center"/>
                </w:tcPr>
                <w:p w14:paraId="33C485D5">
                  <w:pPr>
                    <w:widowControl/>
                    <w:jc w:val="center"/>
                    <w:rPr>
                      <w:color w:val="auto"/>
                      <w:sz w:val="21"/>
                      <w:szCs w:val="21"/>
                    </w:rPr>
                  </w:pPr>
                  <w:r>
                    <w:rPr>
                      <w:rFonts w:hint="eastAsia"/>
                      <w:color w:val="auto"/>
                      <w:sz w:val="21"/>
                      <w:szCs w:val="21"/>
                    </w:rPr>
                    <w:t>1</w:t>
                  </w:r>
                </w:p>
              </w:tc>
              <w:tc>
                <w:tcPr>
                  <w:tcW w:w="203" w:type="pct"/>
                  <w:vMerge w:val="continue"/>
                  <w:noWrap w:val="0"/>
                  <w:vAlign w:val="center"/>
                </w:tcPr>
                <w:p w14:paraId="310E3BFE">
                  <w:pPr>
                    <w:widowControl/>
                    <w:jc w:val="center"/>
                    <w:rPr>
                      <w:color w:val="auto"/>
                      <w:sz w:val="21"/>
                      <w:szCs w:val="21"/>
                    </w:rPr>
                  </w:pPr>
                </w:p>
              </w:tc>
              <w:tc>
                <w:tcPr>
                  <w:tcW w:w="704" w:type="pct"/>
                  <w:noWrap w:val="0"/>
                  <w:vAlign w:val="center"/>
                </w:tcPr>
                <w:p w14:paraId="06FFDC6E">
                  <w:pPr>
                    <w:jc w:val="center"/>
                    <w:rPr>
                      <w:rFonts w:ascii="宋体" w:hAnsi="宋体" w:cs="宋体"/>
                      <w:color w:val="auto"/>
                      <w:sz w:val="21"/>
                      <w:szCs w:val="21"/>
                    </w:rPr>
                  </w:pPr>
                  <w:r>
                    <w:rPr>
                      <w:rFonts w:hint="eastAsia"/>
                      <w:color w:val="auto"/>
                      <w:szCs w:val="21"/>
                    </w:rPr>
                    <w:t>电坩埚熔化炉</w:t>
                  </w:r>
                </w:p>
              </w:tc>
              <w:tc>
                <w:tcPr>
                  <w:tcW w:w="509" w:type="pct"/>
                  <w:noWrap w:val="0"/>
                  <w:vAlign w:val="center"/>
                </w:tcPr>
                <w:p w14:paraId="3F9CAE1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10</w:t>
                  </w:r>
                  <w:r>
                    <w:rPr>
                      <w:rFonts w:hint="eastAsia" w:ascii="Times New Roman" w:hAnsi="Times New Roman" w:eastAsia="宋体" w:cs="Times New Roman"/>
                      <w:color w:val="auto"/>
                      <w:szCs w:val="21"/>
                    </w:rPr>
                    <w:t>00KG/H</w:t>
                  </w:r>
                </w:p>
              </w:tc>
              <w:tc>
                <w:tcPr>
                  <w:tcW w:w="373" w:type="pct"/>
                  <w:noWrap w:val="0"/>
                  <w:vAlign w:val="center"/>
                </w:tcPr>
                <w:p w14:paraId="347E3F75">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2E575DAB">
                  <w:pPr>
                    <w:spacing w:line="320" w:lineRule="exact"/>
                    <w:jc w:val="center"/>
                    <w:rPr>
                      <w:rFonts w:hint="eastAsia"/>
                      <w:color w:val="auto"/>
                      <w:kern w:val="0"/>
                      <w:sz w:val="21"/>
                      <w:szCs w:val="21"/>
                    </w:rPr>
                  </w:pPr>
                </w:p>
              </w:tc>
              <w:tc>
                <w:tcPr>
                  <w:tcW w:w="324" w:type="pct"/>
                  <w:noWrap w:val="0"/>
                  <w:vAlign w:val="center"/>
                </w:tcPr>
                <w:p w14:paraId="6BD95C36">
                  <w:pPr>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225" w:type="pct"/>
                  <w:noWrap w:val="0"/>
                  <w:vAlign w:val="center"/>
                </w:tcPr>
                <w:p w14:paraId="4887A76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4F2368AA">
                  <w:pPr>
                    <w:widowControl/>
                    <w:jc w:val="center"/>
                    <w:rPr>
                      <w:rFonts w:hint="eastAsia"/>
                      <w:color w:val="auto"/>
                      <w:kern w:val="0"/>
                      <w:sz w:val="21"/>
                      <w:szCs w:val="21"/>
                    </w:rPr>
                  </w:pPr>
                  <w:r>
                    <w:rPr>
                      <w:rFonts w:hint="eastAsia"/>
                      <w:color w:val="auto"/>
                      <w:kern w:val="0"/>
                      <w:sz w:val="21"/>
                      <w:szCs w:val="21"/>
                    </w:rPr>
                    <w:t>1</w:t>
                  </w:r>
                </w:p>
              </w:tc>
              <w:tc>
                <w:tcPr>
                  <w:tcW w:w="288" w:type="pct"/>
                  <w:noWrap w:val="0"/>
                  <w:vAlign w:val="center"/>
                </w:tcPr>
                <w:p w14:paraId="54E38D2D">
                  <w:pPr>
                    <w:widowControl/>
                    <w:jc w:val="center"/>
                    <w:rPr>
                      <w:rFonts w:hint="eastAsia"/>
                      <w:color w:val="auto"/>
                      <w:kern w:val="0"/>
                      <w:sz w:val="21"/>
                      <w:szCs w:val="21"/>
                    </w:rPr>
                  </w:pPr>
                  <w:r>
                    <w:rPr>
                      <w:rFonts w:hint="eastAsia"/>
                      <w:color w:val="auto"/>
                      <w:kern w:val="0"/>
                      <w:sz w:val="21"/>
                      <w:szCs w:val="21"/>
                      <w:lang w:val="en-US" w:eastAsia="zh-CN"/>
                    </w:rPr>
                    <w:t>5</w:t>
                  </w:r>
                </w:p>
              </w:tc>
              <w:tc>
                <w:tcPr>
                  <w:tcW w:w="273" w:type="pct"/>
                  <w:noWrap w:val="0"/>
                  <w:vAlign w:val="center"/>
                </w:tcPr>
                <w:p w14:paraId="1B8EB7D0">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66</w:t>
                  </w:r>
                </w:p>
              </w:tc>
              <w:tc>
                <w:tcPr>
                  <w:tcW w:w="365" w:type="pct"/>
                  <w:vMerge w:val="restart"/>
                  <w:noWrap w:val="0"/>
                  <w:vAlign w:val="center"/>
                </w:tcPr>
                <w:p w14:paraId="6F43396D">
                  <w:pPr>
                    <w:jc w:val="center"/>
                    <w:rPr>
                      <w:color w:val="auto"/>
                      <w:kern w:val="0"/>
                      <w:sz w:val="21"/>
                      <w:szCs w:val="21"/>
                    </w:rPr>
                  </w:pPr>
                  <w:r>
                    <w:rPr>
                      <w:color w:val="auto"/>
                      <w:kern w:val="0"/>
                      <w:sz w:val="21"/>
                      <w:szCs w:val="21"/>
                    </w:rPr>
                    <w:t>8:00</w:t>
                  </w:r>
                  <w:r>
                    <w:rPr>
                      <w:color w:val="auto"/>
                      <w:sz w:val="21"/>
                      <w:szCs w:val="21"/>
                    </w:rPr>
                    <w:t>-</w:t>
                  </w:r>
                  <w:r>
                    <w:rPr>
                      <w:rFonts w:hint="eastAsia"/>
                      <w:color w:val="auto"/>
                      <w:sz w:val="21"/>
                      <w:szCs w:val="21"/>
                      <w:lang w:val="en-US" w:eastAsia="zh-CN"/>
                    </w:rPr>
                    <w:t>24</w:t>
                  </w:r>
                  <w:r>
                    <w:rPr>
                      <w:color w:val="auto"/>
                      <w:kern w:val="0"/>
                      <w:sz w:val="21"/>
                      <w:szCs w:val="21"/>
                    </w:rPr>
                    <w:t>:</w:t>
                  </w:r>
                  <w:r>
                    <w:rPr>
                      <w:color w:val="auto"/>
                      <w:sz w:val="21"/>
                      <w:szCs w:val="21"/>
                    </w:rPr>
                    <w:t>00</w:t>
                  </w:r>
                </w:p>
              </w:tc>
              <w:tc>
                <w:tcPr>
                  <w:tcW w:w="382" w:type="pct"/>
                  <w:noWrap w:val="0"/>
                  <w:vAlign w:val="center"/>
                </w:tcPr>
                <w:p w14:paraId="4EF72C58">
                  <w:pPr>
                    <w:jc w:val="center"/>
                    <w:rPr>
                      <w:color w:val="auto"/>
                      <w:kern w:val="0"/>
                      <w:sz w:val="21"/>
                      <w:szCs w:val="21"/>
                    </w:rPr>
                  </w:pPr>
                  <w:r>
                    <w:rPr>
                      <w:rFonts w:hint="eastAsia"/>
                      <w:color w:val="auto"/>
                      <w:kern w:val="0"/>
                      <w:sz w:val="21"/>
                      <w:szCs w:val="21"/>
                    </w:rPr>
                    <w:t>20</w:t>
                  </w:r>
                </w:p>
              </w:tc>
              <w:tc>
                <w:tcPr>
                  <w:tcW w:w="382" w:type="pct"/>
                  <w:noWrap w:val="0"/>
                  <w:vAlign w:val="center"/>
                </w:tcPr>
                <w:p w14:paraId="4BB88B8F">
                  <w:pPr>
                    <w:jc w:val="center"/>
                    <w:rPr>
                      <w:rFonts w:hint="default" w:eastAsia="宋体"/>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39333982">
                  <w:pPr>
                    <w:jc w:val="center"/>
                    <w:rPr>
                      <w:color w:val="auto"/>
                      <w:sz w:val="21"/>
                      <w:szCs w:val="21"/>
                    </w:rPr>
                  </w:pPr>
                  <w:r>
                    <w:rPr>
                      <w:rFonts w:hint="eastAsia"/>
                      <w:color w:val="auto"/>
                      <w:kern w:val="0"/>
                      <w:sz w:val="21"/>
                      <w:szCs w:val="21"/>
                    </w:rPr>
                    <w:t>1</w:t>
                  </w:r>
                </w:p>
              </w:tc>
            </w:tr>
            <w:tr w14:paraId="79A26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 w:type="pct"/>
                  <w:noWrap w:val="0"/>
                  <w:vAlign w:val="center"/>
                </w:tcPr>
                <w:p w14:paraId="6796C6FA">
                  <w:pPr>
                    <w:jc w:val="center"/>
                    <w:rPr>
                      <w:rFonts w:hint="eastAsia"/>
                      <w:color w:val="auto"/>
                      <w:sz w:val="21"/>
                      <w:szCs w:val="21"/>
                    </w:rPr>
                  </w:pPr>
                  <w:r>
                    <w:rPr>
                      <w:rFonts w:hint="eastAsia"/>
                      <w:color w:val="auto"/>
                      <w:sz w:val="21"/>
                      <w:szCs w:val="21"/>
                    </w:rPr>
                    <w:t>2</w:t>
                  </w:r>
                </w:p>
              </w:tc>
              <w:tc>
                <w:tcPr>
                  <w:tcW w:w="203" w:type="pct"/>
                  <w:vMerge w:val="continue"/>
                  <w:noWrap w:val="0"/>
                  <w:vAlign w:val="center"/>
                </w:tcPr>
                <w:p w14:paraId="243063B9">
                  <w:pPr>
                    <w:jc w:val="center"/>
                    <w:rPr>
                      <w:color w:val="auto"/>
                      <w:sz w:val="21"/>
                      <w:szCs w:val="21"/>
                    </w:rPr>
                  </w:pPr>
                </w:p>
              </w:tc>
              <w:tc>
                <w:tcPr>
                  <w:tcW w:w="704" w:type="pct"/>
                  <w:noWrap w:val="0"/>
                  <w:vAlign w:val="center"/>
                </w:tcPr>
                <w:p w14:paraId="0C962D00">
                  <w:pPr>
                    <w:jc w:val="center"/>
                    <w:rPr>
                      <w:rFonts w:ascii="宋体" w:hAnsi="宋体" w:cs="宋体"/>
                      <w:color w:val="auto"/>
                      <w:sz w:val="21"/>
                      <w:szCs w:val="21"/>
                    </w:rPr>
                  </w:pPr>
                  <w:r>
                    <w:rPr>
                      <w:rFonts w:hint="eastAsia"/>
                      <w:color w:val="auto"/>
                      <w:szCs w:val="21"/>
                    </w:rPr>
                    <w:t>电坩埚保温炉</w:t>
                  </w:r>
                </w:p>
              </w:tc>
              <w:tc>
                <w:tcPr>
                  <w:tcW w:w="509" w:type="pct"/>
                  <w:noWrap w:val="0"/>
                  <w:vAlign w:val="center"/>
                </w:tcPr>
                <w:p w14:paraId="6652A2D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800KG</w:t>
                  </w:r>
                </w:p>
              </w:tc>
              <w:tc>
                <w:tcPr>
                  <w:tcW w:w="373" w:type="pct"/>
                  <w:noWrap w:val="0"/>
                  <w:vAlign w:val="center"/>
                </w:tcPr>
                <w:p w14:paraId="2E7FF1FB">
                  <w:pPr>
                    <w:spacing w:line="32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75</w:t>
                  </w:r>
                </w:p>
              </w:tc>
              <w:tc>
                <w:tcPr>
                  <w:tcW w:w="186" w:type="pct"/>
                  <w:vMerge w:val="continue"/>
                  <w:noWrap w:val="0"/>
                  <w:vAlign w:val="center"/>
                </w:tcPr>
                <w:p w14:paraId="50627692">
                  <w:pPr>
                    <w:spacing w:line="320" w:lineRule="exact"/>
                    <w:jc w:val="center"/>
                    <w:rPr>
                      <w:color w:val="auto"/>
                      <w:kern w:val="0"/>
                      <w:sz w:val="21"/>
                      <w:szCs w:val="21"/>
                    </w:rPr>
                  </w:pPr>
                </w:p>
              </w:tc>
              <w:tc>
                <w:tcPr>
                  <w:tcW w:w="324" w:type="pct"/>
                  <w:noWrap w:val="0"/>
                  <w:vAlign w:val="center"/>
                </w:tcPr>
                <w:p w14:paraId="4E73ED8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-22</w:t>
                  </w:r>
                </w:p>
              </w:tc>
              <w:tc>
                <w:tcPr>
                  <w:tcW w:w="225" w:type="pct"/>
                  <w:noWrap w:val="0"/>
                  <w:vAlign w:val="center"/>
                </w:tcPr>
                <w:p w14:paraId="4362D83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47CE507D">
                  <w:pPr>
                    <w:widowControl/>
                    <w:jc w:val="center"/>
                    <w:rPr>
                      <w:rFonts w:hint="eastAsia"/>
                      <w:color w:val="auto"/>
                      <w:kern w:val="0"/>
                      <w:sz w:val="21"/>
                      <w:szCs w:val="21"/>
                    </w:rPr>
                  </w:pPr>
                  <w:r>
                    <w:rPr>
                      <w:rFonts w:hint="eastAsia"/>
                      <w:color w:val="auto"/>
                      <w:kern w:val="0"/>
                      <w:sz w:val="21"/>
                      <w:szCs w:val="21"/>
                    </w:rPr>
                    <w:t>1</w:t>
                  </w:r>
                </w:p>
              </w:tc>
              <w:tc>
                <w:tcPr>
                  <w:tcW w:w="288" w:type="pct"/>
                  <w:noWrap w:val="0"/>
                  <w:vAlign w:val="center"/>
                </w:tcPr>
                <w:p w14:paraId="7B33F5BA">
                  <w:pPr>
                    <w:widowControl/>
                    <w:jc w:val="center"/>
                    <w:rPr>
                      <w:rFonts w:hint="eastAsia"/>
                      <w:color w:val="auto"/>
                      <w:kern w:val="0"/>
                      <w:sz w:val="21"/>
                      <w:szCs w:val="21"/>
                    </w:rPr>
                  </w:pPr>
                  <w:r>
                    <w:rPr>
                      <w:rFonts w:hint="eastAsia"/>
                      <w:color w:val="auto"/>
                      <w:kern w:val="0"/>
                      <w:sz w:val="21"/>
                      <w:szCs w:val="21"/>
                      <w:lang w:val="en-US" w:eastAsia="zh-CN"/>
                    </w:rPr>
                    <w:t>5</w:t>
                  </w:r>
                </w:p>
              </w:tc>
              <w:tc>
                <w:tcPr>
                  <w:tcW w:w="273" w:type="pct"/>
                  <w:noWrap w:val="0"/>
                  <w:vAlign w:val="center"/>
                </w:tcPr>
                <w:p w14:paraId="2707BDDD">
                  <w:pPr>
                    <w:jc w:val="center"/>
                    <w:rPr>
                      <w:rFonts w:hint="default" w:eastAsia="宋体"/>
                      <w:color w:val="auto"/>
                      <w:kern w:val="0"/>
                      <w:sz w:val="21"/>
                      <w:szCs w:val="21"/>
                      <w:lang w:val="en-US" w:eastAsia="zh-CN"/>
                    </w:rPr>
                  </w:pPr>
                  <w:r>
                    <w:rPr>
                      <w:rFonts w:hint="eastAsia"/>
                      <w:color w:val="auto"/>
                      <w:kern w:val="0"/>
                      <w:sz w:val="21"/>
                      <w:szCs w:val="21"/>
                      <w:lang w:val="en-US" w:eastAsia="zh-CN"/>
                    </w:rPr>
                    <w:t>61</w:t>
                  </w:r>
                </w:p>
              </w:tc>
              <w:tc>
                <w:tcPr>
                  <w:tcW w:w="365" w:type="pct"/>
                  <w:vMerge w:val="continue"/>
                  <w:noWrap w:val="0"/>
                  <w:vAlign w:val="center"/>
                </w:tcPr>
                <w:p w14:paraId="6510DE0E">
                  <w:pPr>
                    <w:jc w:val="center"/>
                    <w:rPr>
                      <w:color w:val="auto"/>
                      <w:kern w:val="0"/>
                      <w:sz w:val="21"/>
                      <w:szCs w:val="21"/>
                    </w:rPr>
                  </w:pPr>
                </w:p>
              </w:tc>
              <w:tc>
                <w:tcPr>
                  <w:tcW w:w="382" w:type="pct"/>
                  <w:noWrap w:val="0"/>
                  <w:vAlign w:val="center"/>
                </w:tcPr>
                <w:p w14:paraId="5C2AEAEE">
                  <w:pPr>
                    <w:jc w:val="center"/>
                    <w:rPr>
                      <w:rFonts w:hint="eastAsia"/>
                      <w:color w:val="auto"/>
                      <w:kern w:val="0"/>
                      <w:sz w:val="21"/>
                      <w:szCs w:val="21"/>
                    </w:rPr>
                  </w:pPr>
                  <w:r>
                    <w:rPr>
                      <w:rFonts w:hint="eastAsia"/>
                      <w:color w:val="auto"/>
                      <w:kern w:val="0"/>
                      <w:sz w:val="21"/>
                      <w:szCs w:val="21"/>
                    </w:rPr>
                    <w:t>20</w:t>
                  </w:r>
                </w:p>
              </w:tc>
              <w:tc>
                <w:tcPr>
                  <w:tcW w:w="382" w:type="pct"/>
                  <w:noWrap w:val="0"/>
                  <w:vAlign w:val="center"/>
                </w:tcPr>
                <w:p w14:paraId="5067F9BF">
                  <w:pPr>
                    <w:jc w:val="center"/>
                    <w:rPr>
                      <w:rFonts w:hint="default" w:eastAsia="宋体"/>
                      <w:color w:val="auto"/>
                      <w:kern w:val="0"/>
                      <w:sz w:val="21"/>
                      <w:szCs w:val="21"/>
                      <w:lang w:val="en-US" w:eastAsia="zh-CN"/>
                    </w:rPr>
                  </w:pPr>
                  <w:r>
                    <w:rPr>
                      <w:rFonts w:hint="eastAsia"/>
                      <w:color w:val="auto"/>
                      <w:kern w:val="0"/>
                      <w:sz w:val="21"/>
                      <w:szCs w:val="21"/>
                      <w:lang w:val="en-US" w:eastAsia="zh-CN"/>
                    </w:rPr>
                    <w:t>41</w:t>
                  </w:r>
                </w:p>
              </w:tc>
              <w:tc>
                <w:tcPr>
                  <w:tcW w:w="277" w:type="pct"/>
                  <w:noWrap w:val="0"/>
                  <w:vAlign w:val="center"/>
                </w:tcPr>
                <w:p w14:paraId="0C63AE38">
                  <w:pPr>
                    <w:jc w:val="center"/>
                    <w:rPr>
                      <w:rFonts w:hint="eastAsia"/>
                      <w:color w:val="auto"/>
                      <w:kern w:val="0"/>
                      <w:sz w:val="21"/>
                      <w:szCs w:val="21"/>
                    </w:rPr>
                  </w:pPr>
                  <w:r>
                    <w:rPr>
                      <w:rFonts w:hint="eastAsia"/>
                      <w:color w:val="auto"/>
                      <w:kern w:val="0"/>
                      <w:sz w:val="21"/>
                      <w:szCs w:val="21"/>
                    </w:rPr>
                    <w:t>1</w:t>
                  </w:r>
                </w:p>
              </w:tc>
            </w:tr>
            <w:tr w14:paraId="14E74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 w:type="pct"/>
                  <w:noWrap w:val="0"/>
                  <w:vAlign w:val="center"/>
                </w:tcPr>
                <w:p w14:paraId="78A6F38E">
                  <w:pPr>
                    <w:jc w:val="center"/>
                    <w:rPr>
                      <w:rFonts w:hint="eastAsia"/>
                      <w:color w:val="auto"/>
                      <w:sz w:val="21"/>
                      <w:szCs w:val="21"/>
                    </w:rPr>
                  </w:pPr>
                  <w:r>
                    <w:rPr>
                      <w:rFonts w:hint="eastAsia"/>
                      <w:color w:val="auto"/>
                      <w:sz w:val="21"/>
                      <w:szCs w:val="21"/>
                    </w:rPr>
                    <w:t>3</w:t>
                  </w:r>
                </w:p>
              </w:tc>
              <w:tc>
                <w:tcPr>
                  <w:tcW w:w="203" w:type="pct"/>
                  <w:vMerge w:val="continue"/>
                  <w:noWrap w:val="0"/>
                  <w:vAlign w:val="center"/>
                </w:tcPr>
                <w:p w14:paraId="00A4BF6E">
                  <w:pPr>
                    <w:jc w:val="center"/>
                    <w:rPr>
                      <w:color w:val="auto"/>
                      <w:sz w:val="21"/>
                      <w:szCs w:val="21"/>
                    </w:rPr>
                  </w:pPr>
                </w:p>
              </w:tc>
              <w:tc>
                <w:tcPr>
                  <w:tcW w:w="704" w:type="pct"/>
                  <w:noWrap w:val="0"/>
                  <w:vAlign w:val="center"/>
                </w:tcPr>
                <w:p w14:paraId="1ADD02C2">
                  <w:pPr>
                    <w:jc w:val="center"/>
                    <w:rPr>
                      <w:rFonts w:ascii="宋体" w:hAnsi="宋体" w:cs="宋体"/>
                      <w:color w:val="auto"/>
                      <w:sz w:val="21"/>
                      <w:szCs w:val="21"/>
                    </w:rPr>
                  </w:pPr>
                  <w:r>
                    <w:rPr>
                      <w:rFonts w:hint="eastAsia"/>
                      <w:color w:val="auto"/>
                      <w:szCs w:val="21"/>
                    </w:rPr>
                    <w:t>旋转除气机</w:t>
                  </w:r>
                </w:p>
              </w:tc>
              <w:tc>
                <w:tcPr>
                  <w:tcW w:w="509" w:type="pct"/>
                  <w:noWrap w:val="0"/>
                  <w:vAlign w:val="center"/>
                </w:tcPr>
                <w:p w14:paraId="272D979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w:t>
                  </w:r>
                </w:p>
              </w:tc>
              <w:tc>
                <w:tcPr>
                  <w:tcW w:w="373" w:type="pct"/>
                  <w:noWrap w:val="0"/>
                  <w:vAlign w:val="center"/>
                </w:tcPr>
                <w:p w14:paraId="788BF12A">
                  <w:pPr>
                    <w:spacing w:line="32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6DC9C379">
                  <w:pPr>
                    <w:spacing w:line="320" w:lineRule="exact"/>
                    <w:jc w:val="center"/>
                    <w:rPr>
                      <w:color w:val="auto"/>
                      <w:kern w:val="0"/>
                      <w:sz w:val="21"/>
                      <w:szCs w:val="21"/>
                    </w:rPr>
                  </w:pPr>
                </w:p>
              </w:tc>
              <w:tc>
                <w:tcPr>
                  <w:tcW w:w="324" w:type="pct"/>
                  <w:noWrap w:val="0"/>
                  <w:vAlign w:val="center"/>
                </w:tcPr>
                <w:p w14:paraId="5896D0E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-18</w:t>
                  </w:r>
                </w:p>
              </w:tc>
              <w:tc>
                <w:tcPr>
                  <w:tcW w:w="225" w:type="pct"/>
                  <w:noWrap w:val="0"/>
                  <w:vAlign w:val="center"/>
                </w:tcPr>
                <w:p w14:paraId="38AAB03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3D39FA4D">
                  <w:pPr>
                    <w:widowControl/>
                    <w:jc w:val="center"/>
                    <w:rPr>
                      <w:rFonts w:hint="eastAsia"/>
                      <w:color w:val="auto"/>
                      <w:kern w:val="0"/>
                      <w:sz w:val="21"/>
                      <w:szCs w:val="21"/>
                    </w:rPr>
                  </w:pPr>
                  <w:r>
                    <w:rPr>
                      <w:rFonts w:hint="eastAsia"/>
                      <w:color w:val="auto"/>
                      <w:kern w:val="0"/>
                      <w:sz w:val="21"/>
                      <w:szCs w:val="21"/>
                    </w:rPr>
                    <w:t>1</w:t>
                  </w:r>
                </w:p>
              </w:tc>
              <w:tc>
                <w:tcPr>
                  <w:tcW w:w="288" w:type="pct"/>
                  <w:noWrap w:val="0"/>
                  <w:vAlign w:val="center"/>
                </w:tcPr>
                <w:p w14:paraId="032FF363">
                  <w:pPr>
                    <w:widowControl/>
                    <w:jc w:val="center"/>
                    <w:rPr>
                      <w:rFonts w:hint="eastAsia" w:eastAsia="宋体"/>
                      <w:color w:val="auto"/>
                      <w:kern w:val="0"/>
                      <w:sz w:val="21"/>
                      <w:szCs w:val="21"/>
                      <w:lang w:eastAsia="zh-CN"/>
                    </w:rPr>
                  </w:pPr>
                  <w:r>
                    <w:rPr>
                      <w:rFonts w:hint="eastAsia"/>
                      <w:color w:val="auto"/>
                      <w:kern w:val="0"/>
                      <w:sz w:val="21"/>
                      <w:szCs w:val="21"/>
                      <w:lang w:val="en-US" w:eastAsia="zh-CN"/>
                    </w:rPr>
                    <w:t>5</w:t>
                  </w:r>
                </w:p>
              </w:tc>
              <w:tc>
                <w:tcPr>
                  <w:tcW w:w="273" w:type="pct"/>
                  <w:noWrap w:val="0"/>
                  <w:vAlign w:val="center"/>
                </w:tcPr>
                <w:p w14:paraId="34C7E780">
                  <w:pPr>
                    <w:jc w:val="center"/>
                    <w:rPr>
                      <w:rFonts w:hint="default" w:eastAsia="宋体"/>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5317774B">
                  <w:pPr>
                    <w:jc w:val="center"/>
                    <w:rPr>
                      <w:color w:val="auto"/>
                      <w:kern w:val="0"/>
                      <w:sz w:val="21"/>
                      <w:szCs w:val="21"/>
                    </w:rPr>
                  </w:pPr>
                </w:p>
              </w:tc>
              <w:tc>
                <w:tcPr>
                  <w:tcW w:w="382" w:type="pct"/>
                  <w:noWrap w:val="0"/>
                  <w:vAlign w:val="center"/>
                </w:tcPr>
                <w:p w14:paraId="767C29FF">
                  <w:pPr>
                    <w:jc w:val="center"/>
                    <w:rPr>
                      <w:rFonts w:hint="eastAsia"/>
                      <w:color w:val="auto"/>
                      <w:kern w:val="0"/>
                      <w:sz w:val="21"/>
                      <w:szCs w:val="21"/>
                    </w:rPr>
                  </w:pPr>
                  <w:r>
                    <w:rPr>
                      <w:rFonts w:hint="eastAsia"/>
                      <w:color w:val="auto"/>
                      <w:kern w:val="0"/>
                      <w:sz w:val="21"/>
                      <w:szCs w:val="21"/>
                    </w:rPr>
                    <w:t>20</w:t>
                  </w:r>
                </w:p>
              </w:tc>
              <w:tc>
                <w:tcPr>
                  <w:tcW w:w="382" w:type="pct"/>
                  <w:noWrap w:val="0"/>
                  <w:vAlign w:val="center"/>
                </w:tcPr>
                <w:p w14:paraId="71F1874E">
                  <w:pPr>
                    <w:jc w:val="center"/>
                    <w:rPr>
                      <w:rFonts w:hint="default" w:eastAsia="宋体"/>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1A149ECF">
                  <w:pPr>
                    <w:jc w:val="center"/>
                    <w:rPr>
                      <w:rFonts w:hint="eastAsia"/>
                      <w:color w:val="auto"/>
                      <w:kern w:val="0"/>
                      <w:sz w:val="21"/>
                      <w:szCs w:val="21"/>
                    </w:rPr>
                  </w:pPr>
                  <w:r>
                    <w:rPr>
                      <w:rFonts w:hint="eastAsia"/>
                      <w:color w:val="auto"/>
                      <w:kern w:val="0"/>
                      <w:sz w:val="21"/>
                      <w:szCs w:val="21"/>
                    </w:rPr>
                    <w:t>1</w:t>
                  </w:r>
                </w:p>
              </w:tc>
            </w:tr>
            <w:tr w14:paraId="34215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 w:type="pct"/>
                  <w:noWrap w:val="0"/>
                  <w:vAlign w:val="center"/>
                </w:tcPr>
                <w:p w14:paraId="21D4531A">
                  <w:pPr>
                    <w:jc w:val="center"/>
                    <w:rPr>
                      <w:rFonts w:hint="eastAsia"/>
                      <w:color w:val="auto"/>
                      <w:sz w:val="21"/>
                      <w:szCs w:val="21"/>
                    </w:rPr>
                  </w:pPr>
                  <w:r>
                    <w:rPr>
                      <w:rFonts w:hint="eastAsia"/>
                      <w:color w:val="auto"/>
                      <w:sz w:val="21"/>
                      <w:szCs w:val="21"/>
                    </w:rPr>
                    <w:t>4</w:t>
                  </w:r>
                </w:p>
              </w:tc>
              <w:tc>
                <w:tcPr>
                  <w:tcW w:w="203" w:type="pct"/>
                  <w:vMerge w:val="continue"/>
                  <w:noWrap w:val="0"/>
                  <w:vAlign w:val="center"/>
                </w:tcPr>
                <w:p w14:paraId="30459376">
                  <w:pPr>
                    <w:jc w:val="center"/>
                    <w:rPr>
                      <w:color w:val="auto"/>
                      <w:sz w:val="21"/>
                      <w:szCs w:val="21"/>
                    </w:rPr>
                  </w:pPr>
                </w:p>
              </w:tc>
              <w:tc>
                <w:tcPr>
                  <w:tcW w:w="704" w:type="pct"/>
                  <w:noWrap w:val="0"/>
                  <w:vAlign w:val="center"/>
                </w:tcPr>
                <w:p w14:paraId="7B6B7E13">
                  <w:pPr>
                    <w:jc w:val="center"/>
                    <w:rPr>
                      <w:rFonts w:ascii="宋体" w:hAnsi="宋体" w:cs="宋体"/>
                      <w:color w:val="auto"/>
                      <w:sz w:val="21"/>
                      <w:szCs w:val="21"/>
                    </w:rPr>
                  </w:pPr>
                  <w:r>
                    <w:rPr>
                      <w:rFonts w:hint="eastAsia"/>
                      <w:color w:val="auto"/>
                      <w:szCs w:val="21"/>
                    </w:rPr>
                    <w:t>覆膜砂制芯机</w:t>
                  </w:r>
                </w:p>
              </w:tc>
              <w:tc>
                <w:tcPr>
                  <w:tcW w:w="509" w:type="pct"/>
                  <w:noWrap w:val="0"/>
                  <w:vAlign w:val="center"/>
                </w:tcPr>
                <w:p w14:paraId="33D724E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Z956</w:t>
                  </w:r>
                </w:p>
              </w:tc>
              <w:tc>
                <w:tcPr>
                  <w:tcW w:w="373" w:type="pct"/>
                  <w:noWrap w:val="0"/>
                  <w:vAlign w:val="center"/>
                </w:tcPr>
                <w:p w14:paraId="1DB20C65">
                  <w:pPr>
                    <w:spacing w:line="32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75</w:t>
                  </w:r>
                </w:p>
              </w:tc>
              <w:tc>
                <w:tcPr>
                  <w:tcW w:w="186" w:type="pct"/>
                  <w:vMerge w:val="continue"/>
                  <w:noWrap w:val="0"/>
                  <w:vAlign w:val="center"/>
                </w:tcPr>
                <w:p w14:paraId="200D1D91">
                  <w:pPr>
                    <w:spacing w:line="320" w:lineRule="exact"/>
                    <w:jc w:val="center"/>
                    <w:rPr>
                      <w:color w:val="auto"/>
                      <w:kern w:val="0"/>
                      <w:sz w:val="21"/>
                      <w:szCs w:val="21"/>
                    </w:rPr>
                  </w:pPr>
                </w:p>
              </w:tc>
              <w:tc>
                <w:tcPr>
                  <w:tcW w:w="324" w:type="pct"/>
                  <w:noWrap w:val="0"/>
                  <w:vAlign w:val="center"/>
                </w:tcPr>
                <w:p w14:paraId="1095319A">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-25</w:t>
                  </w:r>
                </w:p>
              </w:tc>
              <w:tc>
                <w:tcPr>
                  <w:tcW w:w="225" w:type="pct"/>
                  <w:noWrap w:val="0"/>
                  <w:vAlign w:val="center"/>
                </w:tcPr>
                <w:p w14:paraId="51500AC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1B4E3683">
                  <w:pPr>
                    <w:widowControl/>
                    <w:jc w:val="center"/>
                    <w:rPr>
                      <w:rFonts w:hint="eastAsia"/>
                      <w:color w:val="auto"/>
                      <w:kern w:val="0"/>
                      <w:sz w:val="21"/>
                      <w:szCs w:val="21"/>
                    </w:rPr>
                  </w:pPr>
                  <w:r>
                    <w:rPr>
                      <w:rFonts w:hint="eastAsia"/>
                      <w:color w:val="auto"/>
                      <w:kern w:val="0"/>
                      <w:sz w:val="21"/>
                      <w:szCs w:val="21"/>
                    </w:rPr>
                    <w:t>1</w:t>
                  </w:r>
                </w:p>
              </w:tc>
              <w:tc>
                <w:tcPr>
                  <w:tcW w:w="288" w:type="pct"/>
                  <w:noWrap w:val="0"/>
                  <w:vAlign w:val="center"/>
                </w:tcPr>
                <w:p w14:paraId="45EAD028">
                  <w:pPr>
                    <w:widowControl/>
                    <w:jc w:val="center"/>
                    <w:rPr>
                      <w:rFonts w:hint="eastAsia"/>
                      <w:color w:val="auto"/>
                      <w:kern w:val="0"/>
                      <w:sz w:val="21"/>
                      <w:szCs w:val="21"/>
                    </w:rPr>
                  </w:pPr>
                  <w:r>
                    <w:rPr>
                      <w:rFonts w:hint="eastAsia"/>
                      <w:color w:val="auto"/>
                      <w:kern w:val="0"/>
                      <w:sz w:val="21"/>
                      <w:szCs w:val="21"/>
                      <w:lang w:val="en-US" w:eastAsia="zh-CN"/>
                    </w:rPr>
                    <w:t>5</w:t>
                  </w:r>
                </w:p>
              </w:tc>
              <w:tc>
                <w:tcPr>
                  <w:tcW w:w="273" w:type="pct"/>
                  <w:noWrap w:val="0"/>
                  <w:vAlign w:val="center"/>
                </w:tcPr>
                <w:p w14:paraId="41510257">
                  <w:pPr>
                    <w:jc w:val="center"/>
                    <w:rPr>
                      <w:rFonts w:hint="default" w:eastAsia="宋体"/>
                      <w:color w:val="auto"/>
                      <w:kern w:val="0"/>
                      <w:sz w:val="21"/>
                      <w:szCs w:val="21"/>
                      <w:lang w:val="en-US" w:eastAsia="zh-CN"/>
                    </w:rPr>
                  </w:pPr>
                  <w:r>
                    <w:rPr>
                      <w:rFonts w:hint="eastAsia"/>
                      <w:color w:val="auto"/>
                      <w:kern w:val="0"/>
                      <w:sz w:val="21"/>
                      <w:szCs w:val="21"/>
                      <w:lang w:val="en-US" w:eastAsia="zh-CN"/>
                    </w:rPr>
                    <w:t>61</w:t>
                  </w:r>
                </w:p>
              </w:tc>
              <w:tc>
                <w:tcPr>
                  <w:tcW w:w="365" w:type="pct"/>
                  <w:vMerge w:val="continue"/>
                  <w:noWrap w:val="0"/>
                  <w:vAlign w:val="center"/>
                </w:tcPr>
                <w:p w14:paraId="4F37D642">
                  <w:pPr>
                    <w:jc w:val="center"/>
                    <w:rPr>
                      <w:color w:val="auto"/>
                      <w:kern w:val="0"/>
                      <w:sz w:val="21"/>
                      <w:szCs w:val="21"/>
                    </w:rPr>
                  </w:pPr>
                </w:p>
              </w:tc>
              <w:tc>
                <w:tcPr>
                  <w:tcW w:w="382" w:type="pct"/>
                  <w:noWrap w:val="0"/>
                  <w:vAlign w:val="center"/>
                </w:tcPr>
                <w:p w14:paraId="34134BFF">
                  <w:pPr>
                    <w:jc w:val="center"/>
                    <w:rPr>
                      <w:rFonts w:hint="eastAsia"/>
                      <w:color w:val="auto"/>
                      <w:kern w:val="0"/>
                      <w:sz w:val="21"/>
                      <w:szCs w:val="21"/>
                    </w:rPr>
                  </w:pPr>
                  <w:r>
                    <w:rPr>
                      <w:rFonts w:hint="eastAsia"/>
                      <w:color w:val="auto"/>
                      <w:kern w:val="0"/>
                      <w:sz w:val="21"/>
                      <w:szCs w:val="21"/>
                    </w:rPr>
                    <w:t>20</w:t>
                  </w:r>
                </w:p>
              </w:tc>
              <w:tc>
                <w:tcPr>
                  <w:tcW w:w="382" w:type="pct"/>
                  <w:noWrap w:val="0"/>
                  <w:vAlign w:val="center"/>
                </w:tcPr>
                <w:p w14:paraId="0E4EE309">
                  <w:pPr>
                    <w:jc w:val="center"/>
                    <w:rPr>
                      <w:rFonts w:hint="default" w:eastAsia="宋体"/>
                      <w:color w:val="auto"/>
                      <w:kern w:val="0"/>
                      <w:sz w:val="21"/>
                      <w:szCs w:val="21"/>
                      <w:lang w:val="en-US" w:eastAsia="zh-CN"/>
                    </w:rPr>
                  </w:pPr>
                  <w:r>
                    <w:rPr>
                      <w:rFonts w:hint="eastAsia"/>
                      <w:color w:val="auto"/>
                      <w:kern w:val="0"/>
                      <w:sz w:val="21"/>
                      <w:szCs w:val="21"/>
                      <w:lang w:val="en-US" w:eastAsia="zh-CN"/>
                    </w:rPr>
                    <w:t>41</w:t>
                  </w:r>
                </w:p>
              </w:tc>
              <w:tc>
                <w:tcPr>
                  <w:tcW w:w="277" w:type="pct"/>
                  <w:noWrap w:val="0"/>
                  <w:vAlign w:val="center"/>
                </w:tcPr>
                <w:p w14:paraId="6BFBC8FF">
                  <w:pPr>
                    <w:jc w:val="center"/>
                    <w:rPr>
                      <w:rFonts w:hint="eastAsia"/>
                      <w:color w:val="auto"/>
                      <w:kern w:val="0"/>
                      <w:sz w:val="21"/>
                      <w:szCs w:val="21"/>
                    </w:rPr>
                  </w:pPr>
                  <w:r>
                    <w:rPr>
                      <w:rFonts w:hint="eastAsia"/>
                      <w:color w:val="auto"/>
                      <w:kern w:val="0"/>
                      <w:sz w:val="21"/>
                      <w:szCs w:val="21"/>
                    </w:rPr>
                    <w:t>1</w:t>
                  </w:r>
                </w:p>
              </w:tc>
            </w:tr>
            <w:tr w14:paraId="635ED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2" w:type="pct"/>
                  <w:noWrap w:val="0"/>
                  <w:vAlign w:val="center"/>
                </w:tcPr>
                <w:p w14:paraId="71CAE007">
                  <w:pPr>
                    <w:jc w:val="center"/>
                    <w:rPr>
                      <w:rFonts w:hint="eastAsia"/>
                      <w:color w:val="auto"/>
                      <w:sz w:val="21"/>
                      <w:szCs w:val="21"/>
                    </w:rPr>
                  </w:pPr>
                  <w:r>
                    <w:rPr>
                      <w:rFonts w:hint="eastAsia"/>
                      <w:color w:val="auto"/>
                      <w:sz w:val="21"/>
                      <w:szCs w:val="21"/>
                    </w:rPr>
                    <w:t>5</w:t>
                  </w:r>
                </w:p>
              </w:tc>
              <w:tc>
                <w:tcPr>
                  <w:tcW w:w="203" w:type="pct"/>
                  <w:vMerge w:val="continue"/>
                  <w:noWrap w:val="0"/>
                  <w:vAlign w:val="center"/>
                </w:tcPr>
                <w:p w14:paraId="192EC0A2">
                  <w:pPr>
                    <w:jc w:val="center"/>
                    <w:rPr>
                      <w:color w:val="auto"/>
                      <w:sz w:val="21"/>
                      <w:szCs w:val="21"/>
                    </w:rPr>
                  </w:pPr>
                </w:p>
              </w:tc>
              <w:tc>
                <w:tcPr>
                  <w:tcW w:w="704" w:type="pct"/>
                  <w:noWrap w:val="0"/>
                  <w:vAlign w:val="center"/>
                </w:tcPr>
                <w:p w14:paraId="38CC0DD8">
                  <w:pPr>
                    <w:jc w:val="center"/>
                    <w:rPr>
                      <w:rFonts w:ascii="宋体" w:hAnsi="宋体" w:cs="宋体"/>
                      <w:color w:val="auto"/>
                      <w:sz w:val="21"/>
                      <w:szCs w:val="21"/>
                    </w:rPr>
                  </w:pPr>
                  <w:r>
                    <w:rPr>
                      <w:rFonts w:hint="eastAsia"/>
                      <w:color w:val="auto"/>
                      <w:szCs w:val="21"/>
                    </w:rPr>
                    <w:t>重力浇注机器人</w:t>
                  </w:r>
                </w:p>
              </w:tc>
              <w:tc>
                <w:tcPr>
                  <w:tcW w:w="509" w:type="pct"/>
                  <w:noWrap w:val="0"/>
                  <w:vAlign w:val="center"/>
                </w:tcPr>
                <w:p w14:paraId="0ACE703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150KG</w:t>
                  </w:r>
                </w:p>
              </w:tc>
              <w:tc>
                <w:tcPr>
                  <w:tcW w:w="373" w:type="pct"/>
                  <w:noWrap w:val="0"/>
                  <w:vAlign w:val="center"/>
                </w:tcPr>
                <w:p w14:paraId="350E454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75</w:t>
                  </w:r>
                </w:p>
              </w:tc>
              <w:tc>
                <w:tcPr>
                  <w:tcW w:w="186" w:type="pct"/>
                  <w:vMerge w:val="continue"/>
                  <w:noWrap w:val="0"/>
                  <w:vAlign w:val="center"/>
                </w:tcPr>
                <w:p w14:paraId="193FEECC">
                  <w:pPr>
                    <w:spacing w:line="320" w:lineRule="exact"/>
                    <w:jc w:val="center"/>
                    <w:rPr>
                      <w:color w:val="auto"/>
                      <w:kern w:val="0"/>
                      <w:sz w:val="21"/>
                      <w:szCs w:val="21"/>
                    </w:rPr>
                  </w:pPr>
                </w:p>
              </w:tc>
              <w:tc>
                <w:tcPr>
                  <w:tcW w:w="324" w:type="pct"/>
                  <w:noWrap w:val="0"/>
                  <w:vAlign w:val="center"/>
                </w:tcPr>
                <w:p w14:paraId="35604506">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-22</w:t>
                  </w:r>
                </w:p>
              </w:tc>
              <w:tc>
                <w:tcPr>
                  <w:tcW w:w="225" w:type="pct"/>
                  <w:noWrap w:val="0"/>
                  <w:vAlign w:val="center"/>
                </w:tcPr>
                <w:p w14:paraId="665485DA">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03686FD7">
                  <w:pPr>
                    <w:widowControl/>
                    <w:jc w:val="center"/>
                    <w:rPr>
                      <w:rFonts w:hint="eastAsia"/>
                      <w:color w:val="auto"/>
                      <w:kern w:val="0"/>
                      <w:sz w:val="21"/>
                      <w:szCs w:val="21"/>
                    </w:rPr>
                  </w:pPr>
                  <w:r>
                    <w:rPr>
                      <w:rFonts w:hint="eastAsia"/>
                      <w:color w:val="auto"/>
                      <w:kern w:val="0"/>
                      <w:sz w:val="21"/>
                      <w:szCs w:val="21"/>
                    </w:rPr>
                    <w:t>1</w:t>
                  </w:r>
                </w:p>
              </w:tc>
              <w:tc>
                <w:tcPr>
                  <w:tcW w:w="288" w:type="pct"/>
                  <w:noWrap w:val="0"/>
                  <w:vAlign w:val="center"/>
                </w:tcPr>
                <w:p w14:paraId="7D490C5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71342A08">
                  <w:pPr>
                    <w:jc w:val="center"/>
                    <w:rPr>
                      <w:rFonts w:hint="default" w:eastAsia="宋体"/>
                      <w:color w:val="auto"/>
                      <w:kern w:val="0"/>
                      <w:sz w:val="21"/>
                      <w:szCs w:val="21"/>
                      <w:lang w:val="en-US" w:eastAsia="zh-CN"/>
                    </w:rPr>
                  </w:pPr>
                  <w:r>
                    <w:rPr>
                      <w:rFonts w:hint="eastAsia"/>
                      <w:color w:val="auto"/>
                      <w:kern w:val="0"/>
                      <w:sz w:val="21"/>
                      <w:szCs w:val="21"/>
                      <w:lang w:val="en-US" w:eastAsia="zh-CN"/>
                    </w:rPr>
                    <w:t>61</w:t>
                  </w:r>
                </w:p>
              </w:tc>
              <w:tc>
                <w:tcPr>
                  <w:tcW w:w="365" w:type="pct"/>
                  <w:vMerge w:val="continue"/>
                  <w:noWrap w:val="0"/>
                  <w:vAlign w:val="center"/>
                </w:tcPr>
                <w:p w14:paraId="1B67CF4F">
                  <w:pPr>
                    <w:jc w:val="center"/>
                    <w:rPr>
                      <w:color w:val="auto"/>
                      <w:kern w:val="0"/>
                      <w:sz w:val="21"/>
                      <w:szCs w:val="21"/>
                    </w:rPr>
                  </w:pPr>
                </w:p>
              </w:tc>
              <w:tc>
                <w:tcPr>
                  <w:tcW w:w="382" w:type="pct"/>
                  <w:noWrap w:val="0"/>
                  <w:vAlign w:val="center"/>
                </w:tcPr>
                <w:p w14:paraId="73CAF6F1">
                  <w:pPr>
                    <w:jc w:val="center"/>
                    <w:rPr>
                      <w:rFonts w:hint="eastAsia"/>
                      <w:color w:val="auto"/>
                      <w:kern w:val="0"/>
                      <w:sz w:val="21"/>
                      <w:szCs w:val="21"/>
                    </w:rPr>
                  </w:pPr>
                  <w:r>
                    <w:rPr>
                      <w:rFonts w:hint="eastAsia"/>
                      <w:color w:val="auto"/>
                      <w:kern w:val="0"/>
                      <w:sz w:val="21"/>
                      <w:szCs w:val="21"/>
                    </w:rPr>
                    <w:t>20</w:t>
                  </w:r>
                </w:p>
              </w:tc>
              <w:tc>
                <w:tcPr>
                  <w:tcW w:w="382" w:type="pct"/>
                  <w:noWrap w:val="0"/>
                  <w:vAlign w:val="center"/>
                </w:tcPr>
                <w:p w14:paraId="359E074B">
                  <w:pPr>
                    <w:jc w:val="center"/>
                    <w:rPr>
                      <w:rFonts w:hint="default" w:eastAsia="宋体"/>
                      <w:color w:val="auto"/>
                      <w:kern w:val="0"/>
                      <w:sz w:val="21"/>
                      <w:szCs w:val="21"/>
                      <w:lang w:val="en-US" w:eastAsia="zh-CN"/>
                    </w:rPr>
                  </w:pPr>
                  <w:r>
                    <w:rPr>
                      <w:rFonts w:hint="eastAsia"/>
                      <w:color w:val="auto"/>
                      <w:kern w:val="0"/>
                      <w:sz w:val="21"/>
                      <w:szCs w:val="21"/>
                      <w:lang w:val="en-US" w:eastAsia="zh-CN"/>
                    </w:rPr>
                    <w:t>41</w:t>
                  </w:r>
                </w:p>
              </w:tc>
              <w:tc>
                <w:tcPr>
                  <w:tcW w:w="277" w:type="pct"/>
                  <w:noWrap w:val="0"/>
                  <w:vAlign w:val="center"/>
                </w:tcPr>
                <w:p w14:paraId="59775F60">
                  <w:pPr>
                    <w:jc w:val="center"/>
                    <w:rPr>
                      <w:rFonts w:hint="eastAsia"/>
                      <w:color w:val="auto"/>
                      <w:kern w:val="0"/>
                      <w:sz w:val="21"/>
                      <w:szCs w:val="21"/>
                    </w:rPr>
                  </w:pPr>
                  <w:r>
                    <w:rPr>
                      <w:rFonts w:hint="eastAsia"/>
                      <w:color w:val="auto"/>
                      <w:kern w:val="0"/>
                      <w:sz w:val="21"/>
                      <w:szCs w:val="21"/>
                    </w:rPr>
                    <w:t>1</w:t>
                  </w:r>
                </w:p>
              </w:tc>
            </w:tr>
            <w:tr w14:paraId="4A311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12" w:type="pct"/>
                  <w:noWrap w:val="0"/>
                  <w:vAlign w:val="center"/>
                </w:tcPr>
                <w:p w14:paraId="7293346F">
                  <w:pPr>
                    <w:jc w:val="center"/>
                    <w:rPr>
                      <w:rFonts w:hint="eastAsia" w:eastAsia="宋体"/>
                      <w:color w:val="auto"/>
                      <w:sz w:val="21"/>
                      <w:szCs w:val="21"/>
                      <w:lang w:val="en-US" w:eastAsia="zh-CN"/>
                    </w:rPr>
                  </w:pPr>
                  <w:r>
                    <w:rPr>
                      <w:rFonts w:hint="eastAsia"/>
                      <w:color w:val="auto"/>
                      <w:sz w:val="21"/>
                      <w:szCs w:val="21"/>
                      <w:lang w:val="en-US" w:eastAsia="zh-CN"/>
                    </w:rPr>
                    <w:t>6</w:t>
                  </w:r>
                </w:p>
              </w:tc>
              <w:tc>
                <w:tcPr>
                  <w:tcW w:w="203" w:type="pct"/>
                  <w:vMerge w:val="continue"/>
                  <w:noWrap w:val="0"/>
                  <w:vAlign w:val="center"/>
                </w:tcPr>
                <w:p w14:paraId="34F56332">
                  <w:pPr>
                    <w:jc w:val="center"/>
                    <w:rPr>
                      <w:color w:val="auto"/>
                      <w:sz w:val="21"/>
                      <w:szCs w:val="21"/>
                    </w:rPr>
                  </w:pPr>
                </w:p>
              </w:tc>
              <w:tc>
                <w:tcPr>
                  <w:tcW w:w="704" w:type="pct"/>
                  <w:noWrap w:val="0"/>
                  <w:vAlign w:val="center"/>
                </w:tcPr>
                <w:p w14:paraId="04B070E2">
                  <w:pPr>
                    <w:jc w:val="center"/>
                    <w:rPr>
                      <w:rFonts w:hint="eastAsia"/>
                      <w:color w:val="auto"/>
                      <w:sz w:val="21"/>
                      <w:szCs w:val="21"/>
                    </w:rPr>
                  </w:pPr>
                  <w:r>
                    <w:rPr>
                      <w:rFonts w:hint="eastAsia"/>
                      <w:color w:val="auto"/>
                      <w:szCs w:val="21"/>
                    </w:rPr>
                    <w:t>倾转重力浇注机</w:t>
                  </w:r>
                </w:p>
              </w:tc>
              <w:tc>
                <w:tcPr>
                  <w:tcW w:w="509" w:type="pct"/>
                  <w:noWrap w:val="0"/>
                  <w:vAlign w:val="center"/>
                </w:tcPr>
                <w:p w14:paraId="5083C5E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860</w:t>
                  </w:r>
                </w:p>
              </w:tc>
              <w:tc>
                <w:tcPr>
                  <w:tcW w:w="373" w:type="pct"/>
                  <w:noWrap w:val="0"/>
                  <w:vAlign w:val="center"/>
                </w:tcPr>
                <w:p w14:paraId="2FCCB6EC">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1502F562">
                  <w:pPr>
                    <w:spacing w:line="320" w:lineRule="exact"/>
                    <w:jc w:val="center"/>
                    <w:rPr>
                      <w:color w:val="auto"/>
                      <w:kern w:val="0"/>
                      <w:sz w:val="21"/>
                      <w:szCs w:val="21"/>
                    </w:rPr>
                  </w:pPr>
                </w:p>
              </w:tc>
              <w:tc>
                <w:tcPr>
                  <w:tcW w:w="324" w:type="pct"/>
                  <w:noWrap w:val="0"/>
                  <w:vAlign w:val="center"/>
                </w:tcPr>
                <w:p w14:paraId="5643B2E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-22</w:t>
                  </w:r>
                </w:p>
              </w:tc>
              <w:tc>
                <w:tcPr>
                  <w:tcW w:w="225" w:type="pct"/>
                  <w:noWrap w:val="0"/>
                  <w:vAlign w:val="center"/>
                </w:tcPr>
                <w:p w14:paraId="32C6BD06">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6DECDE61">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53F7836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541B3E44">
                  <w:pPr>
                    <w:jc w:val="center"/>
                    <w:rPr>
                      <w:rFonts w:hint="default" w:eastAsia="宋体"/>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126E4245">
                  <w:pPr>
                    <w:jc w:val="center"/>
                    <w:rPr>
                      <w:color w:val="auto"/>
                      <w:kern w:val="0"/>
                      <w:sz w:val="21"/>
                      <w:szCs w:val="21"/>
                    </w:rPr>
                  </w:pPr>
                </w:p>
              </w:tc>
              <w:tc>
                <w:tcPr>
                  <w:tcW w:w="382" w:type="pct"/>
                  <w:noWrap w:val="0"/>
                  <w:vAlign w:val="center"/>
                </w:tcPr>
                <w:p w14:paraId="2AC0A214">
                  <w:pPr>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5DA1E05B">
                  <w:pPr>
                    <w:jc w:val="center"/>
                    <w:rPr>
                      <w:rFonts w:hint="default" w:eastAsia="宋体"/>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17128DB3">
                  <w:pPr>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r>
            <w:tr w14:paraId="767C5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675F1F1A">
                  <w:pPr>
                    <w:jc w:val="center"/>
                    <w:rPr>
                      <w:rFonts w:hint="eastAsia" w:eastAsia="宋体"/>
                      <w:color w:val="auto"/>
                      <w:sz w:val="21"/>
                      <w:szCs w:val="21"/>
                      <w:lang w:val="en-US" w:eastAsia="zh-CN"/>
                    </w:rPr>
                  </w:pPr>
                  <w:r>
                    <w:rPr>
                      <w:rFonts w:hint="eastAsia"/>
                      <w:color w:val="auto"/>
                      <w:sz w:val="21"/>
                      <w:szCs w:val="21"/>
                      <w:lang w:val="en-US" w:eastAsia="zh-CN"/>
                    </w:rPr>
                    <w:t>7</w:t>
                  </w:r>
                </w:p>
              </w:tc>
              <w:tc>
                <w:tcPr>
                  <w:tcW w:w="203" w:type="pct"/>
                  <w:vMerge w:val="continue"/>
                  <w:noWrap w:val="0"/>
                  <w:vAlign w:val="center"/>
                </w:tcPr>
                <w:p w14:paraId="6DBC3C39">
                  <w:pPr>
                    <w:jc w:val="center"/>
                    <w:rPr>
                      <w:color w:val="auto"/>
                      <w:sz w:val="21"/>
                      <w:szCs w:val="21"/>
                    </w:rPr>
                  </w:pPr>
                </w:p>
              </w:tc>
              <w:tc>
                <w:tcPr>
                  <w:tcW w:w="704" w:type="pct"/>
                  <w:noWrap w:val="0"/>
                  <w:vAlign w:val="center"/>
                </w:tcPr>
                <w:p w14:paraId="062E0D0F">
                  <w:pPr>
                    <w:jc w:val="center"/>
                    <w:rPr>
                      <w:rFonts w:hint="eastAsia"/>
                      <w:color w:val="auto"/>
                      <w:sz w:val="21"/>
                      <w:szCs w:val="21"/>
                    </w:rPr>
                  </w:pPr>
                  <w:r>
                    <w:rPr>
                      <w:rFonts w:hint="eastAsia"/>
                      <w:color w:val="auto"/>
                      <w:szCs w:val="21"/>
                    </w:rPr>
                    <w:t>铝合金</w:t>
                  </w:r>
                  <w:r>
                    <w:rPr>
                      <w:rFonts w:ascii="Arial" w:hAnsi="Arial" w:cs="Arial"/>
                      <w:color w:val="auto"/>
                      <w:szCs w:val="21"/>
                    </w:rPr>
                    <w:t>T6</w:t>
                  </w:r>
                  <w:r>
                    <w:rPr>
                      <w:rFonts w:hint="eastAsia"/>
                      <w:color w:val="auto"/>
                      <w:szCs w:val="21"/>
                    </w:rPr>
                    <w:t>固溶炉</w:t>
                  </w:r>
                </w:p>
              </w:tc>
              <w:tc>
                <w:tcPr>
                  <w:tcW w:w="509" w:type="pct"/>
                  <w:noWrap w:val="0"/>
                  <w:vAlign w:val="center"/>
                </w:tcPr>
                <w:p w14:paraId="379C8FF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2T</w:t>
                  </w:r>
                </w:p>
              </w:tc>
              <w:tc>
                <w:tcPr>
                  <w:tcW w:w="373" w:type="pct"/>
                  <w:noWrap w:val="0"/>
                  <w:vAlign w:val="center"/>
                </w:tcPr>
                <w:p w14:paraId="69BA846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75</w:t>
                  </w:r>
                </w:p>
              </w:tc>
              <w:tc>
                <w:tcPr>
                  <w:tcW w:w="186" w:type="pct"/>
                  <w:vMerge w:val="continue"/>
                  <w:noWrap w:val="0"/>
                  <w:vAlign w:val="center"/>
                </w:tcPr>
                <w:p w14:paraId="718B5310">
                  <w:pPr>
                    <w:spacing w:line="320" w:lineRule="exact"/>
                    <w:jc w:val="center"/>
                    <w:rPr>
                      <w:color w:val="auto"/>
                      <w:kern w:val="0"/>
                      <w:sz w:val="21"/>
                      <w:szCs w:val="21"/>
                    </w:rPr>
                  </w:pPr>
                </w:p>
              </w:tc>
              <w:tc>
                <w:tcPr>
                  <w:tcW w:w="324" w:type="pct"/>
                  <w:noWrap w:val="0"/>
                  <w:vAlign w:val="center"/>
                </w:tcPr>
                <w:p w14:paraId="4A250203">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32</w:t>
                  </w:r>
                </w:p>
              </w:tc>
              <w:tc>
                <w:tcPr>
                  <w:tcW w:w="225" w:type="pct"/>
                  <w:noWrap w:val="0"/>
                  <w:vAlign w:val="center"/>
                </w:tcPr>
                <w:p w14:paraId="38233665">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0</w:t>
                  </w:r>
                </w:p>
              </w:tc>
              <w:tc>
                <w:tcPr>
                  <w:tcW w:w="288" w:type="pct"/>
                  <w:noWrap w:val="0"/>
                  <w:vAlign w:val="center"/>
                </w:tcPr>
                <w:p w14:paraId="10F9B15A">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7417413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52FEB186">
                  <w:pPr>
                    <w:jc w:val="center"/>
                    <w:rPr>
                      <w:rFonts w:hint="default" w:eastAsia="宋体"/>
                      <w:color w:val="auto"/>
                      <w:kern w:val="0"/>
                      <w:sz w:val="21"/>
                      <w:szCs w:val="21"/>
                      <w:lang w:val="en-US" w:eastAsia="zh-CN"/>
                    </w:rPr>
                  </w:pPr>
                  <w:r>
                    <w:rPr>
                      <w:rFonts w:hint="eastAsia"/>
                      <w:color w:val="auto"/>
                      <w:kern w:val="0"/>
                      <w:sz w:val="21"/>
                      <w:szCs w:val="21"/>
                      <w:lang w:val="en-US" w:eastAsia="zh-CN"/>
                    </w:rPr>
                    <w:t>61</w:t>
                  </w:r>
                </w:p>
              </w:tc>
              <w:tc>
                <w:tcPr>
                  <w:tcW w:w="365" w:type="pct"/>
                  <w:vMerge w:val="continue"/>
                  <w:noWrap w:val="0"/>
                  <w:vAlign w:val="center"/>
                </w:tcPr>
                <w:p w14:paraId="30C517B0">
                  <w:pPr>
                    <w:jc w:val="center"/>
                    <w:rPr>
                      <w:color w:val="auto"/>
                      <w:kern w:val="0"/>
                      <w:sz w:val="21"/>
                      <w:szCs w:val="21"/>
                    </w:rPr>
                  </w:pPr>
                </w:p>
              </w:tc>
              <w:tc>
                <w:tcPr>
                  <w:tcW w:w="382" w:type="pct"/>
                  <w:noWrap w:val="0"/>
                  <w:vAlign w:val="center"/>
                </w:tcPr>
                <w:p w14:paraId="777D82F1">
                  <w:pPr>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693E3BDA">
                  <w:pPr>
                    <w:jc w:val="center"/>
                    <w:rPr>
                      <w:rFonts w:hint="default" w:eastAsia="宋体"/>
                      <w:color w:val="auto"/>
                      <w:kern w:val="0"/>
                      <w:sz w:val="21"/>
                      <w:szCs w:val="21"/>
                      <w:lang w:val="en-US" w:eastAsia="zh-CN"/>
                    </w:rPr>
                  </w:pPr>
                  <w:r>
                    <w:rPr>
                      <w:rFonts w:hint="eastAsia"/>
                      <w:color w:val="auto"/>
                      <w:kern w:val="0"/>
                      <w:sz w:val="21"/>
                      <w:szCs w:val="21"/>
                      <w:lang w:val="en-US" w:eastAsia="zh-CN"/>
                    </w:rPr>
                    <w:t>41</w:t>
                  </w:r>
                </w:p>
              </w:tc>
              <w:tc>
                <w:tcPr>
                  <w:tcW w:w="277" w:type="pct"/>
                  <w:noWrap w:val="0"/>
                  <w:vAlign w:val="center"/>
                </w:tcPr>
                <w:p w14:paraId="1199765A">
                  <w:pPr>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r>
            <w:tr w14:paraId="634D4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6FDD4ADD">
                  <w:pPr>
                    <w:jc w:val="center"/>
                    <w:rPr>
                      <w:rFonts w:hint="default"/>
                      <w:color w:val="auto"/>
                      <w:sz w:val="21"/>
                      <w:szCs w:val="21"/>
                      <w:lang w:val="en-US" w:eastAsia="zh-CN"/>
                    </w:rPr>
                  </w:pPr>
                  <w:r>
                    <w:rPr>
                      <w:rFonts w:hint="eastAsia"/>
                      <w:color w:val="auto"/>
                      <w:sz w:val="21"/>
                      <w:szCs w:val="21"/>
                      <w:lang w:val="en-US" w:eastAsia="zh-CN"/>
                    </w:rPr>
                    <w:t>8</w:t>
                  </w:r>
                </w:p>
              </w:tc>
              <w:tc>
                <w:tcPr>
                  <w:tcW w:w="203" w:type="pct"/>
                  <w:vMerge w:val="continue"/>
                  <w:noWrap w:val="0"/>
                  <w:vAlign w:val="center"/>
                </w:tcPr>
                <w:p w14:paraId="32F91F88">
                  <w:pPr>
                    <w:jc w:val="center"/>
                    <w:rPr>
                      <w:color w:val="auto"/>
                      <w:sz w:val="21"/>
                      <w:szCs w:val="21"/>
                    </w:rPr>
                  </w:pPr>
                </w:p>
              </w:tc>
              <w:tc>
                <w:tcPr>
                  <w:tcW w:w="704" w:type="pct"/>
                  <w:noWrap w:val="0"/>
                  <w:vAlign w:val="center"/>
                </w:tcPr>
                <w:p w14:paraId="564BC5AB">
                  <w:pPr>
                    <w:jc w:val="center"/>
                    <w:rPr>
                      <w:rFonts w:hint="eastAsia"/>
                      <w:color w:val="auto"/>
                      <w:lang w:val="en-US" w:eastAsia="zh-CN"/>
                    </w:rPr>
                  </w:pPr>
                  <w:r>
                    <w:rPr>
                      <w:rFonts w:hint="eastAsia"/>
                      <w:color w:val="auto"/>
                      <w:szCs w:val="21"/>
                    </w:rPr>
                    <w:t>铝合金</w:t>
                  </w:r>
                  <w:r>
                    <w:rPr>
                      <w:rFonts w:ascii="Arial" w:hAnsi="Arial" w:cs="Arial"/>
                      <w:color w:val="auto"/>
                      <w:szCs w:val="21"/>
                    </w:rPr>
                    <w:t>T6</w:t>
                  </w:r>
                  <w:r>
                    <w:rPr>
                      <w:rFonts w:hint="eastAsia"/>
                      <w:color w:val="auto"/>
                      <w:szCs w:val="21"/>
                    </w:rPr>
                    <w:t>时效炉</w:t>
                  </w:r>
                </w:p>
              </w:tc>
              <w:tc>
                <w:tcPr>
                  <w:tcW w:w="509" w:type="pct"/>
                  <w:noWrap w:val="0"/>
                  <w:vAlign w:val="center"/>
                </w:tcPr>
                <w:p w14:paraId="1FECF67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2T</w:t>
                  </w:r>
                </w:p>
              </w:tc>
              <w:tc>
                <w:tcPr>
                  <w:tcW w:w="373" w:type="pct"/>
                  <w:noWrap w:val="0"/>
                  <w:vAlign w:val="center"/>
                </w:tcPr>
                <w:p w14:paraId="28BCAA8B">
                  <w:pPr>
                    <w:widowControl/>
                    <w:jc w:val="center"/>
                    <w:rPr>
                      <w:rFonts w:hint="default"/>
                      <w:color w:val="auto"/>
                      <w:kern w:val="0"/>
                      <w:sz w:val="21"/>
                      <w:szCs w:val="21"/>
                      <w:lang w:val="en-US" w:eastAsia="zh-CN"/>
                    </w:rPr>
                  </w:pPr>
                  <w:r>
                    <w:rPr>
                      <w:rFonts w:hint="eastAsia"/>
                      <w:color w:val="auto"/>
                      <w:kern w:val="0"/>
                      <w:sz w:val="21"/>
                      <w:szCs w:val="21"/>
                      <w:lang w:val="en-US" w:eastAsia="zh-CN"/>
                    </w:rPr>
                    <w:t>75</w:t>
                  </w:r>
                </w:p>
              </w:tc>
              <w:tc>
                <w:tcPr>
                  <w:tcW w:w="186" w:type="pct"/>
                  <w:vMerge w:val="continue"/>
                  <w:noWrap w:val="0"/>
                  <w:vAlign w:val="center"/>
                </w:tcPr>
                <w:p w14:paraId="79EFC53C">
                  <w:pPr>
                    <w:spacing w:line="320" w:lineRule="exact"/>
                    <w:jc w:val="center"/>
                    <w:rPr>
                      <w:color w:val="auto"/>
                      <w:kern w:val="0"/>
                      <w:sz w:val="21"/>
                      <w:szCs w:val="21"/>
                    </w:rPr>
                  </w:pPr>
                </w:p>
              </w:tc>
              <w:tc>
                <w:tcPr>
                  <w:tcW w:w="324" w:type="pct"/>
                  <w:noWrap w:val="0"/>
                  <w:vAlign w:val="center"/>
                </w:tcPr>
                <w:p w14:paraId="6AA5521A">
                  <w:pPr>
                    <w:widowControl/>
                    <w:jc w:val="center"/>
                    <w:rPr>
                      <w:rFonts w:hint="default"/>
                      <w:color w:val="auto"/>
                      <w:kern w:val="0"/>
                      <w:sz w:val="21"/>
                      <w:szCs w:val="21"/>
                      <w:lang w:val="en-US" w:eastAsia="zh-CN"/>
                    </w:rPr>
                  </w:pPr>
                  <w:r>
                    <w:rPr>
                      <w:rFonts w:hint="eastAsia"/>
                      <w:color w:val="auto"/>
                      <w:kern w:val="0"/>
                      <w:sz w:val="21"/>
                      <w:szCs w:val="21"/>
                      <w:lang w:val="en-US" w:eastAsia="zh-CN"/>
                    </w:rPr>
                    <w:t>32</w:t>
                  </w:r>
                </w:p>
              </w:tc>
              <w:tc>
                <w:tcPr>
                  <w:tcW w:w="225" w:type="pct"/>
                  <w:noWrap w:val="0"/>
                  <w:vAlign w:val="center"/>
                </w:tcPr>
                <w:p w14:paraId="0E1BA29A">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5C84F9DC">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0CF32A1C">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63E12B50">
                  <w:pPr>
                    <w:jc w:val="center"/>
                    <w:rPr>
                      <w:rFonts w:hint="default"/>
                      <w:color w:val="auto"/>
                      <w:kern w:val="0"/>
                      <w:sz w:val="21"/>
                      <w:szCs w:val="21"/>
                      <w:lang w:val="en-US" w:eastAsia="zh-CN"/>
                    </w:rPr>
                  </w:pPr>
                  <w:r>
                    <w:rPr>
                      <w:rFonts w:hint="eastAsia"/>
                      <w:color w:val="auto"/>
                      <w:kern w:val="0"/>
                      <w:sz w:val="21"/>
                      <w:szCs w:val="21"/>
                      <w:lang w:val="en-US" w:eastAsia="zh-CN"/>
                    </w:rPr>
                    <w:t>61</w:t>
                  </w:r>
                </w:p>
              </w:tc>
              <w:tc>
                <w:tcPr>
                  <w:tcW w:w="365" w:type="pct"/>
                  <w:vMerge w:val="continue"/>
                  <w:noWrap w:val="0"/>
                  <w:vAlign w:val="center"/>
                </w:tcPr>
                <w:p w14:paraId="3D3AEF1C">
                  <w:pPr>
                    <w:jc w:val="center"/>
                    <w:rPr>
                      <w:color w:val="auto"/>
                      <w:kern w:val="0"/>
                      <w:sz w:val="21"/>
                      <w:szCs w:val="21"/>
                    </w:rPr>
                  </w:pPr>
                </w:p>
              </w:tc>
              <w:tc>
                <w:tcPr>
                  <w:tcW w:w="382" w:type="pct"/>
                  <w:noWrap w:val="0"/>
                  <w:vAlign w:val="center"/>
                </w:tcPr>
                <w:p w14:paraId="5B26CFF6">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716C6B9A">
                  <w:pPr>
                    <w:jc w:val="center"/>
                    <w:rPr>
                      <w:rFonts w:hint="default"/>
                      <w:color w:val="auto"/>
                      <w:kern w:val="0"/>
                      <w:sz w:val="21"/>
                      <w:szCs w:val="21"/>
                      <w:lang w:val="en-US" w:eastAsia="zh-CN"/>
                    </w:rPr>
                  </w:pPr>
                  <w:r>
                    <w:rPr>
                      <w:rFonts w:hint="eastAsia"/>
                      <w:color w:val="auto"/>
                      <w:kern w:val="0"/>
                      <w:sz w:val="21"/>
                      <w:szCs w:val="21"/>
                      <w:lang w:val="en-US" w:eastAsia="zh-CN"/>
                    </w:rPr>
                    <w:t>41</w:t>
                  </w:r>
                </w:p>
              </w:tc>
              <w:tc>
                <w:tcPr>
                  <w:tcW w:w="277" w:type="pct"/>
                  <w:noWrap w:val="0"/>
                  <w:vAlign w:val="center"/>
                </w:tcPr>
                <w:p w14:paraId="407031BA">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29D94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1999070A">
                  <w:pPr>
                    <w:jc w:val="center"/>
                    <w:rPr>
                      <w:rFonts w:hint="default"/>
                      <w:color w:val="auto"/>
                      <w:sz w:val="21"/>
                      <w:szCs w:val="21"/>
                      <w:lang w:val="en-US" w:eastAsia="zh-CN"/>
                    </w:rPr>
                  </w:pPr>
                  <w:r>
                    <w:rPr>
                      <w:rFonts w:hint="eastAsia"/>
                      <w:color w:val="auto"/>
                      <w:sz w:val="21"/>
                      <w:szCs w:val="21"/>
                      <w:lang w:val="en-US" w:eastAsia="zh-CN"/>
                    </w:rPr>
                    <w:t>9</w:t>
                  </w:r>
                </w:p>
              </w:tc>
              <w:tc>
                <w:tcPr>
                  <w:tcW w:w="203" w:type="pct"/>
                  <w:vMerge w:val="continue"/>
                  <w:noWrap w:val="0"/>
                  <w:vAlign w:val="center"/>
                </w:tcPr>
                <w:p w14:paraId="6C9B7D43">
                  <w:pPr>
                    <w:jc w:val="center"/>
                    <w:rPr>
                      <w:color w:val="auto"/>
                      <w:sz w:val="21"/>
                      <w:szCs w:val="21"/>
                    </w:rPr>
                  </w:pPr>
                </w:p>
              </w:tc>
              <w:tc>
                <w:tcPr>
                  <w:tcW w:w="704" w:type="pct"/>
                  <w:noWrap w:val="0"/>
                  <w:vAlign w:val="center"/>
                </w:tcPr>
                <w:p w14:paraId="4EB461CC">
                  <w:pPr>
                    <w:jc w:val="center"/>
                    <w:rPr>
                      <w:rFonts w:hint="eastAsia"/>
                      <w:color w:val="auto"/>
                      <w:lang w:val="en-US" w:eastAsia="zh-CN"/>
                    </w:rPr>
                  </w:pPr>
                  <w:r>
                    <w:rPr>
                      <w:rFonts w:hint="eastAsia"/>
                      <w:color w:val="auto"/>
                      <w:szCs w:val="21"/>
                    </w:rPr>
                    <w:t>卧式加工中心</w:t>
                  </w:r>
                </w:p>
              </w:tc>
              <w:tc>
                <w:tcPr>
                  <w:tcW w:w="509" w:type="pct"/>
                  <w:noWrap w:val="0"/>
                  <w:vAlign w:val="center"/>
                </w:tcPr>
                <w:p w14:paraId="4CF06A6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630</w:t>
                  </w:r>
                </w:p>
              </w:tc>
              <w:tc>
                <w:tcPr>
                  <w:tcW w:w="373" w:type="pct"/>
                  <w:noWrap w:val="0"/>
                  <w:vAlign w:val="center"/>
                </w:tcPr>
                <w:p w14:paraId="6A7A7A56">
                  <w:pPr>
                    <w:widowControl/>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51F6854F">
                  <w:pPr>
                    <w:spacing w:line="320" w:lineRule="exact"/>
                    <w:jc w:val="center"/>
                    <w:rPr>
                      <w:color w:val="auto"/>
                      <w:kern w:val="0"/>
                      <w:sz w:val="21"/>
                      <w:szCs w:val="21"/>
                    </w:rPr>
                  </w:pPr>
                </w:p>
              </w:tc>
              <w:tc>
                <w:tcPr>
                  <w:tcW w:w="324" w:type="pct"/>
                  <w:noWrap w:val="0"/>
                  <w:vAlign w:val="center"/>
                </w:tcPr>
                <w:p w14:paraId="2D712E5F">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c>
                <w:tcPr>
                  <w:tcW w:w="225" w:type="pct"/>
                  <w:noWrap w:val="0"/>
                  <w:vAlign w:val="center"/>
                </w:tcPr>
                <w:p w14:paraId="338613A5">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7C8A1DEA">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75EC56E1">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2F294B60">
                  <w:pPr>
                    <w:jc w:val="center"/>
                    <w:rPr>
                      <w:rFonts w:hint="default"/>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452E6B95">
                  <w:pPr>
                    <w:jc w:val="center"/>
                    <w:rPr>
                      <w:color w:val="auto"/>
                      <w:kern w:val="0"/>
                      <w:sz w:val="21"/>
                      <w:szCs w:val="21"/>
                    </w:rPr>
                  </w:pPr>
                </w:p>
              </w:tc>
              <w:tc>
                <w:tcPr>
                  <w:tcW w:w="382" w:type="pct"/>
                  <w:noWrap w:val="0"/>
                  <w:vAlign w:val="center"/>
                </w:tcPr>
                <w:p w14:paraId="48F35379">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43C2A61C">
                  <w:pPr>
                    <w:jc w:val="center"/>
                    <w:rPr>
                      <w:rFonts w:hint="default"/>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755403F4">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07612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2441242C">
                  <w:pPr>
                    <w:jc w:val="center"/>
                    <w:rPr>
                      <w:rFonts w:hint="default"/>
                      <w:color w:val="auto"/>
                      <w:sz w:val="21"/>
                      <w:szCs w:val="21"/>
                      <w:lang w:val="en-US" w:eastAsia="zh-CN"/>
                    </w:rPr>
                  </w:pPr>
                  <w:r>
                    <w:rPr>
                      <w:rFonts w:hint="eastAsia"/>
                      <w:color w:val="auto"/>
                      <w:sz w:val="21"/>
                      <w:szCs w:val="21"/>
                      <w:lang w:val="en-US" w:eastAsia="zh-CN"/>
                    </w:rPr>
                    <w:t>10</w:t>
                  </w:r>
                </w:p>
              </w:tc>
              <w:tc>
                <w:tcPr>
                  <w:tcW w:w="203" w:type="pct"/>
                  <w:vMerge w:val="continue"/>
                  <w:noWrap w:val="0"/>
                  <w:vAlign w:val="center"/>
                </w:tcPr>
                <w:p w14:paraId="1BF36F93">
                  <w:pPr>
                    <w:jc w:val="center"/>
                    <w:rPr>
                      <w:color w:val="auto"/>
                      <w:sz w:val="21"/>
                      <w:szCs w:val="21"/>
                    </w:rPr>
                  </w:pPr>
                </w:p>
              </w:tc>
              <w:tc>
                <w:tcPr>
                  <w:tcW w:w="704" w:type="pct"/>
                  <w:noWrap w:val="0"/>
                  <w:vAlign w:val="center"/>
                </w:tcPr>
                <w:p w14:paraId="2D76DBCE">
                  <w:pPr>
                    <w:jc w:val="center"/>
                    <w:rPr>
                      <w:rFonts w:hint="eastAsia"/>
                      <w:color w:val="auto"/>
                      <w:lang w:val="en-US" w:eastAsia="zh-CN"/>
                    </w:rPr>
                  </w:pPr>
                  <w:r>
                    <w:rPr>
                      <w:rFonts w:hint="eastAsia"/>
                      <w:color w:val="auto"/>
                      <w:szCs w:val="21"/>
                    </w:rPr>
                    <w:t>立式加工中心</w:t>
                  </w:r>
                </w:p>
              </w:tc>
              <w:tc>
                <w:tcPr>
                  <w:tcW w:w="509" w:type="pct"/>
                  <w:noWrap w:val="0"/>
                  <w:vAlign w:val="center"/>
                </w:tcPr>
                <w:p w14:paraId="5878643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860</w:t>
                  </w:r>
                </w:p>
              </w:tc>
              <w:tc>
                <w:tcPr>
                  <w:tcW w:w="373" w:type="pct"/>
                  <w:noWrap w:val="0"/>
                  <w:vAlign w:val="center"/>
                </w:tcPr>
                <w:p w14:paraId="3ABE8685">
                  <w:pPr>
                    <w:widowControl/>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09705FC5">
                  <w:pPr>
                    <w:spacing w:line="320" w:lineRule="exact"/>
                    <w:jc w:val="center"/>
                    <w:rPr>
                      <w:color w:val="auto"/>
                      <w:kern w:val="0"/>
                      <w:sz w:val="21"/>
                      <w:szCs w:val="21"/>
                    </w:rPr>
                  </w:pPr>
                </w:p>
              </w:tc>
              <w:tc>
                <w:tcPr>
                  <w:tcW w:w="324" w:type="pct"/>
                  <w:noWrap w:val="0"/>
                  <w:vAlign w:val="center"/>
                </w:tcPr>
                <w:p w14:paraId="0BFDF978">
                  <w:pPr>
                    <w:widowControl/>
                    <w:jc w:val="center"/>
                    <w:rPr>
                      <w:rFonts w:hint="default"/>
                      <w:color w:val="auto"/>
                      <w:kern w:val="0"/>
                      <w:sz w:val="21"/>
                      <w:szCs w:val="21"/>
                      <w:lang w:val="en-US" w:eastAsia="zh-CN"/>
                    </w:rPr>
                  </w:pPr>
                  <w:r>
                    <w:rPr>
                      <w:rFonts w:hint="eastAsia"/>
                      <w:color w:val="auto"/>
                      <w:kern w:val="0"/>
                      <w:sz w:val="21"/>
                      <w:szCs w:val="21"/>
                      <w:lang w:val="en-US" w:eastAsia="zh-CN"/>
                    </w:rPr>
                    <w:t>-20</w:t>
                  </w:r>
                </w:p>
              </w:tc>
              <w:tc>
                <w:tcPr>
                  <w:tcW w:w="225" w:type="pct"/>
                  <w:noWrap w:val="0"/>
                  <w:vAlign w:val="center"/>
                </w:tcPr>
                <w:p w14:paraId="089CC2A7">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568F5B16">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22AECF12">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40A690A5">
                  <w:pPr>
                    <w:jc w:val="center"/>
                    <w:rPr>
                      <w:rFonts w:hint="default"/>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45F0B22F">
                  <w:pPr>
                    <w:jc w:val="center"/>
                    <w:rPr>
                      <w:color w:val="auto"/>
                      <w:kern w:val="0"/>
                      <w:sz w:val="21"/>
                      <w:szCs w:val="21"/>
                    </w:rPr>
                  </w:pPr>
                </w:p>
              </w:tc>
              <w:tc>
                <w:tcPr>
                  <w:tcW w:w="382" w:type="pct"/>
                  <w:noWrap w:val="0"/>
                  <w:vAlign w:val="center"/>
                </w:tcPr>
                <w:p w14:paraId="64283D96">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021F802C">
                  <w:pPr>
                    <w:jc w:val="center"/>
                    <w:rPr>
                      <w:rFonts w:hint="default"/>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605418DD">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63469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3376C996">
                  <w:pPr>
                    <w:jc w:val="center"/>
                    <w:rPr>
                      <w:rFonts w:hint="default"/>
                      <w:color w:val="auto"/>
                      <w:sz w:val="21"/>
                      <w:szCs w:val="21"/>
                      <w:lang w:val="en-US" w:eastAsia="zh-CN"/>
                    </w:rPr>
                  </w:pPr>
                  <w:r>
                    <w:rPr>
                      <w:rFonts w:hint="eastAsia"/>
                      <w:color w:val="auto"/>
                      <w:sz w:val="21"/>
                      <w:szCs w:val="21"/>
                      <w:lang w:val="en-US" w:eastAsia="zh-CN"/>
                    </w:rPr>
                    <w:t>11</w:t>
                  </w:r>
                </w:p>
              </w:tc>
              <w:tc>
                <w:tcPr>
                  <w:tcW w:w="203" w:type="pct"/>
                  <w:vMerge w:val="continue"/>
                  <w:noWrap w:val="0"/>
                  <w:vAlign w:val="center"/>
                </w:tcPr>
                <w:p w14:paraId="2EBCFA5C">
                  <w:pPr>
                    <w:jc w:val="center"/>
                    <w:rPr>
                      <w:color w:val="auto"/>
                      <w:sz w:val="21"/>
                      <w:szCs w:val="21"/>
                    </w:rPr>
                  </w:pPr>
                </w:p>
              </w:tc>
              <w:tc>
                <w:tcPr>
                  <w:tcW w:w="704" w:type="pct"/>
                  <w:noWrap w:val="0"/>
                  <w:vAlign w:val="center"/>
                </w:tcPr>
                <w:p w14:paraId="5994C4DA">
                  <w:pPr>
                    <w:jc w:val="center"/>
                    <w:rPr>
                      <w:rFonts w:hint="eastAsia"/>
                      <w:color w:val="auto"/>
                      <w:lang w:val="en-US" w:eastAsia="zh-CN"/>
                    </w:rPr>
                  </w:pPr>
                  <w:r>
                    <w:rPr>
                      <w:rFonts w:hint="eastAsia"/>
                      <w:color w:val="auto"/>
                      <w:szCs w:val="21"/>
                    </w:rPr>
                    <w:t>卧式车床</w:t>
                  </w:r>
                </w:p>
              </w:tc>
              <w:tc>
                <w:tcPr>
                  <w:tcW w:w="509" w:type="pct"/>
                  <w:noWrap w:val="0"/>
                  <w:vAlign w:val="center"/>
                </w:tcPr>
                <w:p w14:paraId="659F735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6150</w:t>
                  </w:r>
                </w:p>
              </w:tc>
              <w:tc>
                <w:tcPr>
                  <w:tcW w:w="373" w:type="pct"/>
                  <w:noWrap w:val="0"/>
                  <w:vAlign w:val="center"/>
                </w:tcPr>
                <w:p w14:paraId="59BB5679">
                  <w:pPr>
                    <w:widowControl/>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593E9880">
                  <w:pPr>
                    <w:spacing w:line="320" w:lineRule="exact"/>
                    <w:jc w:val="center"/>
                    <w:rPr>
                      <w:color w:val="auto"/>
                      <w:kern w:val="0"/>
                      <w:sz w:val="21"/>
                      <w:szCs w:val="21"/>
                    </w:rPr>
                  </w:pPr>
                </w:p>
              </w:tc>
              <w:tc>
                <w:tcPr>
                  <w:tcW w:w="324" w:type="pct"/>
                  <w:noWrap w:val="0"/>
                  <w:vAlign w:val="center"/>
                </w:tcPr>
                <w:p w14:paraId="275950E2">
                  <w:pPr>
                    <w:widowControl/>
                    <w:jc w:val="center"/>
                    <w:rPr>
                      <w:rFonts w:hint="default"/>
                      <w:color w:val="auto"/>
                      <w:kern w:val="0"/>
                      <w:sz w:val="21"/>
                      <w:szCs w:val="21"/>
                      <w:lang w:val="en-US" w:eastAsia="zh-CN"/>
                    </w:rPr>
                  </w:pPr>
                  <w:r>
                    <w:rPr>
                      <w:rFonts w:hint="eastAsia"/>
                      <w:color w:val="auto"/>
                      <w:kern w:val="0"/>
                      <w:sz w:val="21"/>
                      <w:szCs w:val="21"/>
                      <w:lang w:val="en-US" w:eastAsia="zh-CN"/>
                    </w:rPr>
                    <w:t>-15</w:t>
                  </w:r>
                </w:p>
              </w:tc>
              <w:tc>
                <w:tcPr>
                  <w:tcW w:w="225" w:type="pct"/>
                  <w:noWrap w:val="0"/>
                  <w:vAlign w:val="center"/>
                </w:tcPr>
                <w:p w14:paraId="27B09ACD">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0939C264">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402C641B">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202CFB46">
                  <w:pPr>
                    <w:jc w:val="center"/>
                    <w:rPr>
                      <w:rFonts w:hint="default"/>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38C0AF0E">
                  <w:pPr>
                    <w:jc w:val="center"/>
                    <w:rPr>
                      <w:color w:val="auto"/>
                      <w:kern w:val="0"/>
                      <w:sz w:val="21"/>
                      <w:szCs w:val="21"/>
                    </w:rPr>
                  </w:pPr>
                </w:p>
              </w:tc>
              <w:tc>
                <w:tcPr>
                  <w:tcW w:w="382" w:type="pct"/>
                  <w:noWrap w:val="0"/>
                  <w:vAlign w:val="center"/>
                </w:tcPr>
                <w:p w14:paraId="70C7B536">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222D7B30">
                  <w:pPr>
                    <w:jc w:val="center"/>
                    <w:rPr>
                      <w:rFonts w:hint="default"/>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739EE5D1">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573A5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78254144">
                  <w:pPr>
                    <w:jc w:val="center"/>
                    <w:rPr>
                      <w:rFonts w:hint="default"/>
                      <w:color w:val="auto"/>
                      <w:sz w:val="21"/>
                      <w:szCs w:val="21"/>
                      <w:lang w:val="en-US" w:eastAsia="zh-CN"/>
                    </w:rPr>
                  </w:pPr>
                  <w:r>
                    <w:rPr>
                      <w:rFonts w:hint="eastAsia"/>
                      <w:color w:val="auto"/>
                      <w:sz w:val="21"/>
                      <w:szCs w:val="21"/>
                      <w:lang w:val="en-US" w:eastAsia="zh-CN"/>
                    </w:rPr>
                    <w:t>12</w:t>
                  </w:r>
                </w:p>
              </w:tc>
              <w:tc>
                <w:tcPr>
                  <w:tcW w:w="203" w:type="pct"/>
                  <w:vMerge w:val="continue"/>
                  <w:noWrap w:val="0"/>
                  <w:vAlign w:val="center"/>
                </w:tcPr>
                <w:p w14:paraId="04DFEB75">
                  <w:pPr>
                    <w:jc w:val="center"/>
                    <w:rPr>
                      <w:color w:val="auto"/>
                      <w:sz w:val="21"/>
                      <w:szCs w:val="21"/>
                    </w:rPr>
                  </w:pPr>
                </w:p>
              </w:tc>
              <w:tc>
                <w:tcPr>
                  <w:tcW w:w="704" w:type="pct"/>
                  <w:noWrap w:val="0"/>
                  <w:vAlign w:val="center"/>
                </w:tcPr>
                <w:p w14:paraId="3678FD94">
                  <w:pPr>
                    <w:jc w:val="center"/>
                    <w:rPr>
                      <w:rFonts w:hint="eastAsia"/>
                      <w:color w:val="auto"/>
                      <w:lang w:val="en-US" w:eastAsia="zh-CN"/>
                    </w:rPr>
                  </w:pPr>
                  <w:r>
                    <w:rPr>
                      <w:rFonts w:hint="eastAsia"/>
                      <w:color w:val="auto"/>
                      <w:szCs w:val="21"/>
                    </w:rPr>
                    <w:t>机器人抛光单元</w:t>
                  </w:r>
                </w:p>
              </w:tc>
              <w:tc>
                <w:tcPr>
                  <w:tcW w:w="509" w:type="pct"/>
                  <w:noWrap w:val="0"/>
                  <w:vAlign w:val="center"/>
                </w:tcPr>
                <w:p w14:paraId="23AC3A67">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　</w:t>
                  </w:r>
                </w:p>
              </w:tc>
              <w:tc>
                <w:tcPr>
                  <w:tcW w:w="373" w:type="pct"/>
                  <w:noWrap w:val="0"/>
                  <w:vAlign w:val="center"/>
                </w:tcPr>
                <w:p w14:paraId="13CD2199">
                  <w:pPr>
                    <w:widowControl/>
                    <w:jc w:val="center"/>
                    <w:rPr>
                      <w:rFonts w:hint="default"/>
                      <w:color w:val="auto"/>
                      <w:kern w:val="0"/>
                      <w:sz w:val="21"/>
                      <w:szCs w:val="21"/>
                      <w:lang w:val="en-US" w:eastAsia="zh-CN"/>
                    </w:rPr>
                  </w:pPr>
                  <w:r>
                    <w:rPr>
                      <w:rFonts w:hint="eastAsia"/>
                      <w:color w:val="auto"/>
                      <w:kern w:val="0"/>
                      <w:sz w:val="21"/>
                      <w:szCs w:val="21"/>
                      <w:lang w:val="en-US" w:eastAsia="zh-CN"/>
                    </w:rPr>
                    <w:t>85</w:t>
                  </w:r>
                </w:p>
              </w:tc>
              <w:tc>
                <w:tcPr>
                  <w:tcW w:w="186" w:type="pct"/>
                  <w:vMerge w:val="continue"/>
                  <w:noWrap w:val="0"/>
                  <w:vAlign w:val="center"/>
                </w:tcPr>
                <w:p w14:paraId="19E8ED65">
                  <w:pPr>
                    <w:spacing w:line="320" w:lineRule="exact"/>
                    <w:jc w:val="center"/>
                    <w:rPr>
                      <w:color w:val="auto"/>
                      <w:kern w:val="0"/>
                      <w:sz w:val="21"/>
                      <w:szCs w:val="21"/>
                    </w:rPr>
                  </w:pPr>
                </w:p>
              </w:tc>
              <w:tc>
                <w:tcPr>
                  <w:tcW w:w="324" w:type="pct"/>
                  <w:noWrap w:val="0"/>
                  <w:vAlign w:val="center"/>
                </w:tcPr>
                <w:p w14:paraId="04CA91E2">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25" w:type="pct"/>
                  <w:noWrap w:val="0"/>
                  <w:vAlign w:val="center"/>
                </w:tcPr>
                <w:p w14:paraId="09C8BC60">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20C49F20">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1EDCE7BA">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72BFED7F">
                  <w:pPr>
                    <w:jc w:val="center"/>
                    <w:rPr>
                      <w:rFonts w:hint="default"/>
                      <w:color w:val="auto"/>
                      <w:kern w:val="0"/>
                      <w:sz w:val="21"/>
                      <w:szCs w:val="21"/>
                      <w:lang w:val="en-US" w:eastAsia="zh-CN"/>
                    </w:rPr>
                  </w:pPr>
                  <w:r>
                    <w:rPr>
                      <w:rFonts w:hint="eastAsia"/>
                      <w:color w:val="auto"/>
                      <w:kern w:val="0"/>
                      <w:sz w:val="21"/>
                      <w:szCs w:val="21"/>
                      <w:lang w:val="en-US" w:eastAsia="zh-CN"/>
                    </w:rPr>
                    <w:t>71</w:t>
                  </w:r>
                </w:p>
              </w:tc>
              <w:tc>
                <w:tcPr>
                  <w:tcW w:w="365" w:type="pct"/>
                  <w:vMerge w:val="continue"/>
                  <w:noWrap w:val="0"/>
                  <w:vAlign w:val="center"/>
                </w:tcPr>
                <w:p w14:paraId="244FED39">
                  <w:pPr>
                    <w:jc w:val="center"/>
                    <w:rPr>
                      <w:color w:val="auto"/>
                      <w:kern w:val="0"/>
                      <w:sz w:val="21"/>
                      <w:szCs w:val="21"/>
                    </w:rPr>
                  </w:pPr>
                </w:p>
              </w:tc>
              <w:tc>
                <w:tcPr>
                  <w:tcW w:w="382" w:type="pct"/>
                  <w:noWrap w:val="0"/>
                  <w:vAlign w:val="center"/>
                </w:tcPr>
                <w:p w14:paraId="114BC427">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0E561F3D">
                  <w:pPr>
                    <w:jc w:val="center"/>
                    <w:rPr>
                      <w:rFonts w:hint="default"/>
                      <w:color w:val="auto"/>
                      <w:kern w:val="0"/>
                      <w:sz w:val="21"/>
                      <w:szCs w:val="21"/>
                      <w:lang w:val="en-US" w:eastAsia="zh-CN"/>
                    </w:rPr>
                  </w:pPr>
                  <w:r>
                    <w:rPr>
                      <w:rFonts w:hint="eastAsia"/>
                      <w:color w:val="auto"/>
                      <w:kern w:val="0"/>
                      <w:sz w:val="21"/>
                      <w:szCs w:val="21"/>
                      <w:lang w:val="en-US" w:eastAsia="zh-CN"/>
                    </w:rPr>
                    <w:t>51</w:t>
                  </w:r>
                </w:p>
              </w:tc>
              <w:tc>
                <w:tcPr>
                  <w:tcW w:w="277" w:type="pct"/>
                  <w:noWrap w:val="0"/>
                  <w:vAlign w:val="center"/>
                </w:tcPr>
                <w:p w14:paraId="3FE20B75">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26DE6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2827F6A2">
                  <w:pPr>
                    <w:jc w:val="center"/>
                    <w:rPr>
                      <w:rFonts w:hint="default"/>
                      <w:color w:val="auto"/>
                      <w:sz w:val="21"/>
                      <w:szCs w:val="21"/>
                      <w:lang w:val="en-US" w:eastAsia="zh-CN"/>
                    </w:rPr>
                  </w:pPr>
                  <w:r>
                    <w:rPr>
                      <w:rFonts w:hint="eastAsia"/>
                      <w:color w:val="auto"/>
                      <w:sz w:val="21"/>
                      <w:szCs w:val="21"/>
                      <w:lang w:val="en-US" w:eastAsia="zh-CN"/>
                    </w:rPr>
                    <w:t>13</w:t>
                  </w:r>
                </w:p>
              </w:tc>
              <w:tc>
                <w:tcPr>
                  <w:tcW w:w="203" w:type="pct"/>
                  <w:vMerge w:val="continue"/>
                  <w:noWrap w:val="0"/>
                  <w:vAlign w:val="center"/>
                </w:tcPr>
                <w:p w14:paraId="6054AB1A">
                  <w:pPr>
                    <w:jc w:val="center"/>
                    <w:rPr>
                      <w:color w:val="auto"/>
                      <w:sz w:val="21"/>
                      <w:szCs w:val="21"/>
                    </w:rPr>
                  </w:pPr>
                </w:p>
              </w:tc>
              <w:tc>
                <w:tcPr>
                  <w:tcW w:w="704" w:type="pct"/>
                  <w:noWrap w:val="0"/>
                  <w:vAlign w:val="center"/>
                </w:tcPr>
                <w:p w14:paraId="678E57D5">
                  <w:pPr>
                    <w:jc w:val="center"/>
                    <w:rPr>
                      <w:rFonts w:hint="eastAsia"/>
                      <w:color w:val="auto"/>
                      <w:lang w:val="en-US" w:eastAsia="zh-CN"/>
                    </w:rPr>
                  </w:pPr>
                  <w:r>
                    <w:rPr>
                      <w:rFonts w:hint="eastAsia"/>
                      <w:color w:val="auto"/>
                      <w:szCs w:val="21"/>
                    </w:rPr>
                    <w:t>人工打磨工位</w:t>
                  </w:r>
                </w:p>
              </w:tc>
              <w:tc>
                <w:tcPr>
                  <w:tcW w:w="509" w:type="pct"/>
                  <w:noWrap w:val="0"/>
                  <w:vAlign w:val="center"/>
                </w:tcPr>
                <w:p w14:paraId="6AE9FE6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　</w:t>
                  </w:r>
                </w:p>
              </w:tc>
              <w:tc>
                <w:tcPr>
                  <w:tcW w:w="373" w:type="pct"/>
                  <w:noWrap w:val="0"/>
                  <w:vAlign w:val="center"/>
                </w:tcPr>
                <w:p w14:paraId="1441743C">
                  <w:pPr>
                    <w:widowControl/>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548A366D">
                  <w:pPr>
                    <w:spacing w:line="320" w:lineRule="exact"/>
                    <w:jc w:val="center"/>
                    <w:rPr>
                      <w:color w:val="auto"/>
                      <w:kern w:val="0"/>
                      <w:sz w:val="21"/>
                      <w:szCs w:val="21"/>
                    </w:rPr>
                  </w:pPr>
                </w:p>
              </w:tc>
              <w:tc>
                <w:tcPr>
                  <w:tcW w:w="324" w:type="pct"/>
                  <w:noWrap w:val="0"/>
                  <w:vAlign w:val="center"/>
                </w:tcPr>
                <w:p w14:paraId="3DC64AA0">
                  <w:pPr>
                    <w:widowControl/>
                    <w:jc w:val="center"/>
                    <w:rPr>
                      <w:rFonts w:hint="default"/>
                      <w:color w:val="auto"/>
                      <w:kern w:val="0"/>
                      <w:sz w:val="21"/>
                      <w:szCs w:val="21"/>
                      <w:lang w:val="en-US" w:eastAsia="zh-CN"/>
                    </w:rPr>
                  </w:pPr>
                  <w:r>
                    <w:rPr>
                      <w:rFonts w:hint="eastAsia"/>
                      <w:color w:val="auto"/>
                      <w:kern w:val="0"/>
                      <w:sz w:val="21"/>
                      <w:szCs w:val="21"/>
                      <w:lang w:val="en-US" w:eastAsia="zh-CN"/>
                    </w:rPr>
                    <w:t>10</w:t>
                  </w:r>
                </w:p>
              </w:tc>
              <w:tc>
                <w:tcPr>
                  <w:tcW w:w="225" w:type="pct"/>
                  <w:noWrap w:val="0"/>
                  <w:vAlign w:val="center"/>
                </w:tcPr>
                <w:p w14:paraId="52EAFB9B">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7283437E">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6E76A312">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25AF66D0">
                  <w:pPr>
                    <w:jc w:val="center"/>
                    <w:rPr>
                      <w:rFonts w:hint="default"/>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3ABAD588">
                  <w:pPr>
                    <w:jc w:val="center"/>
                    <w:rPr>
                      <w:color w:val="auto"/>
                      <w:kern w:val="0"/>
                      <w:sz w:val="21"/>
                      <w:szCs w:val="21"/>
                    </w:rPr>
                  </w:pPr>
                </w:p>
              </w:tc>
              <w:tc>
                <w:tcPr>
                  <w:tcW w:w="382" w:type="pct"/>
                  <w:noWrap w:val="0"/>
                  <w:vAlign w:val="center"/>
                </w:tcPr>
                <w:p w14:paraId="6E902CF3">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7F8BB9BE">
                  <w:pPr>
                    <w:jc w:val="center"/>
                    <w:rPr>
                      <w:rFonts w:hint="default"/>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409CD494">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0E481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443D480C">
                  <w:pPr>
                    <w:jc w:val="center"/>
                    <w:rPr>
                      <w:rFonts w:hint="default"/>
                      <w:color w:val="auto"/>
                      <w:sz w:val="21"/>
                      <w:szCs w:val="21"/>
                      <w:lang w:val="en-US" w:eastAsia="zh-CN"/>
                    </w:rPr>
                  </w:pPr>
                  <w:r>
                    <w:rPr>
                      <w:rFonts w:hint="eastAsia"/>
                      <w:color w:val="auto"/>
                      <w:sz w:val="21"/>
                      <w:szCs w:val="21"/>
                      <w:lang w:val="en-US" w:eastAsia="zh-CN"/>
                    </w:rPr>
                    <w:t>14</w:t>
                  </w:r>
                </w:p>
              </w:tc>
              <w:tc>
                <w:tcPr>
                  <w:tcW w:w="203" w:type="pct"/>
                  <w:vMerge w:val="continue"/>
                  <w:noWrap w:val="0"/>
                  <w:vAlign w:val="center"/>
                </w:tcPr>
                <w:p w14:paraId="1A6CFB78">
                  <w:pPr>
                    <w:jc w:val="center"/>
                    <w:rPr>
                      <w:color w:val="auto"/>
                      <w:sz w:val="21"/>
                      <w:szCs w:val="21"/>
                    </w:rPr>
                  </w:pPr>
                </w:p>
              </w:tc>
              <w:tc>
                <w:tcPr>
                  <w:tcW w:w="704" w:type="pct"/>
                  <w:noWrap w:val="0"/>
                  <w:vAlign w:val="center"/>
                </w:tcPr>
                <w:p w14:paraId="6C3B370B">
                  <w:pPr>
                    <w:jc w:val="center"/>
                    <w:rPr>
                      <w:rFonts w:hint="eastAsia"/>
                      <w:color w:val="auto"/>
                      <w:lang w:val="en-US" w:eastAsia="zh-CN"/>
                    </w:rPr>
                  </w:pPr>
                  <w:r>
                    <w:rPr>
                      <w:rFonts w:hint="eastAsia"/>
                      <w:color w:val="auto"/>
                      <w:szCs w:val="21"/>
                    </w:rPr>
                    <w:t>超声波清洗机</w:t>
                  </w:r>
                </w:p>
              </w:tc>
              <w:tc>
                <w:tcPr>
                  <w:tcW w:w="509" w:type="pct"/>
                  <w:noWrap w:val="0"/>
                  <w:vAlign w:val="center"/>
                </w:tcPr>
                <w:p w14:paraId="6A91D40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73" w:type="pct"/>
                  <w:noWrap w:val="0"/>
                  <w:vAlign w:val="center"/>
                </w:tcPr>
                <w:p w14:paraId="7A343E86">
                  <w:pPr>
                    <w:widowControl/>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186" w:type="pct"/>
                  <w:vMerge w:val="continue"/>
                  <w:noWrap w:val="0"/>
                  <w:vAlign w:val="center"/>
                </w:tcPr>
                <w:p w14:paraId="2C388057">
                  <w:pPr>
                    <w:spacing w:line="320" w:lineRule="exact"/>
                    <w:jc w:val="center"/>
                    <w:rPr>
                      <w:color w:val="auto"/>
                      <w:kern w:val="0"/>
                      <w:sz w:val="21"/>
                      <w:szCs w:val="21"/>
                    </w:rPr>
                  </w:pPr>
                </w:p>
              </w:tc>
              <w:tc>
                <w:tcPr>
                  <w:tcW w:w="324" w:type="pct"/>
                  <w:noWrap w:val="0"/>
                  <w:vAlign w:val="center"/>
                </w:tcPr>
                <w:p w14:paraId="32343DB5">
                  <w:pPr>
                    <w:widowControl/>
                    <w:jc w:val="center"/>
                    <w:rPr>
                      <w:rFonts w:hint="default"/>
                      <w:color w:val="auto"/>
                      <w:kern w:val="0"/>
                      <w:sz w:val="21"/>
                      <w:szCs w:val="21"/>
                      <w:lang w:val="en-US" w:eastAsia="zh-CN"/>
                    </w:rPr>
                  </w:pPr>
                  <w:r>
                    <w:rPr>
                      <w:rFonts w:hint="eastAsia"/>
                      <w:color w:val="auto"/>
                      <w:kern w:val="0"/>
                      <w:sz w:val="21"/>
                      <w:szCs w:val="21"/>
                      <w:lang w:val="en-US" w:eastAsia="zh-CN"/>
                    </w:rPr>
                    <w:t>-30</w:t>
                  </w:r>
                </w:p>
              </w:tc>
              <w:tc>
                <w:tcPr>
                  <w:tcW w:w="225" w:type="pct"/>
                  <w:noWrap w:val="0"/>
                  <w:vAlign w:val="center"/>
                </w:tcPr>
                <w:p w14:paraId="086B9A5C">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37325BEA">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5F4CCE1E">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56DEFD71">
                  <w:pPr>
                    <w:jc w:val="center"/>
                    <w:rPr>
                      <w:rFonts w:hint="default"/>
                      <w:color w:val="auto"/>
                      <w:kern w:val="0"/>
                      <w:sz w:val="21"/>
                      <w:szCs w:val="21"/>
                      <w:lang w:val="en-US" w:eastAsia="zh-CN"/>
                    </w:rPr>
                  </w:pPr>
                  <w:r>
                    <w:rPr>
                      <w:rFonts w:hint="eastAsia"/>
                      <w:color w:val="auto"/>
                      <w:kern w:val="0"/>
                      <w:sz w:val="21"/>
                      <w:szCs w:val="21"/>
                      <w:lang w:val="en-US" w:eastAsia="zh-CN"/>
                    </w:rPr>
                    <w:t>66</w:t>
                  </w:r>
                </w:p>
              </w:tc>
              <w:tc>
                <w:tcPr>
                  <w:tcW w:w="365" w:type="pct"/>
                  <w:vMerge w:val="continue"/>
                  <w:noWrap w:val="0"/>
                  <w:vAlign w:val="center"/>
                </w:tcPr>
                <w:p w14:paraId="62B101FB">
                  <w:pPr>
                    <w:jc w:val="center"/>
                    <w:rPr>
                      <w:color w:val="auto"/>
                      <w:kern w:val="0"/>
                      <w:sz w:val="21"/>
                      <w:szCs w:val="21"/>
                    </w:rPr>
                  </w:pPr>
                </w:p>
              </w:tc>
              <w:tc>
                <w:tcPr>
                  <w:tcW w:w="382" w:type="pct"/>
                  <w:noWrap w:val="0"/>
                  <w:vAlign w:val="center"/>
                </w:tcPr>
                <w:p w14:paraId="643C792C">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739B6214">
                  <w:pPr>
                    <w:jc w:val="center"/>
                    <w:rPr>
                      <w:rFonts w:hint="default"/>
                      <w:color w:val="auto"/>
                      <w:kern w:val="0"/>
                      <w:sz w:val="21"/>
                      <w:szCs w:val="21"/>
                      <w:lang w:val="en-US" w:eastAsia="zh-CN"/>
                    </w:rPr>
                  </w:pPr>
                  <w:r>
                    <w:rPr>
                      <w:rFonts w:hint="eastAsia"/>
                      <w:color w:val="auto"/>
                      <w:kern w:val="0"/>
                      <w:sz w:val="21"/>
                      <w:szCs w:val="21"/>
                      <w:lang w:val="en-US" w:eastAsia="zh-CN"/>
                    </w:rPr>
                    <w:t>46</w:t>
                  </w:r>
                </w:p>
              </w:tc>
              <w:tc>
                <w:tcPr>
                  <w:tcW w:w="277" w:type="pct"/>
                  <w:noWrap w:val="0"/>
                  <w:vAlign w:val="center"/>
                </w:tcPr>
                <w:p w14:paraId="356AA2D1">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39653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2" w:type="pct"/>
                  <w:noWrap w:val="0"/>
                  <w:vAlign w:val="center"/>
                </w:tcPr>
                <w:p w14:paraId="772392CA">
                  <w:pPr>
                    <w:jc w:val="center"/>
                    <w:rPr>
                      <w:rFonts w:hint="default"/>
                      <w:color w:val="auto"/>
                      <w:sz w:val="21"/>
                      <w:szCs w:val="21"/>
                      <w:lang w:val="en-US" w:eastAsia="zh-CN"/>
                    </w:rPr>
                  </w:pPr>
                  <w:r>
                    <w:rPr>
                      <w:rFonts w:hint="eastAsia"/>
                      <w:color w:val="auto"/>
                      <w:sz w:val="21"/>
                      <w:szCs w:val="21"/>
                      <w:lang w:val="en-US" w:eastAsia="zh-CN"/>
                    </w:rPr>
                    <w:t>15</w:t>
                  </w:r>
                </w:p>
              </w:tc>
              <w:tc>
                <w:tcPr>
                  <w:tcW w:w="203" w:type="pct"/>
                  <w:vMerge w:val="continue"/>
                  <w:noWrap w:val="0"/>
                  <w:vAlign w:val="center"/>
                </w:tcPr>
                <w:p w14:paraId="0C02F012">
                  <w:pPr>
                    <w:jc w:val="center"/>
                    <w:rPr>
                      <w:color w:val="auto"/>
                      <w:sz w:val="21"/>
                      <w:szCs w:val="21"/>
                    </w:rPr>
                  </w:pPr>
                </w:p>
              </w:tc>
              <w:tc>
                <w:tcPr>
                  <w:tcW w:w="704" w:type="pct"/>
                  <w:noWrap w:val="0"/>
                  <w:vAlign w:val="center"/>
                </w:tcPr>
                <w:p w14:paraId="449AF21E">
                  <w:pPr>
                    <w:jc w:val="center"/>
                    <w:rPr>
                      <w:rFonts w:hint="eastAsia"/>
                      <w:color w:val="auto"/>
                      <w:lang w:val="en-US" w:eastAsia="zh-CN"/>
                    </w:rPr>
                  </w:pPr>
                  <w:r>
                    <w:rPr>
                      <w:rFonts w:hint="eastAsia"/>
                      <w:color w:val="auto"/>
                      <w:szCs w:val="21"/>
                    </w:rPr>
                    <w:t>震动落砂机</w:t>
                  </w:r>
                </w:p>
              </w:tc>
              <w:tc>
                <w:tcPr>
                  <w:tcW w:w="509" w:type="pct"/>
                  <w:noWrap w:val="0"/>
                  <w:vAlign w:val="center"/>
                </w:tcPr>
                <w:p w14:paraId="22A9AD3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73" w:type="pct"/>
                  <w:noWrap w:val="0"/>
                  <w:vAlign w:val="center"/>
                </w:tcPr>
                <w:p w14:paraId="6A74A7D4">
                  <w:pPr>
                    <w:widowControl/>
                    <w:jc w:val="center"/>
                    <w:rPr>
                      <w:rFonts w:hint="default"/>
                      <w:color w:val="auto"/>
                      <w:kern w:val="0"/>
                      <w:sz w:val="21"/>
                      <w:szCs w:val="21"/>
                      <w:lang w:val="en-US" w:eastAsia="zh-CN"/>
                    </w:rPr>
                  </w:pPr>
                  <w:r>
                    <w:rPr>
                      <w:rFonts w:hint="eastAsia"/>
                      <w:color w:val="auto"/>
                      <w:kern w:val="0"/>
                      <w:sz w:val="21"/>
                      <w:szCs w:val="21"/>
                      <w:lang w:val="en-US" w:eastAsia="zh-CN"/>
                    </w:rPr>
                    <w:t>85</w:t>
                  </w:r>
                </w:p>
              </w:tc>
              <w:tc>
                <w:tcPr>
                  <w:tcW w:w="186" w:type="pct"/>
                  <w:vMerge w:val="continue"/>
                  <w:noWrap w:val="0"/>
                  <w:vAlign w:val="center"/>
                </w:tcPr>
                <w:p w14:paraId="02F474ED">
                  <w:pPr>
                    <w:spacing w:line="320" w:lineRule="exact"/>
                    <w:jc w:val="center"/>
                    <w:rPr>
                      <w:color w:val="auto"/>
                      <w:kern w:val="0"/>
                      <w:sz w:val="21"/>
                      <w:szCs w:val="21"/>
                    </w:rPr>
                  </w:pPr>
                </w:p>
              </w:tc>
              <w:tc>
                <w:tcPr>
                  <w:tcW w:w="324" w:type="pct"/>
                  <w:noWrap w:val="0"/>
                  <w:vAlign w:val="center"/>
                </w:tcPr>
                <w:p w14:paraId="6023BF20">
                  <w:pPr>
                    <w:widowControl/>
                    <w:jc w:val="center"/>
                    <w:rPr>
                      <w:rFonts w:hint="default"/>
                      <w:color w:val="auto"/>
                      <w:kern w:val="0"/>
                      <w:sz w:val="21"/>
                      <w:szCs w:val="21"/>
                      <w:lang w:val="en-US" w:eastAsia="zh-CN"/>
                    </w:rPr>
                  </w:pPr>
                  <w:r>
                    <w:rPr>
                      <w:rFonts w:hint="eastAsia"/>
                      <w:color w:val="auto"/>
                      <w:kern w:val="0"/>
                      <w:sz w:val="21"/>
                      <w:szCs w:val="21"/>
                      <w:lang w:val="en-US" w:eastAsia="zh-CN"/>
                    </w:rPr>
                    <w:t>30</w:t>
                  </w:r>
                </w:p>
              </w:tc>
              <w:tc>
                <w:tcPr>
                  <w:tcW w:w="225" w:type="pct"/>
                  <w:noWrap w:val="0"/>
                  <w:vAlign w:val="center"/>
                </w:tcPr>
                <w:p w14:paraId="427E3A5E">
                  <w:pPr>
                    <w:widowControl/>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07F9D051">
                  <w:pPr>
                    <w:widowControl/>
                    <w:jc w:val="center"/>
                    <w:rPr>
                      <w:rFonts w:hint="default"/>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34E71A9A">
                  <w:pPr>
                    <w:widowControl/>
                    <w:jc w:val="center"/>
                    <w:rPr>
                      <w:rFonts w:hint="eastAsia"/>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188D94DB">
                  <w:pPr>
                    <w:jc w:val="center"/>
                    <w:rPr>
                      <w:rFonts w:hint="default"/>
                      <w:color w:val="auto"/>
                      <w:kern w:val="0"/>
                      <w:sz w:val="21"/>
                      <w:szCs w:val="21"/>
                      <w:lang w:val="en-US" w:eastAsia="zh-CN"/>
                    </w:rPr>
                  </w:pPr>
                  <w:r>
                    <w:rPr>
                      <w:rFonts w:hint="eastAsia"/>
                      <w:color w:val="auto"/>
                      <w:kern w:val="0"/>
                      <w:sz w:val="21"/>
                      <w:szCs w:val="21"/>
                      <w:lang w:val="en-US" w:eastAsia="zh-CN"/>
                    </w:rPr>
                    <w:t>71</w:t>
                  </w:r>
                </w:p>
              </w:tc>
              <w:tc>
                <w:tcPr>
                  <w:tcW w:w="365" w:type="pct"/>
                  <w:vMerge w:val="continue"/>
                  <w:noWrap w:val="0"/>
                  <w:vAlign w:val="center"/>
                </w:tcPr>
                <w:p w14:paraId="391DF8EB">
                  <w:pPr>
                    <w:jc w:val="center"/>
                    <w:rPr>
                      <w:color w:val="auto"/>
                      <w:kern w:val="0"/>
                      <w:sz w:val="21"/>
                      <w:szCs w:val="21"/>
                    </w:rPr>
                  </w:pPr>
                </w:p>
              </w:tc>
              <w:tc>
                <w:tcPr>
                  <w:tcW w:w="382" w:type="pct"/>
                  <w:noWrap w:val="0"/>
                  <w:vAlign w:val="center"/>
                </w:tcPr>
                <w:p w14:paraId="18DB6923">
                  <w:pPr>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688E76B2">
                  <w:pPr>
                    <w:jc w:val="center"/>
                    <w:rPr>
                      <w:rFonts w:hint="default"/>
                      <w:color w:val="auto"/>
                      <w:kern w:val="0"/>
                      <w:sz w:val="21"/>
                      <w:szCs w:val="21"/>
                      <w:lang w:val="en-US" w:eastAsia="zh-CN"/>
                    </w:rPr>
                  </w:pPr>
                  <w:r>
                    <w:rPr>
                      <w:rFonts w:hint="eastAsia"/>
                      <w:color w:val="auto"/>
                      <w:kern w:val="0"/>
                      <w:sz w:val="21"/>
                      <w:szCs w:val="21"/>
                      <w:lang w:val="en-US" w:eastAsia="zh-CN"/>
                    </w:rPr>
                    <w:t>51</w:t>
                  </w:r>
                </w:p>
              </w:tc>
              <w:tc>
                <w:tcPr>
                  <w:tcW w:w="277" w:type="pct"/>
                  <w:noWrap w:val="0"/>
                  <w:vAlign w:val="center"/>
                </w:tcPr>
                <w:p w14:paraId="4FAFF870">
                  <w:pPr>
                    <w:jc w:val="center"/>
                    <w:rPr>
                      <w:rFonts w:hint="eastAsia"/>
                      <w:color w:val="auto"/>
                      <w:kern w:val="0"/>
                      <w:sz w:val="21"/>
                      <w:szCs w:val="21"/>
                      <w:lang w:val="en-US" w:eastAsia="zh-CN"/>
                    </w:rPr>
                  </w:pPr>
                  <w:r>
                    <w:rPr>
                      <w:rFonts w:hint="eastAsia"/>
                      <w:color w:val="auto"/>
                      <w:kern w:val="0"/>
                      <w:sz w:val="21"/>
                      <w:szCs w:val="21"/>
                      <w:lang w:val="en-US" w:eastAsia="zh-CN"/>
                    </w:rPr>
                    <w:t>1</w:t>
                  </w:r>
                </w:p>
              </w:tc>
            </w:tr>
            <w:tr w14:paraId="30110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 w:type="pct"/>
                  <w:noWrap w:val="0"/>
                  <w:vAlign w:val="center"/>
                </w:tcPr>
                <w:p w14:paraId="0AB34A9D">
                  <w:pPr>
                    <w:jc w:val="center"/>
                    <w:rPr>
                      <w:rFonts w:hint="default" w:eastAsia="宋体"/>
                      <w:color w:val="auto"/>
                      <w:sz w:val="21"/>
                      <w:szCs w:val="21"/>
                      <w:lang w:val="en-US" w:eastAsia="zh-CN"/>
                    </w:rPr>
                  </w:pPr>
                  <w:r>
                    <w:rPr>
                      <w:rFonts w:hint="eastAsia"/>
                      <w:color w:val="auto"/>
                      <w:sz w:val="21"/>
                      <w:szCs w:val="21"/>
                      <w:lang w:val="en-US" w:eastAsia="zh-CN"/>
                    </w:rPr>
                    <w:t>16</w:t>
                  </w:r>
                </w:p>
              </w:tc>
              <w:tc>
                <w:tcPr>
                  <w:tcW w:w="203" w:type="pct"/>
                  <w:vMerge w:val="continue"/>
                  <w:noWrap w:val="0"/>
                  <w:vAlign w:val="center"/>
                </w:tcPr>
                <w:p w14:paraId="2227620B">
                  <w:pPr>
                    <w:jc w:val="center"/>
                    <w:rPr>
                      <w:color w:val="auto"/>
                      <w:sz w:val="21"/>
                      <w:szCs w:val="21"/>
                    </w:rPr>
                  </w:pPr>
                </w:p>
              </w:tc>
              <w:tc>
                <w:tcPr>
                  <w:tcW w:w="704" w:type="pct"/>
                  <w:noWrap w:val="0"/>
                  <w:vAlign w:val="center"/>
                </w:tcPr>
                <w:p w14:paraId="189C660E">
                  <w:pPr>
                    <w:keepNext w:val="0"/>
                    <w:keepLines w:val="0"/>
                    <w:pageBreakBefore w:val="0"/>
                    <w:widowControl w:val="0"/>
                    <w:kinsoku/>
                    <w:wordWrap/>
                    <w:overflowPunct/>
                    <w:topLinePunct w:val="0"/>
                    <w:autoSpaceDE/>
                    <w:autoSpaceDN/>
                    <w:bidi w:val="0"/>
                    <w:spacing w:line="240" w:lineRule="auto"/>
                    <w:jc w:val="center"/>
                    <w:rPr>
                      <w:rFonts w:hint="eastAsia"/>
                      <w:color w:val="auto"/>
                      <w:sz w:val="21"/>
                      <w:szCs w:val="21"/>
                    </w:rPr>
                  </w:pPr>
                  <w:r>
                    <w:rPr>
                      <w:rFonts w:hint="eastAsia" w:ascii="Times New Roman" w:hAnsi="Times New Roman" w:eastAsia="宋体" w:cs="Times New Roman"/>
                      <w:color w:val="auto"/>
                      <w:szCs w:val="21"/>
                      <w:lang w:val="en-US" w:eastAsia="zh-CN"/>
                    </w:rPr>
                    <w:t>空压机</w:t>
                  </w:r>
                </w:p>
              </w:tc>
              <w:tc>
                <w:tcPr>
                  <w:tcW w:w="509" w:type="pct"/>
                  <w:noWrap w:val="0"/>
                  <w:vAlign w:val="center"/>
                </w:tcPr>
                <w:p w14:paraId="5459C47F">
                  <w:pPr>
                    <w:keepNext w:val="0"/>
                    <w:keepLines w:val="0"/>
                    <w:pageBreakBefore w:val="0"/>
                    <w:widowControl w:val="0"/>
                    <w:kinsoku/>
                    <w:wordWrap/>
                    <w:overflowPunct/>
                    <w:topLinePunct w:val="0"/>
                    <w:autoSpaceDE/>
                    <w:autoSpaceDN/>
                    <w:bidi w:val="0"/>
                    <w:spacing w:line="240" w:lineRule="auto"/>
                    <w:jc w:val="center"/>
                    <w:rPr>
                      <w:rFonts w:hint="eastAsia"/>
                      <w:color w:val="auto"/>
                      <w:sz w:val="21"/>
                      <w:szCs w:val="21"/>
                    </w:rPr>
                  </w:pPr>
                  <w:r>
                    <w:rPr>
                      <w:rFonts w:hint="eastAsia" w:ascii="Times New Roman" w:hAnsi="Times New Roman" w:eastAsia="宋体" w:cs="Times New Roman"/>
                      <w:color w:val="auto"/>
                      <w:szCs w:val="21"/>
                    </w:rPr>
                    <w:t>供气能力为</w:t>
                  </w:r>
                  <w:r>
                    <w:rPr>
                      <w:rFonts w:hint="eastAsia" w:cs="Times New Roman"/>
                      <w:color w:val="auto"/>
                      <w:szCs w:val="21"/>
                      <w:lang w:val="en-US" w:eastAsia="zh-CN"/>
                    </w:rPr>
                    <w:t>3.6</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/min</w:t>
                  </w:r>
                </w:p>
              </w:tc>
              <w:tc>
                <w:tcPr>
                  <w:tcW w:w="373" w:type="pct"/>
                  <w:noWrap w:val="0"/>
                  <w:vAlign w:val="center"/>
                </w:tcPr>
                <w:p w14:paraId="292772D3">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90</w:t>
                  </w:r>
                </w:p>
              </w:tc>
              <w:tc>
                <w:tcPr>
                  <w:tcW w:w="186" w:type="pct"/>
                  <w:vMerge w:val="continue"/>
                  <w:noWrap w:val="0"/>
                  <w:vAlign w:val="center"/>
                </w:tcPr>
                <w:p w14:paraId="0A0D68C6">
                  <w:pPr>
                    <w:spacing w:line="320" w:lineRule="exact"/>
                    <w:jc w:val="center"/>
                    <w:rPr>
                      <w:color w:val="auto"/>
                      <w:kern w:val="0"/>
                      <w:sz w:val="21"/>
                      <w:szCs w:val="21"/>
                    </w:rPr>
                  </w:pPr>
                </w:p>
              </w:tc>
              <w:tc>
                <w:tcPr>
                  <w:tcW w:w="324" w:type="pct"/>
                  <w:noWrap w:val="0"/>
                  <w:vAlign w:val="center"/>
                </w:tcPr>
                <w:p w14:paraId="64C452D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225" w:type="pct"/>
                  <w:noWrap w:val="0"/>
                  <w:vAlign w:val="center"/>
                </w:tcPr>
                <w:p w14:paraId="1304DAD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88" w:type="pct"/>
                  <w:noWrap w:val="0"/>
                  <w:vAlign w:val="center"/>
                </w:tcPr>
                <w:p w14:paraId="68C8E409">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288" w:type="pct"/>
                  <w:noWrap w:val="0"/>
                  <w:vAlign w:val="center"/>
                </w:tcPr>
                <w:p w14:paraId="4F95EB9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5</w:t>
                  </w:r>
                </w:p>
              </w:tc>
              <w:tc>
                <w:tcPr>
                  <w:tcW w:w="273" w:type="pct"/>
                  <w:noWrap w:val="0"/>
                  <w:vAlign w:val="center"/>
                </w:tcPr>
                <w:p w14:paraId="2CF80314">
                  <w:pPr>
                    <w:jc w:val="center"/>
                    <w:rPr>
                      <w:rFonts w:hint="default" w:eastAsia="宋体"/>
                      <w:color w:val="auto"/>
                      <w:kern w:val="0"/>
                      <w:sz w:val="21"/>
                      <w:szCs w:val="21"/>
                      <w:lang w:val="en-US" w:eastAsia="zh-CN"/>
                    </w:rPr>
                  </w:pPr>
                  <w:r>
                    <w:rPr>
                      <w:rFonts w:hint="eastAsia"/>
                      <w:color w:val="auto"/>
                      <w:kern w:val="0"/>
                      <w:sz w:val="21"/>
                      <w:szCs w:val="21"/>
                      <w:lang w:val="en-US" w:eastAsia="zh-CN"/>
                    </w:rPr>
                    <w:t>76</w:t>
                  </w:r>
                </w:p>
              </w:tc>
              <w:tc>
                <w:tcPr>
                  <w:tcW w:w="365" w:type="pct"/>
                  <w:vMerge w:val="continue"/>
                  <w:noWrap w:val="0"/>
                  <w:vAlign w:val="center"/>
                </w:tcPr>
                <w:p w14:paraId="121B21F0">
                  <w:pPr>
                    <w:jc w:val="center"/>
                    <w:rPr>
                      <w:color w:val="auto"/>
                      <w:kern w:val="0"/>
                      <w:sz w:val="21"/>
                      <w:szCs w:val="21"/>
                    </w:rPr>
                  </w:pPr>
                </w:p>
              </w:tc>
              <w:tc>
                <w:tcPr>
                  <w:tcW w:w="382" w:type="pct"/>
                  <w:noWrap w:val="0"/>
                  <w:vAlign w:val="center"/>
                </w:tcPr>
                <w:p w14:paraId="1B213EBA">
                  <w:pPr>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382" w:type="pct"/>
                  <w:noWrap w:val="0"/>
                  <w:vAlign w:val="center"/>
                </w:tcPr>
                <w:p w14:paraId="5929E4A7">
                  <w:pPr>
                    <w:jc w:val="center"/>
                    <w:rPr>
                      <w:rFonts w:hint="default" w:eastAsia="宋体"/>
                      <w:color w:val="auto"/>
                      <w:kern w:val="0"/>
                      <w:sz w:val="21"/>
                      <w:szCs w:val="21"/>
                      <w:lang w:val="en-US" w:eastAsia="zh-CN"/>
                    </w:rPr>
                  </w:pPr>
                  <w:r>
                    <w:rPr>
                      <w:rFonts w:hint="eastAsia"/>
                      <w:color w:val="auto"/>
                      <w:kern w:val="0"/>
                      <w:sz w:val="21"/>
                      <w:szCs w:val="21"/>
                      <w:lang w:val="en-US" w:eastAsia="zh-CN"/>
                    </w:rPr>
                    <w:t>56</w:t>
                  </w:r>
                </w:p>
              </w:tc>
              <w:tc>
                <w:tcPr>
                  <w:tcW w:w="277" w:type="pct"/>
                  <w:noWrap w:val="0"/>
                  <w:vAlign w:val="center"/>
                </w:tcPr>
                <w:p w14:paraId="1EBB5944">
                  <w:pPr>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r>
          </w:tbl>
          <w:p w14:paraId="293C3AC0">
            <w:pPr>
              <w:pStyle w:val="6"/>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以</w:t>
            </w:r>
            <w:r>
              <w:rPr>
                <w:rFonts w:hint="eastAsia" w:ascii="Times New Roman" w:eastAsia="宋体" w:cs="Times New Roman"/>
                <w:color w:val="auto"/>
                <w:sz w:val="21"/>
                <w:szCs w:val="21"/>
                <w:lang w:val="en-US" w:eastAsia="zh-CN"/>
              </w:rPr>
              <w:t>租赁车间中心点</w:t>
            </w:r>
            <w:r>
              <w:rPr>
                <w:rFonts w:hint="default" w:ascii="Times New Roman" w:hAnsi="Times New Roman" w:eastAsia="宋体" w:cs="Times New Roman"/>
                <w:color w:val="auto"/>
                <w:sz w:val="21"/>
                <w:szCs w:val="21"/>
                <w:lang w:val="en-US" w:eastAsia="zh-CN"/>
              </w:rPr>
              <w:t>为参照点。</w:t>
            </w:r>
          </w:p>
          <w:p w14:paraId="221D5566">
            <w:pPr>
              <w:spacing w:line="360" w:lineRule="auto"/>
              <w:ind w:firstLine="561"/>
              <w:rPr>
                <w:rFonts w:hint="eastAsia"/>
                <w:b/>
                <w:color w:val="auto"/>
                <w:kern w:val="0"/>
                <w:szCs w:val="21"/>
              </w:rPr>
            </w:pPr>
            <w:r>
              <w:rPr>
                <w:rFonts w:hint="eastAsia"/>
                <w:b/>
                <w:color w:val="auto"/>
                <w:kern w:val="0"/>
                <w:szCs w:val="21"/>
              </w:rPr>
              <w:t>3.2达标情况分析</w:t>
            </w:r>
          </w:p>
          <w:p w14:paraId="53B5B6F9">
            <w:pPr>
              <w:spacing w:line="360" w:lineRule="auto"/>
              <w:ind w:firstLine="561"/>
              <w:rPr>
                <w:color w:val="auto"/>
                <w:kern w:val="0"/>
                <w:szCs w:val="21"/>
              </w:rPr>
            </w:pPr>
            <w:r>
              <w:rPr>
                <w:color w:val="auto"/>
                <w:kern w:val="0"/>
                <w:szCs w:val="21"/>
              </w:rPr>
              <w:t>根据资料，以常规的噪声衰减和叠加模式进行预测计算与评价，同时考虑到建设单位采取的控制措施，预测了在正常生产条件下噪声对厂界的影响值：</w:t>
            </w:r>
          </w:p>
          <w:p w14:paraId="0726FB7B">
            <w:pPr>
              <w:spacing w:line="360" w:lineRule="auto"/>
              <w:ind w:firstLine="561"/>
              <w:rPr>
                <w:color w:val="auto"/>
                <w:kern w:val="0"/>
                <w:szCs w:val="21"/>
              </w:rPr>
            </w:pPr>
            <w:r>
              <w:rPr>
                <w:color w:val="auto"/>
                <w:kern w:val="0"/>
                <w:szCs w:val="21"/>
              </w:rPr>
              <w:t>（1）噪声预测</w:t>
            </w:r>
          </w:p>
          <w:p w14:paraId="66646E62">
            <w:pPr>
              <w:spacing w:line="360" w:lineRule="auto"/>
              <w:ind w:firstLine="561"/>
              <w:rPr>
                <w:color w:val="auto"/>
                <w:kern w:val="0"/>
                <w:szCs w:val="21"/>
              </w:rPr>
            </w:pPr>
            <w:r>
              <w:rPr>
                <w:color w:val="auto"/>
                <w:kern w:val="0"/>
                <w:szCs w:val="21"/>
              </w:rPr>
              <w:t>根据《环境影响评价技术导则 声环境》</w:t>
            </w:r>
            <w:r>
              <w:rPr>
                <w:rFonts w:hint="eastAsia"/>
                <w:color w:val="auto"/>
              </w:rPr>
              <w:t>（HJ2.4-2021</w:t>
            </w:r>
            <w:r>
              <w:rPr>
                <w:color w:val="auto"/>
                <w:kern w:val="0"/>
                <w:szCs w:val="21"/>
              </w:rPr>
              <w:t>）的规定，选用导则上推荐模式。</w:t>
            </w:r>
          </w:p>
          <w:p w14:paraId="5DF00C5F">
            <w:pPr>
              <w:tabs>
                <w:tab w:val="left" w:pos="3054"/>
              </w:tabs>
              <w:spacing w:line="360" w:lineRule="auto"/>
              <w:ind w:left="44" w:leftChars="21" w:right="51" w:firstLine="420" w:firstLineChars="200"/>
              <w:rPr>
                <w:rFonts w:hint="eastAsia"/>
                <w:color w:val="auto"/>
                <w:szCs w:val="21"/>
              </w:rPr>
            </w:pPr>
            <w:r>
              <w:rPr>
                <w:color w:val="auto"/>
                <w:kern w:val="0"/>
                <w:szCs w:val="21"/>
              </w:rPr>
              <w:t xml:space="preserve">  </w:t>
            </w:r>
            <w:r>
              <w:rPr>
                <w:color w:val="auto"/>
                <w:szCs w:val="21"/>
              </w:rPr>
              <w:t xml:space="preserve"> </w:t>
            </w:r>
            <w:r>
              <w:rPr>
                <w:rFonts w:hint="eastAsia"/>
                <w:color w:val="auto"/>
                <w:szCs w:val="21"/>
              </w:rPr>
              <w:t>①室内声源等效室外声源声功率级计算</w:t>
            </w:r>
          </w:p>
          <w:p w14:paraId="06B1737B">
            <w:pPr>
              <w:tabs>
                <w:tab w:val="left" w:pos="3054"/>
              </w:tabs>
              <w:spacing w:line="360" w:lineRule="auto"/>
              <w:ind w:left="44" w:leftChars="21" w:right="51" w:firstLine="420" w:firstLineChars="200"/>
              <w:rPr>
                <w:rFonts w:hint="eastAsia"/>
                <w:color w:val="auto"/>
                <w:szCs w:val="21"/>
              </w:rPr>
            </w:pPr>
            <w:r>
              <w:rPr>
                <w:rFonts w:hint="eastAsia"/>
                <w:color w:val="auto"/>
                <w:szCs w:val="21"/>
              </w:rPr>
              <w:t>本项目评价范围内无环境敏感目标，仅需预测厂界噪声值，按如下公式预测：</w:t>
            </w:r>
          </w:p>
          <w:p w14:paraId="6A6CC9DC">
            <w:pPr>
              <w:tabs>
                <w:tab w:val="left" w:pos="3054"/>
              </w:tabs>
              <w:spacing w:line="360" w:lineRule="auto"/>
              <w:ind w:left="44" w:leftChars="21" w:right="51" w:firstLine="420" w:firstLineChars="200"/>
              <w:jc w:val="center"/>
              <w:rPr>
                <w:rFonts w:hint="eastAsia"/>
                <w:color w:val="auto"/>
                <w:szCs w:val="21"/>
              </w:rPr>
            </w:pPr>
            <w:r>
              <w:rPr>
                <w:rFonts w:hint="eastAsia"/>
                <w:color w:val="auto"/>
                <w:szCs w:val="21"/>
              </w:rPr>
              <w:t>L</w:t>
            </w:r>
            <w:r>
              <w:rPr>
                <w:rFonts w:hint="eastAsia"/>
                <w:color w:val="auto"/>
                <w:szCs w:val="21"/>
                <w:vertAlign w:val="subscript"/>
              </w:rPr>
              <w:t>p2</w:t>
            </w:r>
            <w:r>
              <w:rPr>
                <w:rFonts w:hint="eastAsia"/>
                <w:color w:val="auto"/>
                <w:szCs w:val="21"/>
              </w:rPr>
              <w:t>= L</w:t>
            </w:r>
            <w:r>
              <w:rPr>
                <w:rFonts w:hint="eastAsia"/>
                <w:color w:val="auto"/>
                <w:szCs w:val="21"/>
                <w:vertAlign w:val="subscript"/>
              </w:rPr>
              <w:t>p1</w:t>
            </w:r>
            <w:r>
              <w:rPr>
                <w:rFonts w:hint="eastAsia"/>
                <w:color w:val="auto"/>
                <w:szCs w:val="21"/>
              </w:rPr>
              <w:t>—（TL+6）</w:t>
            </w:r>
          </w:p>
          <w:p w14:paraId="339C80DA">
            <w:pPr>
              <w:tabs>
                <w:tab w:val="left" w:pos="3054"/>
              </w:tabs>
              <w:spacing w:line="360" w:lineRule="auto"/>
              <w:ind w:left="44" w:leftChars="21" w:right="51" w:firstLine="420" w:firstLineChars="200"/>
              <w:rPr>
                <w:rFonts w:hint="eastAsia"/>
                <w:color w:val="auto"/>
                <w:szCs w:val="21"/>
              </w:rPr>
            </w:pPr>
            <w:r>
              <w:rPr>
                <w:rFonts w:hint="eastAsia"/>
                <w:color w:val="auto"/>
                <w:szCs w:val="21"/>
              </w:rPr>
              <w:t>式中：L</w:t>
            </w:r>
            <w:r>
              <w:rPr>
                <w:rFonts w:hint="eastAsia"/>
                <w:color w:val="auto"/>
                <w:szCs w:val="21"/>
                <w:vertAlign w:val="subscript"/>
              </w:rPr>
              <w:t>p2</w:t>
            </w:r>
            <w:r>
              <w:rPr>
                <w:rFonts w:hint="eastAsia"/>
                <w:color w:val="auto"/>
                <w:szCs w:val="21"/>
              </w:rPr>
              <w:t>—靠近开口处（或窗户）室外A声级，dB；</w:t>
            </w:r>
          </w:p>
          <w:p w14:paraId="5FF9DBB4">
            <w:pPr>
              <w:tabs>
                <w:tab w:val="left" w:pos="3054"/>
              </w:tabs>
              <w:spacing w:line="360" w:lineRule="auto"/>
              <w:ind w:left="44" w:leftChars="21" w:right="51" w:firstLine="1050" w:firstLineChars="500"/>
              <w:rPr>
                <w:rFonts w:hint="eastAsia"/>
                <w:color w:val="auto"/>
                <w:szCs w:val="21"/>
              </w:rPr>
            </w:pPr>
            <w:r>
              <w:rPr>
                <w:rFonts w:hint="eastAsia"/>
                <w:color w:val="auto"/>
                <w:szCs w:val="21"/>
              </w:rPr>
              <w:t>L</w:t>
            </w:r>
            <w:r>
              <w:rPr>
                <w:rFonts w:hint="eastAsia"/>
                <w:color w:val="auto"/>
                <w:szCs w:val="21"/>
                <w:vertAlign w:val="subscript"/>
              </w:rPr>
              <w:t>p1</w:t>
            </w:r>
            <w:r>
              <w:rPr>
                <w:rFonts w:hint="eastAsia"/>
                <w:color w:val="auto"/>
                <w:szCs w:val="21"/>
              </w:rPr>
              <w:t>—靠近开口处（或窗户）室内A声级，dB；</w:t>
            </w:r>
          </w:p>
          <w:p w14:paraId="5A0F4D4B">
            <w:pPr>
              <w:tabs>
                <w:tab w:val="left" w:pos="3054"/>
              </w:tabs>
              <w:spacing w:line="360" w:lineRule="auto"/>
              <w:ind w:left="44" w:leftChars="21" w:right="51" w:firstLine="1050" w:firstLineChars="500"/>
              <w:rPr>
                <w:rFonts w:hint="eastAsia"/>
                <w:color w:val="auto"/>
                <w:szCs w:val="21"/>
              </w:rPr>
            </w:pPr>
            <w:r>
              <w:rPr>
                <w:rFonts w:hint="eastAsia"/>
                <w:color w:val="auto"/>
                <w:szCs w:val="21"/>
              </w:rPr>
              <w:t>TL—隔墙（或窗户）A声级的隔声量，dB；</w:t>
            </w:r>
          </w:p>
          <w:p w14:paraId="5BF981E3">
            <w:pPr>
              <w:tabs>
                <w:tab w:val="left" w:pos="3054"/>
              </w:tabs>
              <w:spacing w:line="360" w:lineRule="auto"/>
              <w:ind w:left="44" w:leftChars="21" w:right="51" w:firstLine="420" w:firstLineChars="200"/>
              <w:jc w:val="center"/>
              <w:rPr>
                <w:rFonts w:hint="eastAsia"/>
                <w:color w:val="auto"/>
                <w:szCs w:val="21"/>
              </w:rPr>
            </w:pPr>
            <w:r>
              <w:rPr>
                <w:rFonts w:hint="eastAsia"/>
                <w:color w:val="auto"/>
                <w:szCs w:val="21"/>
              </w:rPr>
              <w:t>其中L</w:t>
            </w:r>
            <w:r>
              <w:rPr>
                <w:rFonts w:hint="eastAsia"/>
                <w:color w:val="auto"/>
                <w:szCs w:val="21"/>
                <w:vertAlign w:val="subscript"/>
              </w:rPr>
              <w:t>p1</w:t>
            </w:r>
            <w:r>
              <w:rPr>
                <w:rFonts w:hint="eastAsia"/>
                <w:color w:val="auto"/>
                <w:szCs w:val="21"/>
              </w:rPr>
              <w:t>=Lw+10lg（Q/4πr</w:t>
            </w:r>
            <w:r>
              <w:rPr>
                <w:rFonts w:hint="eastAsia"/>
                <w:color w:val="auto"/>
                <w:szCs w:val="21"/>
                <w:vertAlign w:val="superscript"/>
              </w:rPr>
              <w:t>2</w:t>
            </w:r>
            <w:r>
              <w:rPr>
                <w:rFonts w:hint="eastAsia"/>
                <w:color w:val="auto"/>
                <w:szCs w:val="21"/>
              </w:rPr>
              <w:t>+4/R）</w:t>
            </w:r>
          </w:p>
          <w:p w14:paraId="0D3707A2">
            <w:pPr>
              <w:tabs>
                <w:tab w:val="left" w:pos="3054"/>
              </w:tabs>
              <w:spacing w:line="360" w:lineRule="auto"/>
              <w:ind w:left="44" w:leftChars="21" w:right="51" w:firstLine="420" w:firstLineChars="200"/>
              <w:rPr>
                <w:rFonts w:hint="eastAsia"/>
                <w:color w:val="auto"/>
                <w:szCs w:val="21"/>
              </w:rPr>
            </w:pPr>
            <w:r>
              <w:rPr>
                <w:rFonts w:hint="eastAsia"/>
                <w:color w:val="auto"/>
                <w:szCs w:val="21"/>
              </w:rPr>
              <w:t>式中：Lw—点声源声功率级，dB；</w:t>
            </w:r>
          </w:p>
          <w:p w14:paraId="7210CC84">
            <w:pPr>
              <w:tabs>
                <w:tab w:val="left" w:pos="3054"/>
              </w:tabs>
              <w:spacing w:line="360" w:lineRule="auto"/>
              <w:ind w:left="44" w:leftChars="21" w:right="51" w:firstLine="1050" w:firstLineChars="500"/>
              <w:rPr>
                <w:rFonts w:hint="eastAsia"/>
                <w:color w:val="auto"/>
                <w:szCs w:val="21"/>
              </w:rPr>
            </w:pPr>
            <w:r>
              <w:rPr>
                <w:rFonts w:hint="eastAsia"/>
                <w:color w:val="auto"/>
                <w:szCs w:val="21"/>
              </w:rPr>
              <w:t>Q—指向性因数；通常对无指向性声源，当声源放在房间中心时，Q=1；当放在一面墙的中心时，Q=2；当放在三面墙夹角处时，Q=3。</w:t>
            </w:r>
          </w:p>
          <w:p w14:paraId="0BC40B6B">
            <w:pPr>
              <w:tabs>
                <w:tab w:val="left" w:pos="3054"/>
              </w:tabs>
              <w:spacing w:line="360" w:lineRule="auto"/>
              <w:ind w:left="44" w:leftChars="21" w:right="51" w:firstLine="1050" w:firstLineChars="500"/>
              <w:rPr>
                <w:rFonts w:hint="eastAsia"/>
                <w:color w:val="auto"/>
                <w:szCs w:val="21"/>
              </w:rPr>
            </w:pPr>
            <w:r>
              <w:rPr>
                <w:rFonts w:hint="eastAsia"/>
                <w:color w:val="auto"/>
                <w:szCs w:val="21"/>
              </w:rPr>
              <w:t>R—房间常数；R=S</w:t>
            </w:r>
            <w:r>
              <w:rPr>
                <w:color w:val="auto"/>
                <w:szCs w:val="21"/>
              </w:rPr>
              <w:t>α</w:t>
            </w:r>
            <w:r>
              <w:rPr>
                <w:rFonts w:hint="eastAsia"/>
                <w:color w:val="auto"/>
                <w:szCs w:val="21"/>
              </w:rPr>
              <w:t>/（1-</w:t>
            </w:r>
            <w:r>
              <w:rPr>
                <w:color w:val="auto"/>
                <w:szCs w:val="21"/>
              </w:rPr>
              <w:t>α</w:t>
            </w:r>
            <w:r>
              <w:rPr>
                <w:rFonts w:hint="eastAsia"/>
                <w:color w:val="auto"/>
                <w:szCs w:val="21"/>
              </w:rPr>
              <w:t>），S为房间内表面面积，m</w:t>
            </w:r>
            <w:r>
              <w:rPr>
                <w:rFonts w:hint="eastAsia"/>
                <w:color w:val="auto"/>
                <w:szCs w:val="21"/>
                <w:vertAlign w:val="superscript"/>
              </w:rPr>
              <w:t>2</w:t>
            </w:r>
            <w:r>
              <w:rPr>
                <w:rFonts w:hint="eastAsia"/>
                <w:color w:val="auto"/>
                <w:szCs w:val="21"/>
              </w:rPr>
              <w:t>；</w:t>
            </w:r>
            <w:r>
              <w:rPr>
                <w:color w:val="auto"/>
                <w:szCs w:val="21"/>
              </w:rPr>
              <w:t>α为平均吸声系数；</w:t>
            </w:r>
          </w:p>
          <w:p w14:paraId="4C4619DF">
            <w:pPr>
              <w:tabs>
                <w:tab w:val="left" w:pos="3054"/>
              </w:tabs>
              <w:spacing w:line="360" w:lineRule="auto"/>
              <w:ind w:left="44" w:leftChars="21" w:right="51" w:firstLine="1050" w:firstLineChars="500"/>
              <w:rPr>
                <w:rFonts w:hint="eastAsia"/>
                <w:color w:val="auto"/>
                <w:szCs w:val="21"/>
              </w:rPr>
            </w:pPr>
            <w:r>
              <w:rPr>
                <w:rFonts w:hint="eastAsia"/>
                <w:color w:val="auto"/>
                <w:szCs w:val="21"/>
              </w:rPr>
              <w:t>r—声源到靠近围栏结构某点处的距离，m。</w:t>
            </w:r>
          </w:p>
          <w:p w14:paraId="3ACAAD98">
            <w:pPr>
              <w:spacing w:line="360" w:lineRule="auto"/>
              <w:ind w:firstLine="420" w:firstLineChars="200"/>
              <w:rPr>
                <w:rFonts w:hint="eastAsia"/>
                <w:color w:val="auto"/>
                <w:szCs w:val="21"/>
              </w:rPr>
            </w:pPr>
            <w:r>
              <w:rPr>
                <w:rFonts w:hint="eastAsia"/>
                <w:color w:val="auto"/>
                <w:szCs w:val="21"/>
              </w:rPr>
              <w:t>②室外噪声点声源衰减预测</w:t>
            </w:r>
          </w:p>
          <w:p w14:paraId="7F781958">
            <w:pPr>
              <w:tabs>
                <w:tab w:val="left" w:pos="3054"/>
              </w:tabs>
              <w:spacing w:line="360" w:lineRule="auto"/>
              <w:ind w:left="44" w:leftChars="21" w:right="51" w:firstLine="420" w:firstLineChars="200"/>
              <w:rPr>
                <w:rFonts w:hint="eastAsia"/>
                <w:color w:val="auto"/>
                <w:szCs w:val="21"/>
              </w:rPr>
            </w:pPr>
            <w:r>
              <w:rPr>
                <w:rFonts w:hint="eastAsia"/>
                <w:color w:val="auto"/>
                <w:szCs w:val="21"/>
              </w:rPr>
              <w:t>本项目仅考虑几何发散衰减，采用如下公式预测：</w:t>
            </w:r>
          </w:p>
          <w:p w14:paraId="0BF8E82B">
            <w:pPr>
              <w:tabs>
                <w:tab w:val="left" w:pos="3054"/>
              </w:tabs>
              <w:spacing w:line="360" w:lineRule="auto"/>
              <w:ind w:left="44" w:leftChars="21" w:right="51" w:firstLine="420" w:firstLineChars="200"/>
              <w:jc w:val="center"/>
              <w:rPr>
                <w:rFonts w:hint="eastAsia"/>
                <w:color w:val="auto"/>
                <w:szCs w:val="21"/>
              </w:rPr>
            </w:pPr>
            <w:r>
              <w:rPr>
                <w:rFonts w:hint="eastAsia"/>
                <w:color w:val="auto"/>
                <w:szCs w:val="21"/>
              </w:rPr>
              <w:t>L</w:t>
            </w:r>
            <w:r>
              <w:rPr>
                <w:rFonts w:hint="eastAsia"/>
                <w:color w:val="auto"/>
                <w:szCs w:val="21"/>
                <w:vertAlign w:val="subscript"/>
              </w:rPr>
              <w:t>A</w:t>
            </w:r>
            <w:r>
              <w:rPr>
                <w:rFonts w:hint="eastAsia"/>
                <w:color w:val="auto"/>
                <w:szCs w:val="21"/>
              </w:rPr>
              <w:t>（r）=L</w:t>
            </w:r>
            <w:r>
              <w:rPr>
                <w:rFonts w:hint="eastAsia"/>
                <w:color w:val="auto"/>
                <w:szCs w:val="21"/>
                <w:vertAlign w:val="subscript"/>
              </w:rPr>
              <w:t>AW</w:t>
            </w:r>
            <w:r>
              <w:rPr>
                <w:rFonts w:hint="eastAsia"/>
                <w:color w:val="auto"/>
                <w:szCs w:val="21"/>
              </w:rPr>
              <w:t>—20lgr—11</w:t>
            </w:r>
          </w:p>
          <w:p w14:paraId="436A2A05">
            <w:pPr>
              <w:tabs>
                <w:tab w:val="left" w:pos="3054"/>
              </w:tabs>
              <w:spacing w:line="360" w:lineRule="auto"/>
              <w:ind w:left="44" w:leftChars="21" w:right="51" w:firstLine="420" w:firstLineChars="200"/>
              <w:rPr>
                <w:rFonts w:hint="eastAsia"/>
                <w:color w:val="auto"/>
                <w:szCs w:val="21"/>
              </w:rPr>
            </w:pPr>
            <w:r>
              <w:rPr>
                <w:rFonts w:hint="eastAsia"/>
                <w:color w:val="auto"/>
                <w:szCs w:val="21"/>
              </w:rPr>
              <w:t>式中：L</w:t>
            </w:r>
            <w:r>
              <w:rPr>
                <w:rFonts w:hint="eastAsia"/>
                <w:color w:val="auto"/>
                <w:szCs w:val="21"/>
                <w:vertAlign w:val="subscript"/>
              </w:rPr>
              <w:t>A</w:t>
            </w:r>
            <w:r>
              <w:rPr>
                <w:rFonts w:hint="eastAsia"/>
                <w:color w:val="auto"/>
                <w:szCs w:val="21"/>
              </w:rPr>
              <w:t>（r）—距点声源r处的A声级，</w:t>
            </w:r>
            <w:r>
              <w:rPr>
                <w:color w:val="auto"/>
                <w:szCs w:val="21"/>
              </w:rPr>
              <w:t>dB(A)；</w:t>
            </w:r>
          </w:p>
          <w:p w14:paraId="213A559A">
            <w:pPr>
              <w:tabs>
                <w:tab w:val="left" w:pos="3054"/>
              </w:tabs>
              <w:spacing w:line="360" w:lineRule="auto"/>
              <w:ind w:left="44" w:leftChars="21" w:right="51" w:firstLine="1050" w:firstLineChars="500"/>
              <w:rPr>
                <w:rFonts w:hint="eastAsia"/>
                <w:color w:val="auto"/>
                <w:szCs w:val="21"/>
              </w:rPr>
            </w:pPr>
            <w:r>
              <w:rPr>
                <w:rFonts w:hint="eastAsia"/>
                <w:color w:val="auto"/>
                <w:szCs w:val="21"/>
              </w:rPr>
              <w:t>L</w:t>
            </w:r>
            <w:r>
              <w:rPr>
                <w:rFonts w:hint="eastAsia"/>
                <w:color w:val="auto"/>
                <w:szCs w:val="21"/>
                <w:vertAlign w:val="subscript"/>
              </w:rPr>
              <w:t>AW</w:t>
            </w:r>
            <w:r>
              <w:rPr>
                <w:rFonts w:hint="eastAsia"/>
                <w:color w:val="auto"/>
                <w:szCs w:val="21"/>
              </w:rPr>
              <w:t>—点声源A计权声功率级，</w:t>
            </w:r>
            <w:r>
              <w:rPr>
                <w:color w:val="auto"/>
                <w:szCs w:val="21"/>
              </w:rPr>
              <w:t>dB；</w:t>
            </w:r>
          </w:p>
          <w:p w14:paraId="119B2273">
            <w:pPr>
              <w:tabs>
                <w:tab w:val="left" w:pos="3054"/>
              </w:tabs>
              <w:spacing w:line="360" w:lineRule="auto"/>
              <w:ind w:left="44" w:leftChars="21" w:right="51" w:firstLine="1050" w:firstLineChars="500"/>
              <w:rPr>
                <w:rFonts w:hint="eastAsia"/>
                <w:color w:val="auto"/>
                <w:szCs w:val="21"/>
              </w:rPr>
            </w:pPr>
            <w:r>
              <w:rPr>
                <w:rFonts w:hint="eastAsia"/>
                <w:color w:val="auto"/>
                <w:szCs w:val="21"/>
              </w:rPr>
              <w:t>r—预测点距离声源的距离。</w:t>
            </w:r>
          </w:p>
          <w:p w14:paraId="2E9669AF">
            <w:pPr>
              <w:tabs>
                <w:tab w:val="left" w:pos="3054"/>
              </w:tabs>
              <w:spacing w:line="360" w:lineRule="auto"/>
              <w:ind w:left="44" w:leftChars="21" w:right="51" w:firstLine="420" w:firstLineChars="200"/>
              <w:rPr>
                <w:rFonts w:hint="eastAsia"/>
                <w:color w:val="auto"/>
                <w:szCs w:val="21"/>
              </w:rPr>
            </w:pPr>
            <w:r>
              <w:rPr>
                <w:rFonts w:hint="eastAsia"/>
                <w:color w:val="auto"/>
                <w:szCs w:val="21"/>
              </w:rPr>
              <w:t>③工业企业噪声贡献值计算</w:t>
            </w:r>
          </w:p>
          <w:p w14:paraId="3869538C">
            <w:pPr>
              <w:tabs>
                <w:tab w:val="left" w:pos="3054"/>
              </w:tabs>
              <w:spacing w:line="360" w:lineRule="auto"/>
              <w:ind w:left="44" w:leftChars="21" w:right="51" w:firstLine="420" w:firstLineChars="200"/>
              <w:jc w:val="center"/>
              <w:rPr>
                <w:rFonts w:hint="eastAsia"/>
                <w:color w:val="auto"/>
                <w:szCs w:val="21"/>
              </w:rPr>
            </w:pPr>
            <w:r>
              <w:rPr>
                <w:rFonts w:hint="eastAsia"/>
                <w:color w:val="auto"/>
                <w:szCs w:val="21"/>
              </w:rPr>
              <w:t>设第i个室外声源在预测点产生的A声级为L</w:t>
            </w:r>
            <w:r>
              <w:rPr>
                <w:rFonts w:hint="eastAsia"/>
                <w:color w:val="auto"/>
                <w:szCs w:val="21"/>
                <w:vertAlign w:val="subscript"/>
              </w:rPr>
              <w:t>Ai</w:t>
            </w:r>
            <w:r>
              <w:rPr>
                <w:rFonts w:hint="eastAsia"/>
                <w:color w:val="auto"/>
                <w:szCs w:val="21"/>
              </w:rPr>
              <w:t>，在T事件内该声源工作时间为t</w:t>
            </w:r>
            <w:r>
              <w:rPr>
                <w:rFonts w:hint="eastAsia"/>
                <w:color w:val="auto"/>
                <w:szCs w:val="21"/>
                <w:vertAlign w:val="subscript"/>
              </w:rPr>
              <w:t>i</w:t>
            </w:r>
            <w:r>
              <w:rPr>
                <w:rFonts w:hint="eastAsia"/>
                <w:color w:val="auto"/>
                <w:szCs w:val="21"/>
              </w:rPr>
              <w:t>；第j个等效室外声源在预测点产生的A声级为L</w:t>
            </w:r>
            <w:r>
              <w:rPr>
                <w:rFonts w:hint="eastAsia"/>
                <w:color w:val="auto"/>
                <w:szCs w:val="21"/>
                <w:vertAlign w:val="subscript"/>
              </w:rPr>
              <w:t>Aj</w:t>
            </w:r>
            <w:r>
              <w:rPr>
                <w:rFonts w:hint="eastAsia"/>
                <w:color w:val="auto"/>
                <w:szCs w:val="21"/>
              </w:rPr>
              <w:t>，在T时间内该声源工作时间为t</w:t>
            </w:r>
            <w:r>
              <w:rPr>
                <w:rFonts w:hint="eastAsia"/>
                <w:color w:val="auto"/>
                <w:szCs w:val="21"/>
                <w:vertAlign w:val="subscript"/>
              </w:rPr>
              <w:t>j</w:t>
            </w:r>
            <w:r>
              <w:rPr>
                <w:rFonts w:hint="eastAsia"/>
                <w:color w:val="auto"/>
                <w:szCs w:val="21"/>
              </w:rPr>
              <w:t>；则拟建工程声源对预测点产生的贡献值（Leqg）为：</w:t>
            </w:r>
          </w:p>
          <w:p w14:paraId="481B832B">
            <w:pPr>
              <w:tabs>
                <w:tab w:val="left" w:pos="3054"/>
              </w:tabs>
              <w:spacing w:line="360" w:lineRule="auto"/>
              <w:ind w:left="44" w:leftChars="21" w:right="51" w:firstLine="420" w:firstLineChars="200"/>
              <w:rPr>
                <w:rFonts w:hint="eastAsia"/>
                <w:color w:val="auto"/>
                <w:szCs w:val="21"/>
              </w:rPr>
            </w:pPr>
            <w:r>
              <w:rPr>
                <w:rFonts w:hint="eastAsia"/>
                <w:color w:val="auto"/>
                <w:szCs w:val="21"/>
              </w:rPr>
              <w:t xml:space="preserve">           </w:t>
            </w:r>
            <w:r>
              <w:rPr>
                <w:color w:val="auto"/>
                <w:szCs w:val="21"/>
              </w:rPr>
              <w:drawing>
                <wp:inline distT="0" distB="0" distL="114300" distR="114300">
                  <wp:extent cx="2187575" cy="467995"/>
                  <wp:effectExtent l="0" t="0" r="3175" b="8255"/>
                  <wp:docPr id="50" name="图片 6" descr="1649983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1649983942(1)"/>
                          <pic:cNvPicPr>
                            <a:picLocks noChangeAspect="1"/>
                          </pic:cNvPicPr>
                        </pic:nvPicPr>
                        <pic:blipFill>
                          <a:blip r:embed="rId14"/>
                          <a:stretch>
                            <a:fillRect/>
                          </a:stretch>
                        </pic:blipFill>
                        <pic:spPr>
                          <a:xfrm>
                            <a:off x="0" y="0"/>
                            <a:ext cx="2187575" cy="467995"/>
                          </a:xfrm>
                          <a:prstGeom prst="rect">
                            <a:avLst/>
                          </a:prstGeom>
                          <a:noFill/>
                          <a:ln>
                            <a:noFill/>
                          </a:ln>
                        </pic:spPr>
                      </pic:pic>
                    </a:graphicData>
                  </a:graphic>
                </wp:inline>
              </w:drawing>
            </w:r>
          </w:p>
          <w:p w14:paraId="6091DAFF">
            <w:pPr>
              <w:tabs>
                <w:tab w:val="left" w:pos="3054"/>
              </w:tabs>
              <w:spacing w:line="360" w:lineRule="auto"/>
              <w:ind w:left="44" w:leftChars="21" w:right="51" w:firstLine="420" w:firstLineChars="200"/>
              <w:rPr>
                <w:rFonts w:hint="eastAsia"/>
                <w:color w:val="auto"/>
                <w:szCs w:val="21"/>
              </w:rPr>
            </w:pPr>
            <w:r>
              <w:rPr>
                <w:rFonts w:hint="eastAsia"/>
                <w:color w:val="auto"/>
                <w:szCs w:val="21"/>
              </w:rPr>
              <w:t>式中：Leqg—建设项目声源在预测点产生的噪声贡献值，dB；</w:t>
            </w:r>
          </w:p>
          <w:p w14:paraId="0431E5D9">
            <w:pPr>
              <w:tabs>
                <w:tab w:val="left" w:pos="3054"/>
              </w:tabs>
              <w:spacing w:line="360" w:lineRule="auto"/>
              <w:ind w:left="44" w:leftChars="21" w:right="51" w:firstLine="1050" w:firstLineChars="500"/>
              <w:rPr>
                <w:rFonts w:hint="eastAsia"/>
                <w:color w:val="auto"/>
                <w:szCs w:val="21"/>
              </w:rPr>
            </w:pPr>
            <w:r>
              <w:rPr>
                <w:rFonts w:hint="eastAsia"/>
                <w:color w:val="auto"/>
                <w:szCs w:val="21"/>
              </w:rPr>
              <w:t>T—用于计算等效声级的时间，s；</w:t>
            </w:r>
          </w:p>
          <w:p w14:paraId="4661B163">
            <w:pPr>
              <w:tabs>
                <w:tab w:val="left" w:pos="3054"/>
              </w:tabs>
              <w:spacing w:line="360" w:lineRule="auto"/>
              <w:ind w:left="44" w:leftChars="21" w:right="51" w:firstLine="1050" w:firstLineChars="500"/>
              <w:rPr>
                <w:rFonts w:hint="eastAsia"/>
                <w:color w:val="auto"/>
                <w:szCs w:val="21"/>
              </w:rPr>
            </w:pPr>
            <w:r>
              <w:rPr>
                <w:rFonts w:hint="eastAsia"/>
                <w:color w:val="auto"/>
                <w:szCs w:val="21"/>
              </w:rPr>
              <w:t>N—室外声源个数；</w:t>
            </w:r>
          </w:p>
          <w:p w14:paraId="300B5871">
            <w:pPr>
              <w:tabs>
                <w:tab w:val="left" w:pos="3054"/>
              </w:tabs>
              <w:spacing w:line="360" w:lineRule="auto"/>
              <w:ind w:left="44" w:leftChars="21" w:right="51" w:firstLine="1050" w:firstLineChars="500"/>
              <w:rPr>
                <w:rFonts w:hint="eastAsia"/>
                <w:color w:val="auto"/>
                <w:szCs w:val="21"/>
              </w:rPr>
            </w:pPr>
            <w:r>
              <w:rPr>
                <w:rFonts w:hint="eastAsia"/>
                <w:color w:val="auto"/>
                <w:szCs w:val="21"/>
              </w:rPr>
              <w:t>t</w:t>
            </w:r>
            <w:r>
              <w:rPr>
                <w:rFonts w:hint="eastAsia"/>
                <w:color w:val="auto"/>
                <w:szCs w:val="21"/>
                <w:vertAlign w:val="subscript"/>
              </w:rPr>
              <w:t>i</w:t>
            </w:r>
            <w:r>
              <w:rPr>
                <w:rFonts w:hint="eastAsia"/>
                <w:color w:val="auto"/>
                <w:szCs w:val="21"/>
              </w:rPr>
              <w:t>—在T时间内i声源工作时间，s；</w:t>
            </w:r>
          </w:p>
          <w:p w14:paraId="52E0F357">
            <w:pPr>
              <w:tabs>
                <w:tab w:val="left" w:pos="3054"/>
              </w:tabs>
              <w:spacing w:line="360" w:lineRule="auto"/>
              <w:ind w:left="44" w:leftChars="21" w:right="51" w:firstLine="1050" w:firstLineChars="500"/>
              <w:rPr>
                <w:rFonts w:hint="eastAsia"/>
                <w:color w:val="auto"/>
                <w:szCs w:val="21"/>
              </w:rPr>
            </w:pPr>
            <w:r>
              <w:rPr>
                <w:rFonts w:hint="eastAsia"/>
                <w:color w:val="auto"/>
                <w:szCs w:val="21"/>
              </w:rPr>
              <w:t>M—等效室外声源个数；</w:t>
            </w:r>
          </w:p>
          <w:p w14:paraId="0EC0B74B">
            <w:pPr>
              <w:tabs>
                <w:tab w:val="left" w:pos="3054"/>
              </w:tabs>
              <w:spacing w:line="360" w:lineRule="auto"/>
              <w:ind w:left="44" w:leftChars="21" w:right="51" w:firstLine="1050" w:firstLineChars="500"/>
              <w:rPr>
                <w:rFonts w:hint="eastAsia"/>
                <w:color w:val="auto"/>
                <w:szCs w:val="21"/>
              </w:rPr>
            </w:pPr>
            <w:r>
              <w:rPr>
                <w:rFonts w:hint="eastAsia"/>
                <w:color w:val="auto"/>
                <w:szCs w:val="21"/>
              </w:rPr>
              <w:t>t</w:t>
            </w:r>
            <w:r>
              <w:rPr>
                <w:rFonts w:hint="eastAsia"/>
                <w:color w:val="auto"/>
                <w:szCs w:val="21"/>
                <w:vertAlign w:val="subscript"/>
              </w:rPr>
              <w:t>j</w:t>
            </w:r>
            <w:r>
              <w:rPr>
                <w:rFonts w:hint="eastAsia"/>
                <w:color w:val="auto"/>
                <w:szCs w:val="21"/>
              </w:rPr>
              <w:t>—在T时间内j声源工作时间，s。</w:t>
            </w:r>
          </w:p>
          <w:p w14:paraId="6675EE44">
            <w:pPr>
              <w:tabs>
                <w:tab w:val="left" w:pos="3054"/>
              </w:tabs>
              <w:spacing w:line="360" w:lineRule="auto"/>
              <w:ind w:left="44" w:leftChars="21" w:right="51" w:firstLine="420" w:firstLineChars="200"/>
              <w:rPr>
                <w:rFonts w:hint="eastAsia"/>
                <w:color w:val="auto"/>
                <w:szCs w:val="21"/>
              </w:rPr>
            </w:pPr>
            <w:r>
              <w:rPr>
                <w:rFonts w:hint="eastAsia"/>
                <w:color w:val="auto"/>
                <w:szCs w:val="21"/>
              </w:rPr>
              <w:t>④噪声预测值</w:t>
            </w:r>
          </w:p>
          <w:p w14:paraId="13B258FA">
            <w:pPr>
              <w:tabs>
                <w:tab w:val="left" w:pos="3054"/>
              </w:tabs>
              <w:spacing w:line="360" w:lineRule="auto"/>
              <w:ind w:left="44" w:leftChars="21" w:right="51" w:firstLine="420" w:firstLineChars="200"/>
              <w:rPr>
                <w:rFonts w:hint="eastAsia"/>
                <w:color w:val="auto"/>
                <w:szCs w:val="21"/>
              </w:rPr>
            </w:pPr>
            <w:r>
              <w:rPr>
                <w:rFonts w:hint="eastAsia"/>
                <w:color w:val="auto"/>
                <w:szCs w:val="21"/>
              </w:rPr>
              <w:t>噪声预测值（Leq）计算公式为：</w:t>
            </w:r>
          </w:p>
          <w:p w14:paraId="05C949DE">
            <w:pPr>
              <w:tabs>
                <w:tab w:val="left" w:pos="3054"/>
              </w:tabs>
              <w:spacing w:line="360" w:lineRule="auto"/>
              <w:ind w:left="44" w:leftChars="21" w:right="51" w:firstLine="420" w:firstLineChars="200"/>
              <w:jc w:val="center"/>
              <w:rPr>
                <w:rFonts w:hint="eastAsia"/>
                <w:color w:val="auto"/>
                <w:szCs w:val="21"/>
              </w:rPr>
            </w:pPr>
            <w:r>
              <w:rPr>
                <w:rFonts w:hint="eastAsia"/>
                <w:color w:val="auto"/>
                <w:szCs w:val="21"/>
              </w:rPr>
              <w:t>Leq=10lg（10</w:t>
            </w:r>
            <w:r>
              <w:rPr>
                <w:rFonts w:hint="eastAsia"/>
                <w:color w:val="auto"/>
                <w:szCs w:val="21"/>
                <w:vertAlign w:val="superscript"/>
              </w:rPr>
              <w:t>0.1Leqg</w:t>
            </w:r>
            <w:r>
              <w:rPr>
                <w:rFonts w:hint="eastAsia"/>
                <w:color w:val="auto"/>
                <w:szCs w:val="21"/>
              </w:rPr>
              <w:t>+10</w:t>
            </w:r>
            <w:r>
              <w:rPr>
                <w:rFonts w:hint="eastAsia"/>
                <w:color w:val="auto"/>
                <w:szCs w:val="21"/>
                <w:vertAlign w:val="superscript"/>
              </w:rPr>
              <w:t>0.1Leqb</w:t>
            </w:r>
            <w:r>
              <w:rPr>
                <w:rFonts w:hint="eastAsia"/>
                <w:color w:val="auto"/>
                <w:szCs w:val="21"/>
              </w:rPr>
              <w:t>）</w:t>
            </w:r>
          </w:p>
          <w:p w14:paraId="7857C4D6">
            <w:pPr>
              <w:tabs>
                <w:tab w:val="left" w:pos="3054"/>
              </w:tabs>
              <w:spacing w:line="360" w:lineRule="auto"/>
              <w:ind w:left="44" w:leftChars="21" w:right="51" w:firstLine="420" w:firstLineChars="200"/>
              <w:rPr>
                <w:rFonts w:hint="eastAsia"/>
                <w:color w:val="auto"/>
                <w:szCs w:val="21"/>
              </w:rPr>
            </w:pPr>
            <w:r>
              <w:rPr>
                <w:rFonts w:hint="eastAsia"/>
                <w:color w:val="auto"/>
                <w:szCs w:val="21"/>
              </w:rPr>
              <w:t>式中：Leq—预测点的噪声预测值；</w:t>
            </w:r>
          </w:p>
          <w:p w14:paraId="516F49DD">
            <w:pPr>
              <w:tabs>
                <w:tab w:val="left" w:pos="3054"/>
              </w:tabs>
              <w:spacing w:line="360" w:lineRule="auto"/>
              <w:ind w:left="44" w:leftChars="21" w:right="51" w:firstLine="1050" w:firstLineChars="500"/>
              <w:rPr>
                <w:rFonts w:hint="eastAsia"/>
                <w:color w:val="auto"/>
                <w:szCs w:val="21"/>
              </w:rPr>
            </w:pPr>
            <w:r>
              <w:rPr>
                <w:rFonts w:hint="eastAsia"/>
                <w:color w:val="auto"/>
                <w:szCs w:val="21"/>
              </w:rPr>
              <w:t>Leqg—建设项目声源在预测点产生的噪声贡献值，dB；</w:t>
            </w:r>
          </w:p>
          <w:p w14:paraId="40805A1A">
            <w:pPr>
              <w:spacing w:line="360" w:lineRule="auto"/>
              <w:ind w:firstLine="561"/>
              <w:rPr>
                <w:color w:val="auto"/>
                <w:kern w:val="0"/>
                <w:szCs w:val="21"/>
              </w:rPr>
            </w:pPr>
            <w:r>
              <w:rPr>
                <w:rFonts w:hint="eastAsia"/>
                <w:color w:val="auto"/>
                <w:szCs w:val="21"/>
              </w:rPr>
              <w:t>Leqb—预测点的背景噪声值，dB。</w:t>
            </w:r>
          </w:p>
          <w:p w14:paraId="72E0A959">
            <w:pPr>
              <w:spacing w:line="360" w:lineRule="auto"/>
              <w:ind w:firstLine="561"/>
              <w:rPr>
                <w:color w:val="auto"/>
                <w:kern w:val="0"/>
                <w:szCs w:val="21"/>
              </w:rPr>
            </w:pPr>
            <w:r>
              <w:rPr>
                <w:color w:val="auto"/>
                <w:kern w:val="0"/>
                <w:szCs w:val="21"/>
              </w:rPr>
              <w:t>（2）预测结果</w:t>
            </w:r>
          </w:p>
          <w:p w14:paraId="56757436">
            <w:pPr>
              <w:spacing w:line="360" w:lineRule="auto"/>
              <w:ind w:firstLine="561"/>
              <w:rPr>
                <w:b/>
                <w:bCs/>
                <w:color w:val="auto"/>
                <w:kern w:val="0"/>
                <w:szCs w:val="21"/>
              </w:rPr>
            </w:pPr>
            <w:r>
              <w:rPr>
                <w:color w:val="auto"/>
                <w:kern w:val="0"/>
                <w:szCs w:val="21"/>
              </w:rPr>
              <w:t>各声源对预测点影响值进行叠加计算后，噪声预测结果见</w:t>
            </w:r>
            <w:r>
              <w:rPr>
                <w:rFonts w:hint="eastAsia"/>
                <w:color w:val="auto"/>
                <w:kern w:val="0"/>
                <w:szCs w:val="21"/>
              </w:rPr>
              <w:t>下表</w:t>
            </w:r>
            <w:r>
              <w:rPr>
                <w:color w:val="auto"/>
                <w:kern w:val="0"/>
                <w:szCs w:val="21"/>
              </w:rPr>
              <w:t>。</w:t>
            </w:r>
          </w:p>
          <w:p w14:paraId="46FC62AF">
            <w:pPr>
              <w:adjustRightInd w:val="0"/>
              <w:snapToGrid w:val="0"/>
              <w:jc w:val="center"/>
              <w:rPr>
                <w:rFonts w:hint="eastAsia"/>
                <w:color w:val="auto"/>
                <w:szCs w:val="21"/>
              </w:rPr>
            </w:pPr>
            <w:r>
              <w:rPr>
                <w:b/>
                <w:color w:val="auto"/>
                <w:szCs w:val="21"/>
              </w:rPr>
              <w:t>表</w:t>
            </w:r>
            <w:r>
              <w:rPr>
                <w:rFonts w:hint="eastAsia"/>
                <w:b/>
                <w:color w:val="auto"/>
                <w:szCs w:val="21"/>
              </w:rPr>
              <w:t>4-</w:t>
            </w:r>
            <w:r>
              <w:rPr>
                <w:rFonts w:hint="eastAsia"/>
                <w:b/>
                <w:color w:val="auto"/>
                <w:szCs w:val="21"/>
                <w:lang w:val="en-US" w:eastAsia="zh-CN"/>
              </w:rPr>
              <w:t>4</w:t>
            </w:r>
            <w:r>
              <w:rPr>
                <w:b/>
                <w:color w:val="auto"/>
                <w:szCs w:val="21"/>
              </w:rPr>
              <w:t>厂界噪声预测结果与达标分析</w:t>
            </w:r>
            <w:r>
              <w:rPr>
                <w:b/>
                <w:bCs w:val="0"/>
                <w:color w:val="auto"/>
                <w:szCs w:val="21"/>
              </w:rPr>
              <w:t xml:space="preserve">  </w:t>
            </w:r>
          </w:p>
          <w:tbl>
            <w:tblPr>
              <w:tblStyle w:val="25"/>
              <w:tblW w:w="8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861"/>
              <w:gridCol w:w="814"/>
              <w:gridCol w:w="769"/>
              <w:gridCol w:w="1114"/>
              <w:gridCol w:w="1086"/>
              <w:gridCol w:w="992"/>
              <w:gridCol w:w="1074"/>
              <w:gridCol w:w="1071"/>
            </w:tblGrid>
            <w:tr w14:paraId="31BFF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567" w:type="pct"/>
                  <w:vMerge w:val="restart"/>
                  <w:noWrap w:val="0"/>
                  <w:vAlign w:val="center"/>
                </w:tcPr>
                <w:p w14:paraId="3C1D590C">
                  <w:pPr>
                    <w:jc w:val="center"/>
                    <w:rPr>
                      <w:b/>
                      <w:color w:val="auto"/>
                      <w:sz w:val="21"/>
                      <w:szCs w:val="21"/>
                    </w:rPr>
                  </w:pPr>
                  <w:bookmarkStart w:id="8" w:name="PT_7"/>
                  <w:r>
                    <w:rPr>
                      <w:b/>
                      <w:color w:val="auto"/>
                      <w:sz w:val="21"/>
                      <w:szCs w:val="21"/>
                    </w:rPr>
                    <w:t>预测</w:t>
                  </w:r>
                </w:p>
                <w:p w14:paraId="6FEAB058">
                  <w:pPr>
                    <w:jc w:val="center"/>
                    <w:rPr>
                      <w:color w:val="auto"/>
                      <w:sz w:val="21"/>
                      <w:szCs w:val="21"/>
                    </w:rPr>
                  </w:pPr>
                  <w:r>
                    <w:rPr>
                      <w:b/>
                      <w:color w:val="auto"/>
                      <w:sz w:val="21"/>
                      <w:szCs w:val="21"/>
                    </w:rPr>
                    <w:t>方位</w:t>
                  </w:r>
                </w:p>
              </w:tc>
              <w:tc>
                <w:tcPr>
                  <w:tcW w:w="1392" w:type="pct"/>
                  <w:gridSpan w:val="3"/>
                  <w:noWrap w:val="0"/>
                  <w:vAlign w:val="center"/>
                </w:tcPr>
                <w:p w14:paraId="6FF8E66B">
                  <w:pPr>
                    <w:jc w:val="center"/>
                    <w:rPr>
                      <w:color w:val="auto"/>
                      <w:sz w:val="21"/>
                      <w:szCs w:val="21"/>
                    </w:rPr>
                  </w:pPr>
                  <w:r>
                    <w:rPr>
                      <w:b/>
                      <w:color w:val="auto"/>
                      <w:sz w:val="21"/>
                      <w:szCs w:val="21"/>
                    </w:rPr>
                    <w:t>空间相对位置/m</w:t>
                  </w:r>
                </w:p>
              </w:tc>
              <w:tc>
                <w:tcPr>
                  <w:tcW w:w="1253" w:type="pct"/>
                  <w:gridSpan w:val="2"/>
                  <w:noWrap w:val="0"/>
                  <w:vAlign w:val="center"/>
                </w:tcPr>
                <w:p w14:paraId="3EF369CC">
                  <w:pPr>
                    <w:jc w:val="center"/>
                    <w:rPr>
                      <w:color w:val="auto"/>
                      <w:sz w:val="21"/>
                      <w:szCs w:val="21"/>
                    </w:rPr>
                  </w:pPr>
                  <w:r>
                    <w:rPr>
                      <w:rFonts w:hint="eastAsia"/>
                      <w:b/>
                      <w:color w:val="auto"/>
                      <w:sz w:val="21"/>
                      <w:szCs w:val="21"/>
                    </w:rPr>
                    <w:t>贡献</w:t>
                  </w:r>
                  <w:r>
                    <w:rPr>
                      <w:b/>
                      <w:color w:val="auto"/>
                      <w:sz w:val="21"/>
                      <w:szCs w:val="21"/>
                    </w:rPr>
                    <w:t>值（dB(A)）</w:t>
                  </w:r>
                </w:p>
              </w:tc>
              <w:tc>
                <w:tcPr>
                  <w:tcW w:w="1176" w:type="pct"/>
                  <w:gridSpan w:val="2"/>
                  <w:noWrap w:val="0"/>
                  <w:vAlign w:val="center"/>
                </w:tcPr>
                <w:p w14:paraId="49476F98">
                  <w:pPr>
                    <w:jc w:val="center"/>
                    <w:rPr>
                      <w:b/>
                      <w:color w:val="auto"/>
                      <w:sz w:val="21"/>
                      <w:szCs w:val="21"/>
                    </w:rPr>
                  </w:pPr>
                  <w:r>
                    <w:rPr>
                      <w:b/>
                      <w:color w:val="auto"/>
                      <w:sz w:val="21"/>
                      <w:szCs w:val="21"/>
                    </w:rPr>
                    <w:t>标准限值（dB(A)）</w:t>
                  </w:r>
                </w:p>
              </w:tc>
              <w:tc>
                <w:tcPr>
                  <w:tcW w:w="610" w:type="pct"/>
                  <w:vMerge w:val="restart"/>
                  <w:noWrap w:val="0"/>
                  <w:vAlign w:val="center"/>
                </w:tcPr>
                <w:p w14:paraId="4F278C05">
                  <w:pPr>
                    <w:jc w:val="center"/>
                    <w:rPr>
                      <w:color w:val="auto"/>
                      <w:sz w:val="21"/>
                      <w:szCs w:val="21"/>
                    </w:rPr>
                  </w:pPr>
                  <w:r>
                    <w:rPr>
                      <w:b/>
                      <w:color w:val="auto"/>
                      <w:sz w:val="21"/>
                      <w:szCs w:val="21"/>
                    </w:rPr>
                    <w:t>达标情况</w:t>
                  </w:r>
                </w:p>
              </w:tc>
            </w:tr>
            <w:tr w14:paraId="1C44B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67" w:type="pct"/>
                  <w:vMerge w:val="continue"/>
                  <w:noWrap w:val="0"/>
                  <w:vAlign w:val="center"/>
                </w:tcPr>
                <w:p w14:paraId="4E0E0C48">
                  <w:pPr>
                    <w:jc w:val="center"/>
                    <w:rPr>
                      <w:color w:val="auto"/>
                      <w:sz w:val="21"/>
                      <w:szCs w:val="21"/>
                    </w:rPr>
                  </w:pPr>
                </w:p>
              </w:tc>
              <w:tc>
                <w:tcPr>
                  <w:tcW w:w="490" w:type="pct"/>
                  <w:noWrap w:val="0"/>
                  <w:vAlign w:val="center"/>
                </w:tcPr>
                <w:p w14:paraId="73C5D2AC">
                  <w:pPr>
                    <w:jc w:val="center"/>
                    <w:rPr>
                      <w:b/>
                      <w:bCs/>
                      <w:color w:val="auto"/>
                      <w:sz w:val="21"/>
                      <w:szCs w:val="21"/>
                    </w:rPr>
                  </w:pPr>
                  <w:r>
                    <w:rPr>
                      <w:b/>
                      <w:bCs/>
                      <w:color w:val="auto"/>
                      <w:sz w:val="21"/>
                      <w:szCs w:val="21"/>
                    </w:rPr>
                    <w:t>X</w:t>
                  </w:r>
                </w:p>
              </w:tc>
              <w:tc>
                <w:tcPr>
                  <w:tcW w:w="463" w:type="pct"/>
                  <w:noWrap w:val="0"/>
                  <w:vAlign w:val="center"/>
                </w:tcPr>
                <w:p w14:paraId="6F651807">
                  <w:pPr>
                    <w:jc w:val="center"/>
                    <w:rPr>
                      <w:b/>
                      <w:bCs/>
                      <w:color w:val="auto"/>
                      <w:sz w:val="21"/>
                      <w:szCs w:val="21"/>
                    </w:rPr>
                  </w:pPr>
                  <w:r>
                    <w:rPr>
                      <w:b/>
                      <w:bCs/>
                      <w:color w:val="auto"/>
                      <w:sz w:val="21"/>
                      <w:szCs w:val="21"/>
                    </w:rPr>
                    <w:t>Y</w:t>
                  </w:r>
                </w:p>
              </w:tc>
              <w:tc>
                <w:tcPr>
                  <w:tcW w:w="438" w:type="pct"/>
                  <w:noWrap w:val="0"/>
                  <w:vAlign w:val="center"/>
                </w:tcPr>
                <w:p w14:paraId="4CDE160E">
                  <w:pPr>
                    <w:jc w:val="center"/>
                    <w:rPr>
                      <w:b/>
                      <w:bCs/>
                      <w:color w:val="auto"/>
                      <w:sz w:val="21"/>
                      <w:szCs w:val="21"/>
                    </w:rPr>
                  </w:pPr>
                  <w:r>
                    <w:rPr>
                      <w:b/>
                      <w:bCs/>
                      <w:color w:val="auto"/>
                      <w:sz w:val="21"/>
                      <w:szCs w:val="21"/>
                    </w:rPr>
                    <w:t>Z</w:t>
                  </w:r>
                </w:p>
              </w:tc>
              <w:tc>
                <w:tcPr>
                  <w:tcW w:w="634" w:type="pct"/>
                  <w:noWrap w:val="0"/>
                  <w:vAlign w:val="center"/>
                </w:tcPr>
                <w:p w14:paraId="4DF69D02">
                  <w:pPr>
                    <w:jc w:val="center"/>
                    <w:rPr>
                      <w:b/>
                      <w:bCs/>
                      <w:color w:val="auto"/>
                      <w:sz w:val="21"/>
                      <w:szCs w:val="21"/>
                    </w:rPr>
                  </w:pPr>
                  <w:r>
                    <w:rPr>
                      <w:b/>
                      <w:bCs/>
                      <w:color w:val="auto"/>
                      <w:sz w:val="21"/>
                      <w:szCs w:val="21"/>
                    </w:rPr>
                    <w:t>昼间</w:t>
                  </w:r>
                </w:p>
              </w:tc>
              <w:tc>
                <w:tcPr>
                  <w:tcW w:w="618" w:type="pct"/>
                  <w:noWrap w:val="0"/>
                  <w:vAlign w:val="center"/>
                </w:tcPr>
                <w:p w14:paraId="14744975">
                  <w:pPr>
                    <w:jc w:val="center"/>
                    <w:rPr>
                      <w:b/>
                      <w:bCs/>
                      <w:color w:val="auto"/>
                      <w:sz w:val="21"/>
                      <w:szCs w:val="21"/>
                    </w:rPr>
                  </w:pPr>
                  <w:r>
                    <w:rPr>
                      <w:b/>
                      <w:bCs/>
                      <w:color w:val="auto"/>
                      <w:sz w:val="21"/>
                      <w:szCs w:val="21"/>
                    </w:rPr>
                    <w:t>夜间</w:t>
                  </w:r>
                </w:p>
              </w:tc>
              <w:tc>
                <w:tcPr>
                  <w:tcW w:w="565" w:type="pct"/>
                  <w:noWrap w:val="0"/>
                  <w:vAlign w:val="center"/>
                </w:tcPr>
                <w:p w14:paraId="3364A310">
                  <w:pPr>
                    <w:jc w:val="center"/>
                    <w:rPr>
                      <w:b/>
                      <w:bCs/>
                      <w:color w:val="auto"/>
                      <w:sz w:val="21"/>
                      <w:szCs w:val="21"/>
                    </w:rPr>
                  </w:pPr>
                  <w:r>
                    <w:rPr>
                      <w:b/>
                      <w:bCs/>
                      <w:color w:val="auto"/>
                      <w:sz w:val="21"/>
                      <w:szCs w:val="21"/>
                    </w:rPr>
                    <w:t>昼间</w:t>
                  </w:r>
                </w:p>
              </w:tc>
              <w:tc>
                <w:tcPr>
                  <w:tcW w:w="611" w:type="pct"/>
                  <w:noWrap w:val="0"/>
                  <w:vAlign w:val="center"/>
                </w:tcPr>
                <w:p w14:paraId="1F8E49EB">
                  <w:pPr>
                    <w:jc w:val="center"/>
                    <w:rPr>
                      <w:b/>
                      <w:bCs/>
                      <w:color w:val="auto"/>
                      <w:sz w:val="21"/>
                      <w:szCs w:val="21"/>
                    </w:rPr>
                  </w:pPr>
                  <w:r>
                    <w:rPr>
                      <w:b/>
                      <w:bCs/>
                      <w:color w:val="auto"/>
                      <w:sz w:val="21"/>
                      <w:szCs w:val="21"/>
                    </w:rPr>
                    <w:t>夜间</w:t>
                  </w:r>
                </w:p>
              </w:tc>
              <w:tc>
                <w:tcPr>
                  <w:tcW w:w="610" w:type="pct"/>
                  <w:vMerge w:val="continue"/>
                  <w:noWrap w:val="0"/>
                  <w:vAlign w:val="center"/>
                </w:tcPr>
                <w:p w14:paraId="3351AB33">
                  <w:pPr>
                    <w:jc w:val="center"/>
                    <w:rPr>
                      <w:color w:val="auto"/>
                      <w:sz w:val="21"/>
                      <w:szCs w:val="21"/>
                    </w:rPr>
                  </w:pPr>
                </w:p>
              </w:tc>
            </w:tr>
            <w:tr w14:paraId="22737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67" w:type="pct"/>
                  <w:noWrap w:val="0"/>
                  <w:vAlign w:val="center"/>
                </w:tcPr>
                <w:p w14:paraId="7CB44C03">
                  <w:pPr>
                    <w:widowControl/>
                    <w:jc w:val="center"/>
                    <w:rPr>
                      <w:color w:val="auto"/>
                      <w:kern w:val="0"/>
                      <w:sz w:val="21"/>
                      <w:szCs w:val="21"/>
                    </w:rPr>
                  </w:pPr>
                  <w:r>
                    <w:rPr>
                      <w:color w:val="auto"/>
                      <w:kern w:val="0"/>
                      <w:sz w:val="21"/>
                      <w:szCs w:val="21"/>
                    </w:rPr>
                    <w:t>东侧</w:t>
                  </w:r>
                </w:p>
              </w:tc>
              <w:tc>
                <w:tcPr>
                  <w:tcW w:w="490" w:type="pct"/>
                  <w:noWrap w:val="0"/>
                  <w:vAlign w:val="center"/>
                </w:tcPr>
                <w:p w14:paraId="51471B85">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33.5</w:t>
                  </w:r>
                </w:p>
              </w:tc>
              <w:tc>
                <w:tcPr>
                  <w:tcW w:w="463" w:type="pct"/>
                  <w:noWrap w:val="0"/>
                  <w:vAlign w:val="center"/>
                </w:tcPr>
                <w:p w14:paraId="7168A4E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0</w:t>
                  </w:r>
                </w:p>
              </w:tc>
              <w:tc>
                <w:tcPr>
                  <w:tcW w:w="438" w:type="pct"/>
                  <w:noWrap w:val="0"/>
                  <w:vAlign w:val="center"/>
                </w:tcPr>
                <w:p w14:paraId="23217575">
                  <w:pPr>
                    <w:widowControl/>
                    <w:jc w:val="center"/>
                    <w:rPr>
                      <w:color w:val="auto"/>
                      <w:kern w:val="0"/>
                      <w:sz w:val="21"/>
                      <w:szCs w:val="21"/>
                    </w:rPr>
                  </w:pPr>
                  <w:r>
                    <w:rPr>
                      <w:rFonts w:hint="eastAsia"/>
                      <w:color w:val="auto"/>
                      <w:kern w:val="0"/>
                      <w:sz w:val="21"/>
                      <w:szCs w:val="21"/>
                    </w:rPr>
                    <w:t>1</w:t>
                  </w:r>
                </w:p>
              </w:tc>
              <w:tc>
                <w:tcPr>
                  <w:tcW w:w="634" w:type="pct"/>
                  <w:noWrap w:val="0"/>
                  <w:vAlign w:val="center"/>
                </w:tcPr>
                <w:p w14:paraId="40F57A73">
                  <w:pPr>
                    <w:jc w:val="center"/>
                    <w:rPr>
                      <w:color w:val="auto"/>
                      <w:sz w:val="21"/>
                      <w:szCs w:val="21"/>
                    </w:rPr>
                  </w:pPr>
                  <w:r>
                    <w:rPr>
                      <w:rFonts w:hint="eastAsia"/>
                      <w:color w:val="auto"/>
                      <w:sz w:val="21"/>
                      <w:szCs w:val="21"/>
                      <w:lang w:val="en-US" w:eastAsia="zh-CN"/>
                    </w:rPr>
                    <w:t>50</w:t>
                  </w:r>
                  <w:r>
                    <w:rPr>
                      <w:rFonts w:hint="eastAsia"/>
                      <w:color w:val="auto"/>
                      <w:sz w:val="21"/>
                      <w:szCs w:val="21"/>
                    </w:rPr>
                    <w:t>.7</w:t>
                  </w:r>
                </w:p>
              </w:tc>
              <w:tc>
                <w:tcPr>
                  <w:tcW w:w="618" w:type="pct"/>
                  <w:noWrap w:val="0"/>
                  <w:vAlign w:val="center"/>
                </w:tcPr>
                <w:p w14:paraId="74C815CE">
                  <w:pPr>
                    <w:jc w:val="center"/>
                    <w:rPr>
                      <w:rFonts w:hint="default" w:eastAsia="宋体"/>
                      <w:color w:val="auto"/>
                      <w:sz w:val="21"/>
                      <w:szCs w:val="21"/>
                      <w:lang w:val="en-US" w:eastAsia="zh-CN"/>
                    </w:rPr>
                  </w:pPr>
                  <w:r>
                    <w:rPr>
                      <w:rFonts w:hint="eastAsia"/>
                      <w:color w:val="auto"/>
                      <w:sz w:val="21"/>
                      <w:szCs w:val="21"/>
                      <w:lang w:val="en-US" w:eastAsia="zh-CN"/>
                    </w:rPr>
                    <w:t>42.9</w:t>
                  </w:r>
                </w:p>
              </w:tc>
              <w:tc>
                <w:tcPr>
                  <w:tcW w:w="565" w:type="pct"/>
                  <w:noWrap w:val="0"/>
                  <w:vAlign w:val="center"/>
                </w:tcPr>
                <w:p w14:paraId="65F8CC3D">
                  <w:pPr>
                    <w:jc w:val="center"/>
                    <w:rPr>
                      <w:color w:val="auto"/>
                      <w:sz w:val="21"/>
                      <w:szCs w:val="21"/>
                    </w:rPr>
                  </w:pPr>
                  <w:r>
                    <w:rPr>
                      <w:color w:val="auto"/>
                      <w:sz w:val="21"/>
                      <w:szCs w:val="21"/>
                    </w:rPr>
                    <w:t>6</w:t>
                  </w:r>
                  <w:r>
                    <w:rPr>
                      <w:rFonts w:hint="eastAsia"/>
                      <w:color w:val="auto"/>
                      <w:sz w:val="21"/>
                      <w:szCs w:val="21"/>
                    </w:rPr>
                    <w:t>0</w:t>
                  </w:r>
                </w:p>
              </w:tc>
              <w:tc>
                <w:tcPr>
                  <w:tcW w:w="611" w:type="pct"/>
                  <w:noWrap w:val="0"/>
                  <w:vAlign w:val="center"/>
                </w:tcPr>
                <w:p w14:paraId="318226BB">
                  <w:pPr>
                    <w:jc w:val="center"/>
                    <w:rPr>
                      <w:rFonts w:hint="default" w:eastAsia="宋体"/>
                      <w:color w:val="auto"/>
                      <w:sz w:val="21"/>
                      <w:szCs w:val="21"/>
                      <w:lang w:val="en-US" w:eastAsia="zh-CN"/>
                    </w:rPr>
                  </w:pPr>
                  <w:r>
                    <w:rPr>
                      <w:rFonts w:hint="eastAsia"/>
                      <w:color w:val="auto"/>
                      <w:sz w:val="21"/>
                      <w:szCs w:val="21"/>
                      <w:lang w:val="en-US" w:eastAsia="zh-CN"/>
                    </w:rPr>
                    <w:t>50</w:t>
                  </w:r>
                </w:p>
              </w:tc>
              <w:tc>
                <w:tcPr>
                  <w:tcW w:w="610" w:type="pct"/>
                  <w:noWrap w:val="0"/>
                  <w:vAlign w:val="center"/>
                </w:tcPr>
                <w:p w14:paraId="575C41CE">
                  <w:pPr>
                    <w:jc w:val="center"/>
                    <w:rPr>
                      <w:color w:val="auto"/>
                      <w:sz w:val="21"/>
                      <w:szCs w:val="21"/>
                    </w:rPr>
                  </w:pPr>
                  <w:r>
                    <w:rPr>
                      <w:color w:val="auto"/>
                      <w:sz w:val="21"/>
                      <w:szCs w:val="21"/>
                    </w:rPr>
                    <w:t>达标</w:t>
                  </w:r>
                </w:p>
              </w:tc>
            </w:tr>
            <w:tr w14:paraId="6E9D4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67" w:type="pct"/>
                  <w:noWrap w:val="0"/>
                  <w:vAlign w:val="center"/>
                </w:tcPr>
                <w:p w14:paraId="44863E70">
                  <w:pPr>
                    <w:widowControl/>
                    <w:jc w:val="center"/>
                    <w:rPr>
                      <w:color w:val="auto"/>
                      <w:kern w:val="0"/>
                      <w:sz w:val="21"/>
                      <w:szCs w:val="21"/>
                    </w:rPr>
                  </w:pPr>
                  <w:r>
                    <w:rPr>
                      <w:color w:val="auto"/>
                      <w:kern w:val="0"/>
                      <w:sz w:val="21"/>
                      <w:szCs w:val="21"/>
                    </w:rPr>
                    <w:t>南侧</w:t>
                  </w:r>
                </w:p>
              </w:tc>
              <w:tc>
                <w:tcPr>
                  <w:tcW w:w="490" w:type="pct"/>
                  <w:noWrap w:val="0"/>
                  <w:vAlign w:val="center"/>
                </w:tcPr>
                <w:p w14:paraId="41886F77">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0</w:t>
                  </w:r>
                </w:p>
              </w:tc>
              <w:tc>
                <w:tcPr>
                  <w:tcW w:w="463" w:type="pct"/>
                  <w:noWrap w:val="0"/>
                  <w:vAlign w:val="center"/>
                </w:tcPr>
                <w:p w14:paraId="4BB3A407">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w:t>
                  </w:r>
                </w:p>
              </w:tc>
              <w:tc>
                <w:tcPr>
                  <w:tcW w:w="438" w:type="pct"/>
                  <w:noWrap w:val="0"/>
                  <w:vAlign w:val="center"/>
                </w:tcPr>
                <w:p w14:paraId="1587F05C">
                  <w:pPr>
                    <w:widowControl/>
                    <w:jc w:val="center"/>
                    <w:rPr>
                      <w:color w:val="auto"/>
                      <w:kern w:val="0"/>
                      <w:sz w:val="21"/>
                      <w:szCs w:val="21"/>
                    </w:rPr>
                  </w:pPr>
                  <w:r>
                    <w:rPr>
                      <w:rFonts w:hint="eastAsia"/>
                      <w:color w:val="auto"/>
                      <w:kern w:val="0"/>
                      <w:sz w:val="21"/>
                      <w:szCs w:val="21"/>
                    </w:rPr>
                    <w:t>1</w:t>
                  </w:r>
                </w:p>
              </w:tc>
              <w:tc>
                <w:tcPr>
                  <w:tcW w:w="634" w:type="pct"/>
                  <w:noWrap w:val="0"/>
                  <w:vAlign w:val="center"/>
                </w:tcPr>
                <w:p w14:paraId="34C69C40">
                  <w:pPr>
                    <w:jc w:val="center"/>
                    <w:rPr>
                      <w:rFonts w:hint="eastAsia" w:eastAsia="宋体"/>
                      <w:color w:val="auto"/>
                      <w:sz w:val="21"/>
                      <w:szCs w:val="21"/>
                      <w:lang w:eastAsia="zh-CN"/>
                    </w:rPr>
                  </w:pPr>
                  <w:r>
                    <w:rPr>
                      <w:rFonts w:hint="eastAsia"/>
                      <w:color w:val="auto"/>
                      <w:sz w:val="21"/>
                      <w:szCs w:val="21"/>
                      <w:lang w:val="en-US" w:eastAsia="zh-CN"/>
                    </w:rPr>
                    <w:t>51</w:t>
                  </w:r>
                  <w:r>
                    <w:rPr>
                      <w:rFonts w:hint="eastAsia"/>
                      <w:color w:val="auto"/>
                      <w:sz w:val="21"/>
                      <w:szCs w:val="21"/>
                    </w:rPr>
                    <w:t>.</w:t>
                  </w:r>
                  <w:r>
                    <w:rPr>
                      <w:rFonts w:hint="eastAsia"/>
                      <w:color w:val="auto"/>
                      <w:sz w:val="21"/>
                      <w:szCs w:val="21"/>
                      <w:lang w:val="en-US" w:eastAsia="zh-CN"/>
                    </w:rPr>
                    <w:t>2</w:t>
                  </w:r>
                </w:p>
              </w:tc>
              <w:tc>
                <w:tcPr>
                  <w:tcW w:w="618" w:type="pct"/>
                  <w:noWrap w:val="0"/>
                  <w:vAlign w:val="center"/>
                </w:tcPr>
                <w:p w14:paraId="78C9A855">
                  <w:pPr>
                    <w:jc w:val="center"/>
                    <w:rPr>
                      <w:rFonts w:hint="default"/>
                      <w:color w:val="auto"/>
                      <w:sz w:val="21"/>
                      <w:szCs w:val="21"/>
                      <w:lang w:val="en-US"/>
                    </w:rPr>
                  </w:pPr>
                  <w:r>
                    <w:rPr>
                      <w:rFonts w:hint="eastAsia"/>
                      <w:color w:val="auto"/>
                      <w:sz w:val="21"/>
                      <w:szCs w:val="21"/>
                      <w:lang w:val="en-US" w:eastAsia="zh-CN"/>
                    </w:rPr>
                    <w:t>41.8</w:t>
                  </w:r>
                </w:p>
              </w:tc>
              <w:tc>
                <w:tcPr>
                  <w:tcW w:w="565" w:type="pct"/>
                  <w:noWrap w:val="0"/>
                  <w:vAlign w:val="center"/>
                </w:tcPr>
                <w:p w14:paraId="4B8D622D">
                  <w:pPr>
                    <w:jc w:val="center"/>
                    <w:rPr>
                      <w:color w:val="auto"/>
                      <w:sz w:val="21"/>
                      <w:szCs w:val="21"/>
                    </w:rPr>
                  </w:pPr>
                  <w:r>
                    <w:rPr>
                      <w:color w:val="auto"/>
                      <w:sz w:val="21"/>
                      <w:szCs w:val="21"/>
                    </w:rPr>
                    <w:t>6</w:t>
                  </w:r>
                  <w:r>
                    <w:rPr>
                      <w:rFonts w:hint="eastAsia"/>
                      <w:color w:val="auto"/>
                      <w:sz w:val="21"/>
                      <w:szCs w:val="21"/>
                    </w:rPr>
                    <w:t>0</w:t>
                  </w:r>
                </w:p>
              </w:tc>
              <w:tc>
                <w:tcPr>
                  <w:tcW w:w="611" w:type="pct"/>
                  <w:noWrap w:val="0"/>
                  <w:vAlign w:val="center"/>
                </w:tcPr>
                <w:p w14:paraId="1FC4C5CC">
                  <w:pPr>
                    <w:jc w:val="center"/>
                    <w:rPr>
                      <w:rFonts w:hint="eastAsia" w:eastAsia="宋体"/>
                      <w:color w:val="auto"/>
                      <w:sz w:val="21"/>
                      <w:szCs w:val="21"/>
                      <w:lang w:eastAsia="zh-CN"/>
                    </w:rPr>
                  </w:pPr>
                  <w:r>
                    <w:rPr>
                      <w:rFonts w:hint="eastAsia"/>
                      <w:color w:val="auto"/>
                      <w:sz w:val="21"/>
                      <w:szCs w:val="21"/>
                      <w:lang w:val="en-US" w:eastAsia="zh-CN"/>
                    </w:rPr>
                    <w:t>50</w:t>
                  </w:r>
                </w:p>
              </w:tc>
              <w:tc>
                <w:tcPr>
                  <w:tcW w:w="610" w:type="pct"/>
                  <w:noWrap w:val="0"/>
                  <w:vAlign w:val="center"/>
                </w:tcPr>
                <w:p w14:paraId="32A08B0F">
                  <w:pPr>
                    <w:jc w:val="center"/>
                    <w:rPr>
                      <w:color w:val="auto"/>
                      <w:sz w:val="21"/>
                      <w:szCs w:val="21"/>
                    </w:rPr>
                  </w:pPr>
                  <w:r>
                    <w:rPr>
                      <w:color w:val="auto"/>
                      <w:sz w:val="21"/>
                      <w:szCs w:val="21"/>
                    </w:rPr>
                    <w:t>达标</w:t>
                  </w:r>
                </w:p>
              </w:tc>
            </w:tr>
            <w:tr w14:paraId="71CB8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67" w:type="pct"/>
                  <w:noWrap w:val="0"/>
                  <w:vAlign w:val="center"/>
                </w:tcPr>
                <w:p w14:paraId="58D715B9">
                  <w:pPr>
                    <w:widowControl/>
                    <w:jc w:val="center"/>
                    <w:rPr>
                      <w:color w:val="auto"/>
                      <w:kern w:val="0"/>
                      <w:sz w:val="21"/>
                      <w:szCs w:val="21"/>
                    </w:rPr>
                  </w:pPr>
                  <w:r>
                    <w:rPr>
                      <w:color w:val="auto"/>
                      <w:kern w:val="0"/>
                      <w:sz w:val="21"/>
                      <w:szCs w:val="21"/>
                    </w:rPr>
                    <w:t>西侧</w:t>
                  </w:r>
                </w:p>
              </w:tc>
              <w:tc>
                <w:tcPr>
                  <w:tcW w:w="490" w:type="pct"/>
                  <w:noWrap w:val="0"/>
                  <w:vAlign w:val="center"/>
                </w:tcPr>
                <w:p w14:paraId="2B5C22DE">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-33.5</w:t>
                  </w:r>
                </w:p>
              </w:tc>
              <w:tc>
                <w:tcPr>
                  <w:tcW w:w="463" w:type="pct"/>
                  <w:noWrap w:val="0"/>
                  <w:vAlign w:val="center"/>
                </w:tcPr>
                <w:p w14:paraId="1C2C5AB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0</w:t>
                  </w:r>
                </w:p>
              </w:tc>
              <w:tc>
                <w:tcPr>
                  <w:tcW w:w="438" w:type="pct"/>
                  <w:noWrap w:val="0"/>
                  <w:vAlign w:val="center"/>
                </w:tcPr>
                <w:p w14:paraId="6780E48A">
                  <w:pPr>
                    <w:widowControl/>
                    <w:jc w:val="center"/>
                    <w:rPr>
                      <w:color w:val="auto"/>
                      <w:kern w:val="0"/>
                      <w:sz w:val="21"/>
                      <w:szCs w:val="21"/>
                    </w:rPr>
                  </w:pPr>
                  <w:r>
                    <w:rPr>
                      <w:rFonts w:hint="eastAsia"/>
                      <w:color w:val="auto"/>
                      <w:kern w:val="0"/>
                      <w:sz w:val="21"/>
                      <w:szCs w:val="21"/>
                    </w:rPr>
                    <w:t>1</w:t>
                  </w:r>
                </w:p>
              </w:tc>
              <w:tc>
                <w:tcPr>
                  <w:tcW w:w="634" w:type="pct"/>
                  <w:noWrap w:val="0"/>
                  <w:vAlign w:val="center"/>
                </w:tcPr>
                <w:p w14:paraId="7BB3D81B">
                  <w:pPr>
                    <w:jc w:val="center"/>
                    <w:rPr>
                      <w:color w:val="auto"/>
                      <w:sz w:val="21"/>
                      <w:szCs w:val="21"/>
                    </w:rPr>
                  </w:pPr>
                  <w:r>
                    <w:rPr>
                      <w:rFonts w:hint="eastAsia"/>
                      <w:color w:val="auto"/>
                      <w:sz w:val="21"/>
                      <w:szCs w:val="21"/>
                      <w:lang w:val="en-US" w:eastAsia="zh-CN"/>
                    </w:rPr>
                    <w:t>51</w:t>
                  </w:r>
                  <w:r>
                    <w:rPr>
                      <w:rFonts w:hint="eastAsia"/>
                      <w:color w:val="auto"/>
                      <w:sz w:val="21"/>
                      <w:szCs w:val="21"/>
                    </w:rPr>
                    <w:t>.9</w:t>
                  </w:r>
                </w:p>
              </w:tc>
              <w:tc>
                <w:tcPr>
                  <w:tcW w:w="618" w:type="pct"/>
                  <w:noWrap w:val="0"/>
                  <w:vAlign w:val="center"/>
                </w:tcPr>
                <w:p w14:paraId="220A4C15">
                  <w:pPr>
                    <w:jc w:val="center"/>
                    <w:rPr>
                      <w:color w:val="auto"/>
                      <w:sz w:val="21"/>
                      <w:szCs w:val="21"/>
                    </w:rPr>
                  </w:pPr>
                  <w:r>
                    <w:rPr>
                      <w:rFonts w:hint="eastAsia"/>
                      <w:color w:val="auto"/>
                      <w:sz w:val="21"/>
                      <w:szCs w:val="21"/>
                      <w:lang w:val="en-US" w:eastAsia="zh-CN"/>
                    </w:rPr>
                    <w:t>42.3</w:t>
                  </w:r>
                </w:p>
              </w:tc>
              <w:tc>
                <w:tcPr>
                  <w:tcW w:w="565" w:type="pct"/>
                  <w:noWrap w:val="0"/>
                  <w:vAlign w:val="center"/>
                </w:tcPr>
                <w:p w14:paraId="7242FBA7">
                  <w:pPr>
                    <w:jc w:val="center"/>
                    <w:rPr>
                      <w:color w:val="auto"/>
                      <w:sz w:val="21"/>
                      <w:szCs w:val="21"/>
                    </w:rPr>
                  </w:pPr>
                  <w:r>
                    <w:rPr>
                      <w:color w:val="auto"/>
                      <w:sz w:val="21"/>
                      <w:szCs w:val="21"/>
                    </w:rPr>
                    <w:t>6</w:t>
                  </w:r>
                  <w:r>
                    <w:rPr>
                      <w:rFonts w:hint="eastAsia"/>
                      <w:color w:val="auto"/>
                      <w:sz w:val="21"/>
                      <w:szCs w:val="21"/>
                    </w:rPr>
                    <w:t>0</w:t>
                  </w:r>
                </w:p>
              </w:tc>
              <w:tc>
                <w:tcPr>
                  <w:tcW w:w="611" w:type="pct"/>
                  <w:noWrap w:val="0"/>
                  <w:vAlign w:val="center"/>
                </w:tcPr>
                <w:p w14:paraId="3F95D75B">
                  <w:pPr>
                    <w:jc w:val="center"/>
                    <w:rPr>
                      <w:rFonts w:hint="eastAsia" w:eastAsia="宋体"/>
                      <w:color w:val="auto"/>
                      <w:sz w:val="21"/>
                      <w:szCs w:val="21"/>
                      <w:lang w:eastAsia="zh-CN"/>
                    </w:rPr>
                  </w:pPr>
                  <w:r>
                    <w:rPr>
                      <w:rFonts w:hint="eastAsia"/>
                      <w:color w:val="auto"/>
                      <w:sz w:val="21"/>
                      <w:szCs w:val="21"/>
                      <w:lang w:val="en-US" w:eastAsia="zh-CN"/>
                    </w:rPr>
                    <w:t>50</w:t>
                  </w:r>
                </w:p>
              </w:tc>
              <w:tc>
                <w:tcPr>
                  <w:tcW w:w="610" w:type="pct"/>
                  <w:noWrap w:val="0"/>
                  <w:vAlign w:val="center"/>
                </w:tcPr>
                <w:p w14:paraId="23BD2669">
                  <w:pPr>
                    <w:jc w:val="center"/>
                    <w:rPr>
                      <w:color w:val="auto"/>
                      <w:sz w:val="21"/>
                      <w:szCs w:val="21"/>
                    </w:rPr>
                  </w:pPr>
                  <w:r>
                    <w:rPr>
                      <w:color w:val="auto"/>
                      <w:sz w:val="21"/>
                      <w:szCs w:val="21"/>
                    </w:rPr>
                    <w:t>达标</w:t>
                  </w:r>
                </w:p>
              </w:tc>
            </w:tr>
            <w:tr w14:paraId="18BD9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67" w:type="pct"/>
                  <w:noWrap w:val="0"/>
                  <w:vAlign w:val="center"/>
                </w:tcPr>
                <w:p w14:paraId="1706C073">
                  <w:pPr>
                    <w:widowControl/>
                    <w:jc w:val="center"/>
                    <w:rPr>
                      <w:color w:val="auto"/>
                      <w:kern w:val="0"/>
                      <w:sz w:val="21"/>
                      <w:szCs w:val="21"/>
                    </w:rPr>
                  </w:pPr>
                  <w:r>
                    <w:rPr>
                      <w:rFonts w:hint="eastAsia"/>
                      <w:color w:val="auto"/>
                      <w:kern w:val="0"/>
                      <w:sz w:val="21"/>
                      <w:szCs w:val="21"/>
                    </w:rPr>
                    <w:t>北</w:t>
                  </w:r>
                  <w:r>
                    <w:rPr>
                      <w:color w:val="auto"/>
                      <w:kern w:val="0"/>
                      <w:sz w:val="21"/>
                      <w:szCs w:val="21"/>
                    </w:rPr>
                    <w:t>侧</w:t>
                  </w:r>
                </w:p>
              </w:tc>
              <w:tc>
                <w:tcPr>
                  <w:tcW w:w="490" w:type="pct"/>
                  <w:noWrap w:val="0"/>
                  <w:vAlign w:val="center"/>
                </w:tcPr>
                <w:p w14:paraId="4131E11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w:t>
                  </w:r>
                </w:p>
              </w:tc>
              <w:tc>
                <w:tcPr>
                  <w:tcW w:w="463" w:type="pct"/>
                  <w:noWrap w:val="0"/>
                  <w:vAlign w:val="center"/>
                </w:tcPr>
                <w:p w14:paraId="0FD15A77">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0</w:t>
                  </w:r>
                </w:p>
              </w:tc>
              <w:tc>
                <w:tcPr>
                  <w:tcW w:w="438" w:type="pct"/>
                  <w:noWrap w:val="0"/>
                  <w:vAlign w:val="center"/>
                </w:tcPr>
                <w:p w14:paraId="288C7316">
                  <w:pPr>
                    <w:widowControl/>
                    <w:jc w:val="center"/>
                    <w:rPr>
                      <w:color w:val="auto"/>
                      <w:kern w:val="0"/>
                      <w:sz w:val="21"/>
                      <w:szCs w:val="21"/>
                    </w:rPr>
                  </w:pPr>
                  <w:r>
                    <w:rPr>
                      <w:rFonts w:hint="eastAsia"/>
                      <w:color w:val="auto"/>
                      <w:kern w:val="0"/>
                      <w:sz w:val="21"/>
                      <w:szCs w:val="21"/>
                    </w:rPr>
                    <w:t>1</w:t>
                  </w:r>
                </w:p>
              </w:tc>
              <w:tc>
                <w:tcPr>
                  <w:tcW w:w="634" w:type="pct"/>
                  <w:noWrap w:val="0"/>
                  <w:vAlign w:val="center"/>
                </w:tcPr>
                <w:p w14:paraId="2C34AF50">
                  <w:pPr>
                    <w:jc w:val="center"/>
                    <w:rPr>
                      <w:rFonts w:hint="eastAsia"/>
                      <w:color w:val="auto"/>
                      <w:sz w:val="21"/>
                      <w:szCs w:val="21"/>
                    </w:rPr>
                  </w:pPr>
                  <w:r>
                    <w:rPr>
                      <w:rFonts w:hint="eastAsia"/>
                      <w:color w:val="auto"/>
                      <w:sz w:val="21"/>
                      <w:szCs w:val="21"/>
                      <w:lang w:val="en-US" w:eastAsia="zh-CN"/>
                    </w:rPr>
                    <w:t>50</w:t>
                  </w:r>
                  <w:r>
                    <w:rPr>
                      <w:rFonts w:hint="eastAsia"/>
                      <w:color w:val="auto"/>
                      <w:sz w:val="21"/>
                      <w:szCs w:val="21"/>
                    </w:rPr>
                    <w:t>.1</w:t>
                  </w:r>
                </w:p>
              </w:tc>
              <w:tc>
                <w:tcPr>
                  <w:tcW w:w="618" w:type="pct"/>
                  <w:noWrap w:val="0"/>
                  <w:vAlign w:val="center"/>
                </w:tcPr>
                <w:p w14:paraId="6804AFAF">
                  <w:pPr>
                    <w:jc w:val="center"/>
                    <w:rPr>
                      <w:rFonts w:hint="default"/>
                      <w:color w:val="auto"/>
                      <w:sz w:val="21"/>
                      <w:szCs w:val="21"/>
                      <w:lang w:val="en-US"/>
                    </w:rPr>
                  </w:pPr>
                  <w:r>
                    <w:rPr>
                      <w:rFonts w:hint="eastAsia"/>
                      <w:color w:val="auto"/>
                      <w:sz w:val="21"/>
                      <w:szCs w:val="21"/>
                      <w:lang w:val="en-US" w:eastAsia="zh-CN"/>
                    </w:rPr>
                    <w:t>40.7</w:t>
                  </w:r>
                </w:p>
              </w:tc>
              <w:tc>
                <w:tcPr>
                  <w:tcW w:w="565" w:type="pct"/>
                  <w:noWrap w:val="0"/>
                  <w:vAlign w:val="center"/>
                </w:tcPr>
                <w:p w14:paraId="51EF82B6">
                  <w:pPr>
                    <w:jc w:val="center"/>
                    <w:rPr>
                      <w:color w:val="auto"/>
                      <w:sz w:val="21"/>
                      <w:szCs w:val="21"/>
                    </w:rPr>
                  </w:pPr>
                  <w:r>
                    <w:rPr>
                      <w:color w:val="auto"/>
                      <w:sz w:val="21"/>
                      <w:szCs w:val="21"/>
                    </w:rPr>
                    <w:t>6</w:t>
                  </w:r>
                  <w:r>
                    <w:rPr>
                      <w:rFonts w:hint="eastAsia"/>
                      <w:color w:val="auto"/>
                      <w:sz w:val="21"/>
                      <w:szCs w:val="21"/>
                    </w:rPr>
                    <w:t>0</w:t>
                  </w:r>
                </w:p>
              </w:tc>
              <w:tc>
                <w:tcPr>
                  <w:tcW w:w="611" w:type="pct"/>
                  <w:noWrap w:val="0"/>
                  <w:vAlign w:val="center"/>
                </w:tcPr>
                <w:p w14:paraId="118EC5BA">
                  <w:pPr>
                    <w:jc w:val="center"/>
                    <w:rPr>
                      <w:rFonts w:hint="eastAsia" w:eastAsia="宋体"/>
                      <w:color w:val="auto"/>
                      <w:sz w:val="21"/>
                      <w:szCs w:val="21"/>
                      <w:lang w:eastAsia="zh-CN"/>
                    </w:rPr>
                  </w:pPr>
                  <w:r>
                    <w:rPr>
                      <w:rFonts w:hint="eastAsia"/>
                      <w:color w:val="auto"/>
                      <w:sz w:val="21"/>
                      <w:szCs w:val="21"/>
                      <w:lang w:val="en-US" w:eastAsia="zh-CN"/>
                    </w:rPr>
                    <w:t>50</w:t>
                  </w:r>
                </w:p>
              </w:tc>
              <w:tc>
                <w:tcPr>
                  <w:tcW w:w="610" w:type="pct"/>
                  <w:noWrap w:val="0"/>
                  <w:vAlign w:val="center"/>
                </w:tcPr>
                <w:p w14:paraId="06F9AC81">
                  <w:pPr>
                    <w:jc w:val="center"/>
                    <w:rPr>
                      <w:color w:val="auto"/>
                      <w:sz w:val="21"/>
                      <w:szCs w:val="21"/>
                    </w:rPr>
                  </w:pPr>
                  <w:r>
                    <w:rPr>
                      <w:color w:val="auto"/>
                      <w:sz w:val="21"/>
                      <w:szCs w:val="21"/>
                    </w:rPr>
                    <w:t>达标</w:t>
                  </w:r>
                </w:p>
              </w:tc>
            </w:tr>
            <w:bookmarkEnd w:id="8"/>
          </w:tbl>
          <w:p w14:paraId="2206E35F">
            <w:pPr>
              <w:spacing w:line="360" w:lineRule="auto"/>
              <w:ind w:firstLine="420" w:firstLineChars="200"/>
              <w:rPr>
                <w:rFonts w:hint="eastAsia"/>
                <w:color w:val="auto"/>
              </w:rPr>
            </w:pPr>
            <w:r>
              <w:rPr>
                <w:color w:val="auto"/>
              </w:rPr>
              <w:t>注</w:t>
            </w:r>
            <w:r>
              <w:rPr>
                <w:rFonts w:hint="eastAsia"/>
                <w:color w:val="auto"/>
              </w:rPr>
              <w:t>：以</w:t>
            </w:r>
            <w:r>
              <w:rPr>
                <w:rFonts w:hint="eastAsia" w:ascii="Times New Roman" w:eastAsia="宋体" w:cs="Times New Roman"/>
                <w:color w:val="auto"/>
                <w:sz w:val="21"/>
                <w:szCs w:val="21"/>
                <w:lang w:val="en-US" w:eastAsia="zh-CN"/>
              </w:rPr>
              <w:t>租赁车间中心点</w:t>
            </w:r>
            <w:r>
              <w:rPr>
                <w:rFonts w:hint="eastAsia"/>
                <w:color w:val="auto"/>
              </w:rPr>
              <w:t>为原点。</w:t>
            </w:r>
          </w:p>
          <w:p w14:paraId="0E4B6B13">
            <w:pPr>
              <w:spacing w:line="360" w:lineRule="auto"/>
              <w:ind w:firstLine="420" w:firstLineChars="200"/>
              <w:rPr>
                <w:rFonts w:hint="eastAsia"/>
                <w:b/>
                <w:color w:val="auto"/>
                <w:kern w:val="0"/>
                <w:szCs w:val="21"/>
              </w:rPr>
            </w:pPr>
            <w:r>
              <w:rPr>
                <w:rFonts w:hint="eastAsia"/>
                <w:color w:val="auto"/>
                <w:kern w:val="0"/>
                <w:szCs w:val="21"/>
              </w:rPr>
              <w:t>预测结果表明，厂房各种设备部分噪声虽达到75~</w:t>
            </w:r>
            <w:r>
              <w:rPr>
                <w:rFonts w:hint="eastAsia"/>
                <w:color w:val="auto"/>
                <w:kern w:val="0"/>
                <w:szCs w:val="21"/>
                <w:lang w:val="en-US" w:eastAsia="zh-CN"/>
              </w:rPr>
              <w:t>90</w:t>
            </w:r>
            <w:r>
              <w:rPr>
                <w:rFonts w:hint="eastAsia"/>
                <w:color w:val="auto"/>
                <w:kern w:val="0"/>
                <w:szCs w:val="21"/>
              </w:rPr>
              <w:t>dB(A)，但经隔声、减震、距离衰减后，厂界预测值达到《工业企业厂界环境噪声排放标准》（GB12348-2008）表1中</w:t>
            </w:r>
            <w:r>
              <w:rPr>
                <w:rFonts w:hint="eastAsia"/>
                <w:color w:val="auto"/>
                <w:kern w:val="0"/>
                <w:szCs w:val="21"/>
                <w:lang w:val="en-US" w:eastAsia="zh-CN"/>
              </w:rPr>
              <w:t>2</w:t>
            </w:r>
            <w:r>
              <w:rPr>
                <w:rFonts w:hint="eastAsia"/>
                <w:color w:val="auto"/>
                <w:kern w:val="0"/>
                <w:szCs w:val="21"/>
              </w:rPr>
              <w:t>类功能区对应标准限值，可达标排放。</w:t>
            </w:r>
          </w:p>
          <w:p w14:paraId="55257ADA">
            <w:pPr>
              <w:spacing w:line="360" w:lineRule="auto"/>
              <w:ind w:firstLine="422" w:firstLineChars="200"/>
              <w:rPr>
                <w:rFonts w:hint="eastAsia"/>
                <w:b/>
                <w:color w:val="auto"/>
                <w:kern w:val="0"/>
                <w:szCs w:val="21"/>
              </w:rPr>
            </w:pPr>
            <w:r>
              <w:rPr>
                <w:rFonts w:hint="eastAsia"/>
                <w:b/>
                <w:color w:val="auto"/>
                <w:kern w:val="0"/>
                <w:szCs w:val="21"/>
              </w:rPr>
              <w:t>3.3降噪措施</w:t>
            </w:r>
          </w:p>
          <w:p w14:paraId="62CBF982">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（1）控制设备噪声</w:t>
            </w:r>
          </w:p>
          <w:p w14:paraId="1A0A61A7">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在设备选型时选用先进的低噪声设备，在满足工艺设计的前提下，尽量选用满足国际标准的低噪声、低振动型号的设备，降低噪声源强。</w:t>
            </w:r>
          </w:p>
          <w:p w14:paraId="37EF0632">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（2）设备减振、隔声</w:t>
            </w:r>
          </w:p>
          <w:p w14:paraId="773D1EDF">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对各类风机的进、出口处安装阻性消声器，并在机组与地基之间安置减震器，在风机与排气筒之间设置软连接，对风机采取配套的通风散热装置设置消声器，对废气排气筒设置排气消声器。</w:t>
            </w:r>
          </w:p>
          <w:p w14:paraId="727F196F">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（3）加强建筑物隔声措施</w:t>
            </w:r>
          </w:p>
          <w:p w14:paraId="68017CC6">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项目设备有效利用了建筑隔声，并采取隔声、吸声材料制作门窗、墙体等，防止噪声的扩散和传播，采取隔声措施。</w:t>
            </w:r>
          </w:p>
          <w:p w14:paraId="43678E9E">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（4）强化生产管理：对装卸、转运、碰撞等偶发噪声，主要加强管理，装卸作业尽量做到轻起慢放，钢材堆场采用枕木垫高，降低钢材之间出现碰撞发出的偶发噪声强度，防止突发噪声。</w:t>
            </w:r>
          </w:p>
          <w:p w14:paraId="6A7F2FDA">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（5）合理布局</w:t>
            </w:r>
          </w:p>
          <w:p w14:paraId="48290CA6">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在厂区总图布置中尽可能合理布置设备，以减轻对外界环境的影响。纵观全厂平面布局，厂区平面布置较合理。</w:t>
            </w:r>
          </w:p>
          <w:p w14:paraId="23BC2626">
            <w:pPr>
              <w:pStyle w:val="12"/>
              <w:spacing w:line="360" w:lineRule="auto"/>
              <w:ind w:firstLine="420" w:firstLineChars="200"/>
              <w:rPr>
                <w:rFonts w:ascii="Times New Roman" w:hAnsi="Times New Roman"/>
                <w:color w:val="auto"/>
                <w:szCs w:val="21"/>
              </w:rPr>
            </w:pPr>
            <w:r>
              <w:rPr>
                <w:rFonts w:hint="eastAsia" w:ascii="Times New Roman" w:hAnsi="Times New Roman"/>
                <w:color w:val="auto"/>
                <w:szCs w:val="21"/>
              </w:rPr>
              <w:t>综上所述，在采取有效的隔声、消声、减振措施，项目所有设备设计降噪量达</w:t>
            </w:r>
            <w:r>
              <w:rPr>
                <w:rFonts w:ascii="Times New Roman" w:hAnsi="Times New Roman"/>
                <w:color w:val="auto"/>
                <w:szCs w:val="21"/>
              </w:rPr>
              <w:t>2</w:t>
            </w:r>
            <w:r>
              <w:rPr>
                <w:rFonts w:hint="eastAsia" w:ascii="Times New Roman" w:hAnsi="Times New Roman"/>
                <w:color w:val="auto"/>
                <w:szCs w:val="21"/>
                <w:lang w:val="en-US" w:eastAsia="zh-CN"/>
              </w:rPr>
              <w:t>0</w:t>
            </w:r>
            <w:r>
              <w:rPr>
                <w:rFonts w:hint="eastAsia" w:ascii="Times New Roman" w:hAnsi="Times New Roman"/>
                <w:color w:val="auto"/>
                <w:szCs w:val="21"/>
              </w:rPr>
              <w:t>dB（A）以上。</w:t>
            </w:r>
          </w:p>
          <w:p w14:paraId="34EF8412">
            <w:pPr>
              <w:spacing w:line="360" w:lineRule="auto"/>
              <w:ind w:firstLine="561"/>
              <w:jc w:val="left"/>
              <w:rPr>
                <w:rFonts w:hint="eastAsia"/>
                <w:b/>
                <w:color w:val="auto"/>
                <w:kern w:val="0"/>
                <w:szCs w:val="21"/>
              </w:rPr>
            </w:pPr>
            <w:r>
              <w:rPr>
                <w:rFonts w:hint="eastAsia"/>
                <w:b/>
                <w:color w:val="auto"/>
                <w:kern w:val="0"/>
                <w:szCs w:val="21"/>
              </w:rPr>
              <w:t>3.4噪声环境监测计划</w:t>
            </w:r>
          </w:p>
          <w:p w14:paraId="325B395A">
            <w:pPr>
              <w:pStyle w:val="12"/>
              <w:spacing w:line="360" w:lineRule="auto"/>
              <w:ind w:firstLine="420" w:firstLineChars="200"/>
              <w:rPr>
                <w:rFonts w:ascii="Times New Roman" w:hAnsi="Times New Roman"/>
                <w:color w:val="auto"/>
                <w:sz w:val="21"/>
                <w:szCs w:val="21"/>
              </w:rPr>
            </w:pPr>
            <w:r>
              <w:rPr>
                <w:rFonts w:hint="eastAsia" w:ascii="Times New Roman" w:hAnsi="Times New Roman"/>
                <w:color w:val="auto"/>
                <w:sz w:val="21"/>
                <w:szCs w:val="21"/>
              </w:rPr>
              <w:t>①例行监测</w:t>
            </w:r>
          </w:p>
          <w:p w14:paraId="0A3906A5">
            <w:pPr>
              <w:pStyle w:val="12"/>
              <w:spacing w:line="360" w:lineRule="auto"/>
              <w:ind w:firstLine="420" w:firstLineChars="200"/>
              <w:rPr>
                <w:rFonts w:ascii="Times New Roman" w:hAnsi="Times New Roman"/>
                <w:color w:val="auto"/>
                <w:sz w:val="21"/>
                <w:szCs w:val="21"/>
              </w:rPr>
            </w:pPr>
            <w:r>
              <w:rPr>
                <w:rFonts w:hint="eastAsia" w:ascii="Times New Roman" w:hAnsi="Times New Roman"/>
                <w:color w:val="auto"/>
                <w:sz w:val="21"/>
                <w:szCs w:val="21"/>
              </w:rPr>
              <w:t>根据《排污单位自行监测技术指南总则》（</w:t>
            </w:r>
            <w:r>
              <w:rPr>
                <w:rFonts w:ascii="Times New Roman" w:hAnsi="Times New Roman"/>
                <w:color w:val="auto"/>
                <w:sz w:val="21"/>
                <w:szCs w:val="21"/>
              </w:rPr>
              <w:t>HJ819-2017</w:t>
            </w:r>
            <w:r>
              <w:rPr>
                <w:rFonts w:hint="eastAsia" w:ascii="Times New Roman" w:hAnsi="Times New Roman"/>
                <w:color w:val="auto"/>
                <w:sz w:val="21"/>
                <w:szCs w:val="21"/>
              </w:rPr>
              <w:t>），厂界噪声最低监测频次为季度，厂界噪声监测频次为一季度开展一次，并在噪声监测点附近醒目处设置环境保护图形标志牌，噪声环境监测要求见表4</w:t>
            </w:r>
            <w:r>
              <w:rPr>
                <w:rFonts w:hint="eastAsia" w:ascii="Times New Roman" w:hAnsi="Times New Roman"/>
                <w:color w:val="auto"/>
                <w:sz w:val="21"/>
                <w:szCs w:val="21"/>
                <w:lang w:val="en-US" w:eastAsia="zh-CN"/>
              </w:rPr>
              <w:t>-5</w:t>
            </w:r>
            <w:r>
              <w:rPr>
                <w:rFonts w:hint="eastAsia" w:ascii="Times New Roman" w:hAnsi="Times New Roman"/>
                <w:color w:val="auto"/>
                <w:sz w:val="21"/>
                <w:szCs w:val="21"/>
              </w:rPr>
              <w:t>。</w:t>
            </w:r>
          </w:p>
          <w:p w14:paraId="1D39F8B9">
            <w:pPr>
              <w:jc w:val="center"/>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-5</w:t>
            </w:r>
            <w:r>
              <w:rPr>
                <w:rFonts w:hint="eastAsia"/>
                <w:b/>
                <w:color w:val="auto"/>
                <w:kern w:val="0"/>
                <w:sz w:val="21"/>
                <w:szCs w:val="21"/>
              </w:rPr>
              <w:t>噪声环境监测要求</w:t>
            </w:r>
          </w:p>
          <w:tbl>
            <w:tblPr>
              <w:tblStyle w:val="25"/>
              <w:tblW w:w="871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83"/>
              <w:gridCol w:w="1644"/>
              <w:gridCol w:w="1338"/>
              <w:gridCol w:w="1398"/>
              <w:gridCol w:w="3454"/>
            </w:tblGrid>
            <w:tr w14:paraId="40ACD4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5" w:hRule="atLeast"/>
                <w:jc w:val="center"/>
              </w:trPr>
              <w:tc>
                <w:tcPr>
                  <w:tcW w:w="883" w:type="dxa"/>
                  <w:vAlign w:val="center"/>
                </w:tcPr>
                <w:p w14:paraId="3F35255D">
                  <w:pPr>
                    <w:adjustRightInd w:val="0"/>
                    <w:snapToGrid w:val="0"/>
                    <w:jc w:val="center"/>
                    <w:rPr>
                      <w:rFonts w:eastAsiaTheme="minorEastAsia"/>
                      <w:b/>
                      <w:color w:val="auto"/>
                      <w:sz w:val="21"/>
                      <w:szCs w:val="21"/>
                    </w:rPr>
                  </w:pPr>
                  <w:r>
                    <w:rPr>
                      <w:rFonts w:hAnsiTheme="minorEastAsia" w:eastAsiaTheme="minorEastAsia"/>
                      <w:b/>
                      <w:color w:val="auto"/>
                      <w:sz w:val="21"/>
                      <w:szCs w:val="21"/>
                    </w:rPr>
                    <w:t>类别</w:t>
                  </w:r>
                </w:p>
              </w:tc>
              <w:tc>
                <w:tcPr>
                  <w:tcW w:w="1644" w:type="dxa"/>
                  <w:vAlign w:val="center"/>
                </w:tcPr>
                <w:p w14:paraId="3F9A903F">
                  <w:pPr>
                    <w:adjustRightInd w:val="0"/>
                    <w:snapToGrid w:val="0"/>
                    <w:jc w:val="center"/>
                    <w:rPr>
                      <w:rFonts w:eastAsiaTheme="minorEastAsia"/>
                      <w:b/>
                      <w:color w:val="auto"/>
                      <w:sz w:val="21"/>
                      <w:szCs w:val="21"/>
                    </w:rPr>
                  </w:pPr>
                  <w:r>
                    <w:rPr>
                      <w:rFonts w:hAnsiTheme="minorEastAsia" w:eastAsiaTheme="minorEastAsia"/>
                      <w:b/>
                      <w:color w:val="auto"/>
                      <w:sz w:val="21"/>
                      <w:szCs w:val="21"/>
                    </w:rPr>
                    <w:t>监测位置</w:t>
                  </w:r>
                </w:p>
              </w:tc>
              <w:tc>
                <w:tcPr>
                  <w:tcW w:w="1338" w:type="dxa"/>
                  <w:vAlign w:val="center"/>
                </w:tcPr>
                <w:p w14:paraId="6421D002">
                  <w:pPr>
                    <w:adjustRightInd w:val="0"/>
                    <w:snapToGrid w:val="0"/>
                    <w:jc w:val="center"/>
                    <w:rPr>
                      <w:rFonts w:eastAsiaTheme="minorEastAsia"/>
                      <w:b/>
                      <w:color w:val="auto"/>
                      <w:sz w:val="21"/>
                      <w:szCs w:val="21"/>
                    </w:rPr>
                  </w:pPr>
                  <w:r>
                    <w:rPr>
                      <w:rFonts w:hAnsiTheme="minorEastAsia" w:eastAsiaTheme="minorEastAsia"/>
                      <w:b/>
                      <w:color w:val="auto"/>
                      <w:sz w:val="21"/>
                      <w:szCs w:val="21"/>
                    </w:rPr>
                    <w:t>监测项目</w:t>
                  </w:r>
                </w:p>
              </w:tc>
              <w:tc>
                <w:tcPr>
                  <w:tcW w:w="1398" w:type="dxa"/>
                  <w:vAlign w:val="center"/>
                </w:tcPr>
                <w:p w14:paraId="0706B176">
                  <w:pPr>
                    <w:adjustRightInd w:val="0"/>
                    <w:snapToGrid w:val="0"/>
                    <w:jc w:val="center"/>
                    <w:rPr>
                      <w:rFonts w:eastAsiaTheme="minorEastAsia"/>
                      <w:b/>
                      <w:color w:val="auto"/>
                      <w:sz w:val="21"/>
                      <w:szCs w:val="21"/>
                    </w:rPr>
                  </w:pPr>
                  <w:r>
                    <w:rPr>
                      <w:rFonts w:hAnsiTheme="minorEastAsia" w:eastAsiaTheme="minorEastAsia"/>
                      <w:b/>
                      <w:color w:val="auto"/>
                      <w:sz w:val="21"/>
                      <w:szCs w:val="21"/>
                    </w:rPr>
                    <w:t>监测频次</w:t>
                  </w:r>
                </w:p>
              </w:tc>
              <w:tc>
                <w:tcPr>
                  <w:tcW w:w="3454" w:type="dxa"/>
                  <w:vAlign w:val="center"/>
                </w:tcPr>
                <w:p w14:paraId="327BA996">
                  <w:pPr>
                    <w:adjustRightInd w:val="0"/>
                    <w:snapToGrid w:val="0"/>
                    <w:jc w:val="center"/>
                    <w:rPr>
                      <w:rFonts w:eastAsiaTheme="minorEastAsia"/>
                      <w:b/>
                      <w:color w:val="auto"/>
                      <w:sz w:val="21"/>
                      <w:szCs w:val="21"/>
                    </w:rPr>
                  </w:pPr>
                  <w:r>
                    <w:rPr>
                      <w:rFonts w:hAnsiTheme="minorEastAsia" w:eastAsiaTheme="minorEastAsia"/>
                      <w:b/>
                      <w:color w:val="auto"/>
                      <w:sz w:val="21"/>
                      <w:szCs w:val="21"/>
                    </w:rPr>
                    <w:t>执行排放标准</w:t>
                  </w:r>
                </w:p>
              </w:tc>
            </w:tr>
            <w:tr w14:paraId="2911EE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98" w:hRule="atLeast"/>
                <w:jc w:val="center"/>
              </w:trPr>
              <w:tc>
                <w:tcPr>
                  <w:tcW w:w="883" w:type="dxa"/>
                  <w:vAlign w:val="center"/>
                </w:tcPr>
                <w:p w14:paraId="2F1D495F">
                  <w:pPr>
                    <w:adjustRightInd w:val="0"/>
                    <w:snapToGrid w:val="0"/>
                    <w:jc w:val="center"/>
                    <w:rPr>
                      <w:rFonts w:eastAsiaTheme="minorEastAsia"/>
                      <w:color w:val="auto"/>
                      <w:sz w:val="21"/>
                      <w:szCs w:val="21"/>
                    </w:rPr>
                  </w:pPr>
                  <w:r>
                    <w:rPr>
                      <w:rFonts w:hAnsiTheme="minorEastAsia" w:eastAsiaTheme="minorEastAsia"/>
                      <w:color w:val="auto"/>
                      <w:sz w:val="21"/>
                      <w:szCs w:val="21"/>
                    </w:rPr>
                    <w:t>噪声</w:t>
                  </w:r>
                </w:p>
              </w:tc>
              <w:tc>
                <w:tcPr>
                  <w:tcW w:w="1644" w:type="dxa"/>
                  <w:vAlign w:val="center"/>
                </w:tcPr>
                <w:p w14:paraId="35C1C81E">
                  <w:pPr>
                    <w:adjustRightInd w:val="0"/>
                    <w:snapToGrid w:val="0"/>
                    <w:jc w:val="center"/>
                    <w:rPr>
                      <w:rFonts w:eastAsiaTheme="minorEastAsia"/>
                      <w:color w:val="auto"/>
                      <w:sz w:val="21"/>
                      <w:szCs w:val="21"/>
                    </w:rPr>
                  </w:pPr>
                  <w:r>
                    <w:rPr>
                      <w:rFonts w:hAnsiTheme="minorEastAsia" w:eastAsiaTheme="minorEastAsia"/>
                      <w:color w:val="auto"/>
                      <w:sz w:val="21"/>
                      <w:szCs w:val="21"/>
                    </w:rPr>
                    <w:t>厂界外</w:t>
                  </w:r>
                  <w:r>
                    <w:rPr>
                      <w:rFonts w:eastAsiaTheme="minorEastAsia"/>
                      <w:color w:val="auto"/>
                      <w:sz w:val="21"/>
                      <w:szCs w:val="21"/>
                    </w:rPr>
                    <w:t>1m</w:t>
                  </w:r>
                </w:p>
              </w:tc>
              <w:tc>
                <w:tcPr>
                  <w:tcW w:w="1338" w:type="dxa"/>
                  <w:vAlign w:val="center"/>
                </w:tcPr>
                <w:p w14:paraId="3F8CAD82">
                  <w:pPr>
                    <w:adjustRightInd w:val="0"/>
                    <w:snapToGrid w:val="0"/>
                    <w:jc w:val="center"/>
                    <w:rPr>
                      <w:rFonts w:eastAsiaTheme="minorEastAsia"/>
                      <w:color w:val="auto"/>
                      <w:sz w:val="21"/>
                      <w:szCs w:val="21"/>
                    </w:rPr>
                  </w:pPr>
                  <w:r>
                    <w:rPr>
                      <w:rFonts w:hAnsiTheme="minorEastAsia" w:eastAsiaTheme="minorEastAsia"/>
                      <w:color w:val="auto"/>
                      <w:sz w:val="21"/>
                      <w:szCs w:val="21"/>
                    </w:rPr>
                    <w:t>连续等效</w:t>
                  </w:r>
                  <w:r>
                    <w:rPr>
                      <w:rFonts w:eastAsiaTheme="minorEastAsia"/>
                      <w:color w:val="auto"/>
                      <w:sz w:val="21"/>
                      <w:szCs w:val="21"/>
                    </w:rPr>
                    <w:t>A</w:t>
                  </w:r>
                  <w:r>
                    <w:rPr>
                      <w:rFonts w:hAnsiTheme="minorEastAsia" w:eastAsiaTheme="minorEastAsia"/>
                      <w:color w:val="auto"/>
                      <w:sz w:val="21"/>
                      <w:szCs w:val="21"/>
                    </w:rPr>
                    <w:t>声级</w:t>
                  </w:r>
                </w:p>
              </w:tc>
              <w:tc>
                <w:tcPr>
                  <w:tcW w:w="1398" w:type="dxa"/>
                  <w:vAlign w:val="center"/>
                </w:tcPr>
                <w:p w14:paraId="4D2153EC">
                  <w:pPr>
                    <w:adjustRightInd w:val="0"/>
                    <w:snapToGrid w:val="0"/>
                    <w:jc w:val="center"/>
                    <w:rPr>
                      <w:rFonts w:eastAsiaTheme="minorEastAsia"/>
                      <w:color w:val="auto"/>
                      <w:sz w:val="21"/>
                      <w:szCs w:val="21"/>
                    </w:rPr>
                  </w:pPr>
                  <w:r>
                    <w:rPr>
                      <w:rFonts w:hAnsiTheme="minorEastAsia" w:eastAsiaTheme="minorEastAsia"/>
                      <w:color w:val="auto"/>
                      <w:sz w:val="21"/>
                      <w:szCs w:val="21"/>
                    </w:rPr>
                    <w:t>每季度一次</w:t>
                  </w:r>
                </w:p>
              </w:tc>
              <w:tc>
                <w:tcPr>
                  <w:tcW w:w="3454" w:type="dxa"/>
                  <w:vAlign w:val="center"/>
                </w:tcPr>
                <w:p w14:paraId="47000654">
                  <w:pPr>
                    <w:adjustRightInd w:val="0"/>
                    <w:snapToGrid w:val="0"/>
                    <w:jc w:val="center"/>
                    <w:rPr>
                      <w:rFonts w:eastAsiaTheme="minorEastAsia"/>
                      <w:color w:val="auto"/>
                      <w:sz w:val="21"/>
                      <w:szCs w:val="21"/>
                    </w:rPr>
                  </w:pPr>
                  <w:r>
                    <w:rPr>
                      <w:rFonts w:hAnsiTheme="minorEastAsia" w:eastAsiaTheme="minorEastAsia"/>
                      <w:color w:val="auto"/>
                      <w:sz w:val="21"/>
                      <w:szCs w:val="21"/>
                    </w:rPr>
                    <w:t>《工业企业厂界环境噪声排放标准》（</w:t>
                  </w:r>
                  <w:r>
                    <w:rPr>
                      <w:rFonts w:eastAsiaTheme="minorEastAsia"/>
                      <w:color w:val="auto"/>
                      <w:sz w:val="21"/>
                      <w:szCs w:val="21"/>
                    </w:rPr>
                    <w:t>GB12348-2008</w:t>
                  </w:r>
                  <w:r>
                    <w:rPr>
                      <w:rFonts w:hAnsiTheme="minorEastAsia" w:eastAsiaTheme="minorEastAsia"/>
                      <w:color w:val="auto"/>
                      <w:sz w:val="21"/>
                      <w:szCs w:val="21"/>
                    </w:rPr>
                    <w:t>）</w:t>
                  </w:r>
                  <w:r>
                    <w:rPr>
                      <w:rFonts w:hint="eastAsia" w:eastAsiaTheme="minorEastAsia"/>
                      <w:color w:val="auto"/>
                      <w:sz w:val="21"/>
                      <w:szCs w:val="21"/>
                    </w:rPr>
                    <w:t>2</w:t>
                  </w:r>
                  <w:r>
                    <w:rPr>
                      <w:rFonts w:hAnsiTheme="minorEastAsia" w:eastAsiaTheme="minorEastAsia"/>
                      <w:color w:val="auto"/>
                      <w:sz w:val="21"/>
                      <w:szCs w:val="21"/>
                    </w:rPr>
                    <w:t>类标准</w:t>
                  </w:r>
                </w:p>
              </w:tc>
            </w:tr>
          </w:tbl>
          <w:p w14:paraId="0B731EF3">
            <w:pPr>
              <w:autoSpaceDE w:val="0"/>
              <w:autoSpaceDN w:val="0"/>
              <w:adjustRightInd w:val="0"/>
              <w:snapToGrid w:val="0"/>
              <w:spacing w:line="360" w:lineRule="auto"/>
              <w:ind w:firstLine="422" w:firstLineChars="200"/>
              <w:jc w:val="left"/>
              <w:rPr>
                <w:b/>
                <w:color w:val="auto"/>
                <w:szCs w:val="21"/>
              </w:rPr>
            </w:pPr>
            <w:r>
              <w:rPr>
                <w:rFonts w:hint="eastAsia"/>
                <w:b/>
                <w:color w:val="auto"/>
                <w:szCs w:val="21"/>
              </w:rPr>
              <w:t>4、固废</w:t>
            </w:r>
          </w:p>
          <w:p w14:paraId="455B2ED3">
            <w:pPr>
              <w:tabs>
                <w:tab w:val="left" w:pos="567"/>
                <w:tab w:val="left" w:pos="1843"/>
              </w:tabs>
              <w:adjustRightInd w:val="0"/>
              <w:snapToGrid w:val="0"/>
              <w:spacing w:line="360" w:lineRule="auto"/>
              <w:ind w:firstLine="480"/>
              <w:rPr>
                <w:b/>
                <w:color w:val="auto"/>
                <w:szCs w:val="21"/>
              </w:rPr>
            </w:pPr>
            <w:r>
              <w:rPr>
                <w:rFonts w:hint="eastAsia"/>
                <w:b/>
                <w:color w:val="auto"/>
                <w:szCs w:val="21"/>
              </w:rPr>
              <w:t>4.1固废源强</w:t>
            </w:r>
          </w:p>
          <w:p w14:paraId="66777806">
            <w:pPr>
              <w:tabs>
                <w:tab w:val="left" w:pos="567"/>
                <w:tab w:val="left" w:pos="1843"/>
              </w:tabs>
              <w:adjustRightInd w:val="0"/>
              <w:snapToGrid w:val="0"/>
              <w:spacing w:line="360" w:lineRule="auto"/>
              <w:ind w:firstLine="480"/>
              <w:rPr>
                <w:color w:val="auto"/>
                <w:szCs w:val="21"/>
              </w:rPr>
            </w:pPr>
            <w:r>
              <w:rPr>
                <w:rFonts w:hint="eastAsia"/>
                <w:color w:val="auto"/>
                <w:szCs w:val="21"/>
              </w:rPr>
              <w:t>项目新增固废主要为</w:t>
            </w:r>
            <w:r>
              <w:rPr>
                <w:rFonts w:hint="eastAsia"/>
                <w:color w:val="auto"/>
                <w:szCs w:val="21"/>
                <w:lang w:val="en-US" w:eastAsia="zh-CN"/>
              </w:rPr>
              <w:t>废砂纸、收集尘、废砂、废布袋、炉渣、废油、熔融打磨收集尘、</w:t>
            </w:r>
            <w:r>
              <w:rPr>
                <w:rFonts w:hint="eastAsia"/>
                <w:color w:val="auto"/>
                <w:szCs w:val="21"/>
              </w:rPr>
              <w:t>废活性炭</w:t>
            </w:r>
            <w:r>
              <w:rPr>
                <w:rFonts w:hint="eastAsia"/>
                <w:color w:val="auto"/>
                <w:szCs w:val="21"/>
                <w:lang w:eastAsia="zh-CN"/>
              </w:rPr>
              <w:t>、</w:t>
            </w:r>
            <w:r>
              <w:rPr>
                <w:rFonts w:hint="eastAsia"/>
                <w:color w:val="auto"/>
                <w:szCs w:val="21"/>
              </w:rPr>
              <w:t>废包装桶</w:t>
            </w:r>
            <w:r>
              <w:rPr>
                <w:rFonts w:hint="eastAsia"/>
                <w:color w:val="auto"/>
                <w:szCs w:val="21"/>
                <w:lang w:eastAsia="zh-CN"/>
              </w:rPr>
              <w:t>、</w:t>
            </w:r>
            <w:r>
              <w:rPr>
                <w:rFonts w:hint="eastAsia"/>
                <w:color w:val="auto"/>
                <w:szCs w:val="21"/>
                <w:lang w:val="en-US" w:eastAsia="zh-CN"/>
              </w:rPr>
              <w:t>沾染危废的</w:t>
            </w:r>
            <w:r>
              <w:rPr>
                <w:rFonts w:hint="eastAsia"/>
                <w:color w:val="auto"/>
                <w:szCs w:val="21"/>
              </w:rPr>
              <w:t>废布袋</w:t>
            </w:r>
            <w:r>
              <w:rPr>
                <w:rFonts w:hint="eastAsia"/>
                <w:color w:val="auto"/>
                <w:szCs w:val="21"/>
                <w:lang w:eastAsia="zh-CN"/>
              </w:rPr>
              <w:t>、</w:t>
            </w:r>
            <w:r>
              <w:rPr>
                <w:rFonts w:hint="eastAsia"/>
                <w:b w:val="0"/>
                <w:bCs w:val="0"/>
                <w:color w:val="auto"/>
                <w:szCs w:val="21"/>
                <w:lang w:val="en-US" w:eastAsia="zh-CN"/>
              </w:rPr>
              <w:t>含油铝屑、</w:t>
            </w:r>
            <w:r>
              <w:rPr>
                <w:rFonts w:hint="eastAsia" w:ascii="Times New Roman" w:hAnsi="Times New Roman" w:eastAsia="宋体" w:cs="Times New Roman"/>
                <w:b w:val="0"/>
                <w:bCs w:val="0"/>
                <w:color w:val="auto"/>
                <w:szCs w:val="21"/>
                <w:lang w:val="en-US" w:eastAsia="zh-CN"/>
              </w:rPr>
              <w:t>废液、废切削液</w:t>
            </w:r>
            <w:r>
              <w:rPr>
                <w:rFonts w:hint="eastAsia"/>
                <w:color w:val="auto"/>
                <w:szCs w:val="21"/>
                <w:lang w:val="en-US" w:eastAsia="zh-CN"/>
              </w:rPr>
              <w:t>等</w:t>
            </w:r>
            <w:r>
              <w:rPr>
                <w:rFonts w:hint="eastAsia"/>
                <w:color w:val="auto"/>
                <w:szCs w:val="21"/>
              </w:rPr>
              <w:t>。</w:t>
            </w:r>
          </w:p>
          <w:p w14:paraId="5903BA23">
            <w:pPr>
              <w:tabs>
                <w:tab w:val="left" w:pos="567"/>
                <w:tab w:val="left" w:pos="1843"/>
              </w:tabs>
              <w:adjustRightInd w:val="0"/>
              <w:snapToGrid w:val="0"/>
              <w:spacing w:line="360" w:lineRule="auto"/>
              <w:ind w:firstLine="480"/>
              <w:rPr>
                <w:b/>
                <w:bCs/>
                <w:color w:val="auto"/>
                <w:szCs w:val="21"/>
              </w:rPr>
            </w:pPr>
            <w:r>
              <w:rPr>
                <w:rFonts w:hint="eastAsia"/>
                <w:b/>
                <w:bCs/>
                <w:color w:val="auto"/>
                <w:szCs w:val="21"/>
              </w:rPr>
              <w:t>一般工业固废：</w:t>
            </w:r>
          </w:p>
          <w:p w14:paraId="674A8E7F">
            <w:pPr>
              <w:numPr>
                <w:ilvl w:val="0"/>
                <w:numId w:val="0"/>
              </w:numPr>
              <w:tabs>
                <w:tab w:val="left" w:pos="567"/>
                <w:tab w:val="left" w:pos="1843"/>
              </w:tabs>
              <w:adjustRightInd w:val="0"/>
              <w:snapToGrid w:val="0"/>
              <w:spacing w:line="360" w:lineRule="auto"/>
              <w:ind w:firstLine="420" w:firstLineChars="200"/>
              <w:rPr>
                <w:rFonts w:hint="eastAsia"/>
                <w:color w:val="auto"/>
                <w:szCs w:val="21"/>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rFonts w:hint="eastAsia"/>
                <w:color w:val="auto"/>
                <w:szCs w:val="21"/>
              </w:rPr>
              <w:t>废砂</w:t>
            </w:r>
            <w:r>
              <w:rPr>
                <w:rFonts w:hint="eastAsia"/>
                <w:color w:val="auto"/>
                <w:szCs w:val="21"/>
                <w:lang w:val="en-US" w:eastAsia="zh-CN"/>
              </w:rPr>
              <w:t>纸</w:t>
            </w:r>
            <w:r>
              <w:rPr>
                <w:rFonts w:hint="eastAsia"/>
                <w:color w:val="auto"/>
                <w:szCs w:val="21"/>
              </w:rPr>
              <w:t>：本项目</w:t>
            </w:r>
            <w:r>
              <w:rPr>
                <w:rFonts w:hint="eastAsia"/>
                <w:color w:val="auto"/>
                <w:szCs w:val="21"/>
                <w:lang w:val="en-US" w:eastAsia="zh-CN"/>
              </w:rPr>
              <w:t>人工</w:t>
            </w:r>
            <w:r>
              <w:rPr>
                <w:rFonts w:hint="eastAsia"/>
                <w:color w:val="auto"/>
                <w:szCs w:val="21"/>
              </w:rPr>
              <w:t>使用</w:t>
            </w:r>
            <w:r>
              <w:rPr>
                <w:rFonts w:hint="eastAsia"/>
                <w:color w:val="auto"/>
                <w:szCs w:val="21"/>
                <w:lang w:val="en-US" w:eastAsia="zh-CN"/>
              </w:rPr>
              <w:t>砂纸</w:t>
            </w:r>
            <w:r>
              <w:rPr>
                <w:rFonts w:hint="eastAsia"/>
                <w:color w:val="auto"/>
                <w:szCs w:val="21"/>
              </w:rPr>
              <w:t>打磨，会产生废砂轮，约0.</w:t>
            </w:r>
            <w:r>
              <w:rPr>
                <w:rFonts w:hint="eastAsia"/>
                <w:color w:val="auto"/>
                <w:szCs w:val="21"/>
                <w:lang w:val="en-US" w:eastAsia="zh-CN"/>
              </w:rPr>
              <w:t>2</w:t>
            </w:r>
            <w:r>
              <w:rPr>
                <w:rFonts w:hint="eastAsia"/>
                <w:color w:val="auto"/>
                <w:szCs w:val="21"/>
              </w:rPr>
              <w:t>t/a，收集低价外售。</w:t>
            </w:r>
          </w:p>
          <w:p w14:paraId="1424E04B">
            <w:pPr>
              <w:tabs>
                <w:tab w:val="left" w:pos="567"/>
                <w:tab w:val="left" w:pos="1843"/>
              </w:tabs>
              <w:adjustRightInd w:val="0"/>
              <w:snapToGrid w:val="0"/>
              <w:spacing w:line="360" w:lineRule="auto"/>
              <w:ind w:firstLine="420" w:firstLineChars="200"/>
              <w:rPr>
                <w:color w:val="auto"/>
                <w:szCs w:val="21"/>
              </w:rPr>
            </w:pPr>
            <w:r>
              <w:rPr>
                <w:rFonts w:hint="eastAsia"/>
                <w:color w:val="auto"/>
                <w:szCs w:val="21"/>
              </w:rPr>
              <w:t>（</w:t>
            </w:r>
            <w:r>
              <w:rPr>
                <w:rFonts w:hint="eastAsia"/>
                <w:color w:val="auto"/>
                <w:szCs w:val="21"/>
                <w:lang w:val="en-US" w:eastAsia="zh-CN"/>
              </w:rPr>
              <w:t>2</w:t>
            </w:r>
            <w:r>
              <w:rPr>
                <w:rFonts w:hint="eastAsia"/>
                <w:color w:val="auto"/>
                <w:szCs w:val="21"/>
              </w:rPr>
              <w:t>）收集尘：本项目</w:t>
            </w:r>
            <w:r>
              <w:rPr>
                <w:rFonts w:hint="eastAsia"/>
                <w:color w:val="auto"/>
                <w:szCs w:val="21"/>
                <w:lang w:val="en-US" w:eastAsia="zh-CN"/>
              </w:rPr>
              <w:t>制芯、浇注、</w:t>
            </w:r>
            <w:r>
              <w:rPr>
                <w:rFonts w:hint="eastAsia"/>
                <w:color w:val="auto"/>
                <w:szCs w:val="21"/>
              </w:rPr>
              <w:t>落砂采用布袋处置装置处理粉尘，根据前文计算</w:t>
            </w:r>
            <w:r>
              <w:rPr>
                <w:rFonts w:hint="eastAsia"/>
                <w:color w:val="auto"/>
                <w:szCs w:val="21"/>
                <w:lang w:eastAsia="zh-CN"/>
              </w:rPr>
              <w:t>，</w:t>
            </w:r>
            <w:r>
              <w:rPr>
                <w:rFonts w:hint="eastAsia"/>
                <w:color w:val="auto"/>
                <w:szCs w:val="21"/>
                <w:lang w:val="en-US" w:eastAsia="zh-CN"/>
              </w:rPr>
              <w:t>一部分颗粒物沉降1.4528t/a（制芯、浇注工序沉降0.3468t/a，熔融、打磨工序沉降0.29t/a，落砂工序沉降0.816t/a），布袋除尘装置收集到的粉尘量为50.1316t/a（制芯、浇注工序收集粉尘3.562t/a、熔融、落砂工序收集粉尘46.5696t/a）</w:t>
            </w:r>
            <w:r>
              <w:rPr>
                <w:rFonts w:hint="eastAsia"/>
                <w:color w:val="auto"/>
                <w:szCs w:val="21"/>
              </w:rPr>
              <w:t>，</w:t>
            </w:r>
            <w:r>
              <w:rPr>
                <w:rFonts w:hint="eastAsia"/>
                <w:color w:val="auto"/>
                <w:szCs w:val="21"/>
                <w:lang w:val="en-US" w:eastAsia="zh-CN"/>
              </w:rPr>
              <w:t>收集尘</w:t>
            </w:r>
            <w:r>
              <w:rPr>
                <w:rFonts w:hint="eastAsia"/>
                <w:color w:val="auto"/>
                <w:szCs w:val="21"/>
              </w:rPr>
              <w:t>年</w:t>
            </w:r>
            <w:r>
              <w:rPr>
                <w:rFonts w:hint="eastAsia"/>
                <w:color w:val="auto"/>
                <w:szCs w:val="21"/>
                <w:lang w:val="en-US" w:eastAsia="zh-CN"/>
              </w:rPr>
              <w:t>总</w:t>
            </w:r>
            <w:r>
              <w:rPr>
                <w:rFonts w:hint="eastAsia"/>
                <w:color w:val="auto"/>
                <w:szCs w:val="21"/>
              </w:rPr>
              <w:t>产生量约为</w:t>
            </w:r>
            <w:r>
              <w:rPr>
                <w:rFonts w:hint="eastAsia"/>
                <w:color w:val="auto"/>
                <w:szCs w:val="21"/>
                <w:lang w:val="en-US" w:eastAsia="zh-CN"/>
              </w:rPr>
              <w:t>51.5844</w:t>
            </w:r>
            <w:r>
              <w:rPr>
                <w:rFonts w:hint="eastAsia"/>
                <w:color w:val="auto"/>
                <w:szCs w:val="21"/>
              </w:rPr>
              <w:t>t/a，收集后外售。</w:t>
            </w:r>
          </w:p>
          <w:p w14:paraId="367AA906">
            <w:pPr>
              <w:tabs>
                <w:tab w:val="left" w:pos="567"/>
                <w:tab w:val="left" w:pos="1843"/>
              </w:tabs>
              <w:adjustRightInd w:val="0"/>
              <w:snapToGrid w:val="0"/>
              <w:spacing w:line="360" w:lineRule="auto"/>
              <w:ind w:firstLine="480"/>
              <w:rPr>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）废砂：项目</w:t>
            </w:r>
            <w:r>
              <w:rPr>
                <w:rFonts w:hint="eastAsia"/>
                <w:color w:val="auto"/>
                <w:szCs w:val="21"/>
                <w:lang w:val="en-US" w:eastAsia="zh-CN"/>
              </w:rPr>
              <w:t>覆膜砂干芯</w:t>
            </w:r>
            <w:r>
              <w:rPr>
                <w:rFonts w:hint="eastAsia"/>
                <w:color w:val="auto"/>
                <w:szCs w:val="21"/>
              </w:rPr>
              <w:t>铸造落砂工序</w:t>
            </w:r>
            <w:r>
              <w:rPr>
                <w:rFonts w:hint="eastAsia"/>
                <w:color w:val="auto"/>
                <w:szCs w:val="21"/>
                <w:lang w:val="en-US" w:eastAsia="zh-CN"/>
              </w:rPr>
              <w:t>中覆膜砂商家回收</w:t>
            </w:r>
            <w:r>
              <w:rPr>
                <w:rFonts w:hint="eastAsia"/>
                <w:color w:val="auto"/>
                <w:szCs w:val="21"/>
              </w:rPr>
              <w:t>，</w:t>
            </w:r>
            <w:r>
              <w:rPr>
                <w:rFonts w:hint="eastAsia"/>
                <w:color w:val="auto"/>
                <w:szCs w:val="21"/>
                <w:lang w:val="en-US" w:eastAsia="zh-CN"/>
              </w:rPr>
              <w:t>根据前文计算，制芯、浇注、落砂工序颗粒物产生量为52.08t/a（制芯、浇注、</w:t>
            </w:r>
            <w:r>
              <w:rPr>
                <w:rFonts w:hint="eastAsia"/>
                <w:color w:val="auto"/>
                <w:szCs w:val="21"/>
              </w:rPr>
              <w:t>落砂</w:t>
            </w:r>
            <w:r>
              <w:rPr>
                <w:rFonts w:hint="eastAsia"/>
                <w:color w:val="auto"/>
                <w:szCs w:val="21"/>
                <w:lang w:val="en-US" w:eastAsia="zh-CN"/>
              </w:rPr>
              <w:t>工序收集尘量51.2944t/a，排放量0.7856t/a），则</w:t>
            </w:r>
            <w:r>
              <w:rPr>
                <w:rFonts w:hint="eastAsia"/>
                <w:color w:val="auto"/>
                <w:szCs w:val="21"/>
              </w:rPr>
              <w:t>废砂</w:t>
            </w:r>
            <w:r>
              <w:rPr>
                <w:rFonts w:hint="eastAsia"/>
                <w:color w:val="auto"/>
                <w:szCs w:val="21"/>
                <w:lang w:val="en-US" w:eastAsia="zh-CN"/>
              </w:rPr>
              <w:t>产生量为947.92</w:t>
            </w:r>
            <w:r>
              <w:rPr>
                <w:rFonts w:hint="eastAsia"/>
                <w:color w:val="auto"/>
                <w:szCs w:val="21"/>
              </w:rPr>
              <w:t>t/a</w:t>
            </w:r>
            <w:r>
              <w:rPr>
                <w:rFonts w:hint="eastAsia"/>
                <w:color w:val="auto"/>
                <w:szCs w:val="21"/>
                <w:lang w:eastAsia="zh-CN"/>
              </w:rPr>
              <w:t>，</w:t>
            </w:r>
            <w:r>
              <w:rPr>
                <w:rFonts w:hint="eastAsia"/>
                <w:color w:val="auto"/>
                <w:szCs w:val="21"/>
              </w:rPr>
              <w:t>由商家回收再生循环使用。</w:t>
            </w:r>
          </w:p>
          <w:p w14:paraId="0861A032">
            <w:pPr>
              <w:tabs>
                <w:tab w:val="left" w:pos="567"/>
                <w:tab w:val="left" w:pos="1843"/>
              </w:tabs>
              <w:adjustRightInd w:val="0"/>
              <w:snapToGrid w:val="0"/>
              <w:spacing w:line="360" w:lineRule="auto"/>
              <w:ind w:firstLine="480"/>
              <w:rPr>
                <w:rFonts w:hint="default" w:ascii="Times New Roman" w:hAnsi="Times New Roman" w:eastAsia="宋体" w:cs="Times New Roman"/>
                <w:color w:val="auto"/>
                <w:szCs w:val="21"/>
                <w:lang w:val="en-US" w:eastAsia="zh-CN"/>
              </w:rPr>
            </w:pPr>
            <w:r>
              <w:rPr>
                <w:rFonts w:hint="eastAsia"/>
                <w:color w:val="auto"/>
                <w:szCs w:val="21"/>
              </w:rPr>
              <w:t>（</w:t>
            </w:r>
            <w:r>
              <w:rPr>
                <w:rFonts w:hint="eastAsia"/>
                <w:color w:val="auto"/>
                <w:szCs w:val="21"/>
                <w:lang w:val="en-US" w:eastAsia="zh-CN"/>
              </w:rPr>
              <w:t>4</w:t>
            </w:r>
            <w:r>
              <w:rPr>
                <w:rFonts w:hint="eastAsia"/>
                <w:color w:val="auto"/>
                <w:szCs w:val="21"/>
              </w:rPr>
              <w:t>）废布</w:t>
            </w:r>
            <w:r>
              <w:rPr>
                <w:rFonts w:hint="eastAsia" w:ascii="Times New Roman" w:hAnsi="Times New Roman" w:eastAsia="宋体" w:cs="Times New Roman"/>
                <w:color w:val="auto"/>
                <w:szCs w:val="21"/>
              </w:rPr>
              <w:t>袋：本项目</w:t>
            </w:r>
            <w:r>
              <w:rPr>
                <w:rFonts w:hint="eastAsia" w:cs="Times New Roman"/>
                <w:color w:val="auto"/>
                <w:szCs w:val="21"/>
                <w:lang w:val="en-US" w:eastAsia="zh-CN"/>
              </w:rPr>
              <w:t>制芯浇注、</w:t>
            </w:r>
            <w:r>
              <w:rPr>
                <w:rFonts w:hint="eastAsia" w:ascii="Times New Roman" w:hAnsi="Times New Roman" w:eastAsia="宋体" w:cs="Times New Roman"/>
                <w:color w:val="auto"/>
                <w:szCs w:val="21"/>
              </w:rPr>
              <w:t>落砂工序</w:t>
            </w:r>
            <w:r>
              <w:rPr>
                <w:rFonts w:hint="eastAsia" w:cs="Times New Roman"/>
                <w:color w:val="auto"/>
                <w:szCs w:val="21"/>
                <w:lang w:val="en-US" w:eastAsia="zh-CN"/>
              </w:rPr>
              <w:t>分别</w:t>
            </w:r>
            <w:r>
              <w:rPr>
                <w:rFonts w:hint="eastAsia" w:ascii="Times New Roman" w:hAnsi="Times New Roman" w:eastAsia="宋体" w:cs="Times New Roman"/>
                <w:color w:val="auto"/>
                <w:szCs w:val="21"/>
              </w:rPr>
              <w:t>使用</w:t>
            </w:r>
            <w:r>
              <w:rPr>
                <w:rFonts w:hint="eastAsia" w:cs="Times New Roman"/>
                <w:color w:val="auto"/>
                <w:szCs w:val="21"/>
                <w:lang w:val="en-US" w:eastAsia="zh-CN"/>
              </w:rPr>
              <w:t>1</w:t>
            </w:r>
            <w:r>
              <w:rPr>
                <w:rFonts w:hint="eastAsia" w:ascii="Times New Roman" w:hAnsi="Times New Roman" w:eastAsia="宋体" w:cs="Times New Roman"/>
                <w:color w:val="auto"/>
                <w:szCs w:val="21"/>
              </w:rPr>
              <w:t>台袋式除尘装置</w:t>
            </w:r>
            <w:r>
              <w:rPr>
                <w:rFonts w:hint="eastAsia" w:ascii="Times New Roman" w:hAnsi="Times New Roman" w:eastAsia="宋体" w:cs="Times New Roman"/>
                <w:color w:val="auto"/>
                <w:szCs w:val="21"/>
                <w:lang w:eastAsia="zh-CN"/>
              </w:rPr>
              <w:t>，</w:t>
            </w:r>
            <w:r>
              <w:rPr>
                <w:rFonts w:hint="eastAsia" w:cs="Times New Roman"/>
                <w:color w:val="auto"/>
                <w:szCs w:val="21"/>
                <w:lang w:val="en-US" w:eastAsia="zh-CN"/>
              </w:rPr>
              <w:t>总</w:t>
            </w:r>
            <w:r>
              <w:rPr>
                <w:rFonts w:hint="eastAsia" w:ascii="Times New Roman" w:hAnsi="Times New Roman" w:eastAsia="宋体" w:cs="Times New Roman"/>
                <w:color w:val="auto"/>
                <w:szCs w:val="21"/>
              </w:rPr>
              <w:t>过滤面积为</w:t>
            </w:r>
            <w:r>
              <w:rPr>
                <w:rFonts w:hint="eastAsia" w:cs="Times New Roman"/>
                <w:color w:val="auto"/>
                <w:szCs w:val="21"/>
                <w:lang w:val="en-US" w:eastAsia="zh-CN"/>
              </w:rPr>
              <w:t>289</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，重量800g/m</w:t>
            </w:r>
            <w:r>
              <w:rPr>
                <w:rFonts w:hint="eastAsia"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，则废布袋产生量0.</w:t>
            </w:r>
            <w:r>
              <w:rPr>
                <w:rFonts w:hint="eastAsia" w:cs="Times New Roman"/>
                <w:color w:val="auto"/>
                <w:szCs w:val="21"/>
                <w:lang w:val="en-US" w:eastAsia="zh-CN"/>
              </w:rPr>
              <w:t>2312</w:t>
            </w:r>
            <w:r>
              <w:rPr>
                <w:rFonts w:hint="eastAsia" w:ascii="Times New Roman" w:hAnsi="Times New Roman" w:eastAsia="宋体" w:cs="Times New Roman"/>
                <w:color w:val="auto"/>
                <w:szCs w:val="21"/>
              </w:rPr>
              <w:t>t</w:t>
            </w:r>
            <w:r>
              <w:rPr>
                <w:rFonts w:hint="eastAsia" w:cs="Times New Roman"/>
                <w:color w:val="auto"/>
                <w:szCs w:val="21"/>
                <w:lang w:val="en-US" w:eastAsia="zh-CN"/>
              </w:rPr>
              <w:t>/a</w:t>
            </w:r>
            <w:r>
              <w:rPr>
                <w:rFonts w:hint="eastAsia" w:ascii="Times New Roman" w:hAnsi="Times New Roman" w:eastAsia="宋体" w:cs="Times New Roman"/>
                <w:color w:val="auto"/>
                <w:szCs w:val="21"/>
              </w:rPr>
              <w:t>。布袋每年更换一次，</w:t>
            </w:r>
            <w:r>
              <w:rPr>
                <w:rFonts w:hint="eastAsia" w:cs="Times New Roman"/>
                <w:color w:val="auto"/>
                <w:szCs w:val="21"/>
                <w:lang w:val="en-US" w:eastAsia="zh-CN"/>
              </w:rPr>
              <w:t>收集后出售</w:t>
            </w:r>
            <w:r>
              <w:rPr>
                <w:rFonts w:hint="eastAsia" w:ascii="Times New Roman" w:hAnsi="Times New Roman" w:eastAsia="宋体" w:cs="Times New Roman"/>
                <w:color w:val="auto"/>
                <w:szCs w:val="21"/>
              </w:rPr>
              <w:t>。</w:t>
            </w:r>
          </w:p>
          <w:p w14:paraId="4A4241C0">
            <w:pPr>
              <w:tabs>
                <w:tab w:val="left" w:pos="567"/>
                <w:tab w:val="left" w:pos="1843"/>
              </w:tabs>
              <w:adjustRightInd w:val="0"/>
              <w:snapToGrid w:val="0"/>
              <w:spacing w:line="360" w:lineRule="auto"/>
              <w:ind w:firstLine="48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危险废物：</w:t>
            </w:r>
          </w:p>
          <w:p w14:paraId="5F99A206">
            <w:pPr>
              <w:tabs>
                <w:tab w:val="left" w:pos="567"/>
                <w:tab w:val="left" w:pos="1843"/>
              </w:tabs>
              <w:adjustRightInd w:val="0"/>
              <w:snapToGrid w:val="0"/>
              <w:spacing w:line="360" w:lineRule="auto"/>
              <w:ind w:firstLine="48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炉渣：</w:t>
            </w:r>
          </w:p>
          <w:p w14:paraId="62D40626">
            <w:pPr>
              <w:tabs>
                <w:tab w:val="left" w:pos="567"/>
                <w:tab w:val="left" w:pos="1843"/>
              </w:tabs>
              <w:adjustRightInd w:val="0"/>
              <w:snapToGrid w:val="0"/>
              <w:spacing w:line="360" w:lineRule="auto"/>
              <w:ind w:firstLine="48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根据企业实际生产经验，熔化炉会产生铝渣以及铝液表面产生废氧化皮，需定期清理，按照生产产量折算，炉渣产生量约为3t/a。属于危险废物，对照</w:t>
            </w:r>
            <w:r>
              <w:rPr>
                <w:rFonts w:hint="eastAsia" w:cs="Times New Roman"/>
                <w:color w:val="auto"/>
                <w:szCs w:val="21"/>
                <w:lang w:val="en-US" w:eastAsia="zh-CN"/>
              </w:rPr>
              <w:t>《国家危险废物名录》（2025年版）</w:t>
            </w:r>
            <w:r>
              <w:rPr>
                <w:rFonts w:hint="eastAsia" w:ascii="Times New Roman" w:hAnsi="Times New Roman" w:eastAsia="宋体" w:cs="Times New Roman"/>
                <w:color w:val="auto"/>
                <w:szCs w:val="21"/>
                <w:lang w:val="en-US" w:eastAsia="zh-CN"/>
              </w:rPr>
              <w:t>，编号为HW48（321-026-48），为铸造熔体表面产生的铝灰渣，委托有资质单位处置。</w:t>
            </w:r>
          </w:p>
          <w:p w14:paraId="3EB05328">
            <w:pPr>
              <w:keepNext w:val="0"/>
              <w:keepLines w:val="0"/>
              <w:pageBreakBefore w:val="0"/>
              <w:widowControl w:val="0"/>
              <w:tabs>
                <w:tab w:val="left" w:pos="567"/>
                <w:tab w:val="left" w:pos="1843"/>
              </w:tabs>
              <w:kinsoku/>
              <w:wordWrap/>
              <w:overflowPunct/>
              <w:topLinePunct w:val="0"/>
              <w:autoSpaceDE/>
              <w:autoSpaceDN/>
              <w:bidi w:val="0"/>
              <w:adjustRightInd w:val="0"/>
              <w:snapToGrid w:val="0"/>
              <w:spacing w:line="360" w:lineRule="auto"/>
              <w:ind w:firstLine="480"/>
              <w:textAlignment w:val="auto"/>
              <w:rPr>
                <w:color w:val="auto"/>
                <w:szCs w:val="21"/>
              </w:rPr>
            </w:pPr>
            <w:r>
              <w:rPr>
                <w:rFonts w:hint="eastAsia"/>
                <w:color w:val="auto"/>
                <w:szCs w:val="21"/>
              </w:rPr>
              <w:t>（2）废油：</w:t>
            </w:r>
          </w:p>
          <w:p w14:paraId="0AF95D0E">
            <w:pPr>
              <w:tabs>
                <w:tab w:val="left" w:pos="567"/>
                <w:tab w:val="left" w:pos="1843"/>
              </w:tabs>
              <w:adjustRightInd w:val="0"/>
              <w:snapToGrid w:val="0"/>
              <w:spacing w:line="360" w:lineRule="auto"/>
              <w:ind w:firstLine="480"/>
              <w:rPr>
                <w:rFonts w:hint="eastAsia" w:eastAsia="宋体"/>
                <w:color w:val="auto"/>
                <w:szCs w:val="21"/>
                <w:lang w:eastAsia="zh-CN"/>
              </w:rPr>
            </w:pPr>
            <w:r>
              <w:rPr>
                <w:rFonts w:hint="eastAsia"/>
                <w:color w:val="auto"/>
                <w:szCs w:val="21"/>
              </w:rPr>
              <w:t>项目设备保养过程使用润滑油，会产生废油，根据业主提供材料，废机油年产生量约0.5t/a</w:t>
            </w:r>
            <w:r>
              <w:rPr>
                <w:rFonts w:hint="eastAsia"/>
                <w:color w:val="auto"/>
                <w:szCs w:val="21"/>
                <w:lang w:eastAsia="zh-CN"/>
              </w:rPr>
              <w:t>。</w:t>
            </w:r>
            <w:r>
              <w:rPr>
                <w:rFonts w:hint="eastAsia" w:ascii="Times New Roman" w:hAnsi="Times New Roman" w:eastAsia="宋体" w:cs="Times New Roman"/>
                <w:color w:val="auto"/>
                <w:szCs w:val="21"/>
                <w:lang w:val="en-US" w:eastAsia="zh-CN"/>
              </w:rPr>
              <w:t>属于危险废物，对照</w:t>
            </w:r>
            <w:r>
              <w:rPr>
                <w:rFonts w:hint="eastAsia" w:cs="Times New Roman"/>
                <w:color w:val="auto"/>
                <w:szCs w:val="21"/>
                <w:lang w:val="en-US" w:eastAsia="zh-CN"/>
              </w:rPr>
              <w:t>《国家危险废物名录》（2025年版）</w:t>
            </w:r>
            <w:r>
              <w:rPr>
                <w:rFonts w:hint="eastAsia" w:ascii="Times New Roman" w:hAnsi="Times New Roman" w:eastAsia="宋体" w:cs="Times New Roman"/>
                <w:color w:val="auto"/>
                <w:szCs w:val="21"/>
                <w:lang w:val="en-US" w:eastAsia="zh-CN"/>
              </w:rPr>
              <w:t>，编号为HW08（900-214-08），为器械维修过程中产生的废润滑油，委托有资质单位处置。</w:t>
            </w:r>
          </w:p>
          <w:p w14:paraId="58DF32D5">
            <w:pPr>
              <w:tabs>
                <w:tab w:val="left" w:pos="567"/>
                <w:tab w:val="left" w:pos="1843"/>
              </w:tabs>
              <w:adjustRightInd w:val="0"/>
              <w:snapToGrid w:val="0"/>
              <w:spacing w:line="360" w:lineRule="auto"/>
              <w:ind w:firstLine="480"/>
              <w:rPr>
                <w:rFonts w:hint="default"/>
                <w:color w:val="auto"/>
                <w:szCs w:val="21"/>
                <w:lang w:val="en-US" w:eastAsia="zh-CN"/>
              </w:rPr>
            </w:pPr>
            <w:r>
              <w:rPr>
                <w:rFonts w:hint="eastAsia"/>
                <w:color w:val="auto"/>
                <w:szCs w:val="21"/>
                <w:lang w:eastAsia="zh-CN"/>
              </w:rPr>
              <w:t>（</w:t>
            </w:r>
            <w:r>
              <w:rPr>
                <w:rFonts w:hint="eastAsia"/>
                <w:color w:val="auto"/>
                <w:szCs w:val="21"/>
                <w:lang w:val="en-US" w:eastAsia="zh-CN"/>
              </w:rPr>
              <w:t>3</w:t>
            </w:r>
            <w:r>
              <w:rPr>
                <w:rFonts w:hint="eastAsia"/>
                <w:color w:val="auto"/>
                <w:szCs w:val="21"/>
                <w:lang w:eastAsia="zh-CN"/>
              </w:rPr>
              <w:t>）</w:t>
            </w:r>
            <w:r>
              <w:rPr>
                <w:rFonts w:hint="eastAsia"/>
                <w:color w:val="auto"/>
                <w:szCs w:val="21"/>
                <w:lang w:val="en-US" w:eastAsia="zh-CN"/>
              </w:rPr>
              <w:t>熔融、打磨工序收集尘：熔融、打磨工序采用布袋除尘装置处理，未捕集到的粉尘产生量为7.569t/a（布袋收集量7.569t/a）。</w:t>
            </w:r>
            <w:r>
              <w:rPr>
                <w:rFonts w:hint="eastAsia" w:ascii="Times New Roman" w:hAnsi="Times New Roman" w:eastAsia="宋体" w:cs="Times New Roman"/>
                <w:color w:val="auto"/>
                <w:szCs w:val="21"/>
                <w:lang w:val="en-US" w:eastAsia="zh-CN"/>
              </w:rPr>
              <w:t>属于危险废物，对照</w:t>
            </w:r>
            <w:r>
              <w:rPr>
                <w:rFonts w:hint="eastAsia" w:cs="Times New Roman"/>
                <w:color w:val="auto"/>
                <w:szCs w:val="21"/>
                <w:lang w:val="en-US" w:eastAsia="zh-CN"/>
              </w:rPr>
              <w:t>《国家危险废物名录》（2025年版）</w:t>
            </w:r>
            <w:r>
              <w:rPr>
                <w:rFonts w:hint="eastAsia" w:ascii="Times New Roman" w:hAnsi="Times New Roman" w:eastAsia="宋体" w:cs="Times New Roman"/>
                <w:color w:val="auto"/>
                <w:szCs w:val="21"/>
                <w:lang w:val="en-US" w:eastAsia="zh-CN"/>
              </w:rPr>
              <w:t>，编号为HW48（321-034-48），为铸造烟尘除尘装置收集的粉尘，委托有资质单位处置。</w:t>
            </w:r>
          </w:p>
          <w:p w14:paraId="36517C3D">
            <w:pPr>
              <w:keepNext w:val="0"/>
              <w:keepLines w:val="0"/>
              <w:pageBreakBefore w:val="0"/>
              <w:widowControl w:val="0"/>
              <w:tabs>
                <w:tab w:val="left" w:pos="567"/>
                <w:tab w:val="left" w:pos="1843"/>
              </w:tabs>
              <w:kinsoku/>
              <w:wordWrap/>
              <w:overflowPunct/>
              <w:topLinePunct w:val="0"/>
              <w:autoSpaceDE/>
              <w:autoSpaceDN/>
              <w:bidi w:val="0"/>
              <w:adjustRightInd w:val="0"/>
              <w:snapToGrid w:val="0"/>
              <w:spacing w:line="360" w:lineRule="auto"/>
              <w:ind w:firstLine="480"/>
              <w:textAlignment w:val="auto"/>
              <w:rPr>
                <w:color w:val="auto"/>
                <w:szCs w:val="21"/>
              </w:rPr>
            </w:pPr>
            <w:r>
              <w:rPr>
                <w:rFonts w:hint="eastAsia"/>
                <w:color w:val="auto"/>
                <w:szCs w:val="21"/>
              </w:rPr>
              <w:t>（</w:t>
            </w:r>
            <w:r>
              <w:rPr>
                <w:rFonts w:hint="eastAsia"/>
                <w:color w:val="auto"/>
                <w:szCs w:val="21"/>
                <w:lang w:val="en-US" w:eastAsia="zh-CN"/>
              </w:rPr>
              <w:t>4</w:t>
            </w:r>
            <w:r>
              <w:rPr>
                <w:rFonts w:hint="eastAsia"/>
                <w:color w:val="auto"/>
                <w:szCs w:val="21"/>
              </w:rPr>
              <w:t>）废活性炭</w:t>
            </w:r>
          </w:p>
          <w:p w14:paraId="2B553DAB">
            <w:pPr>
              <w:keepNext w:val="0"/>
              <w:keepLines w:val="0"/>
              <w:pageBreakBefore w:val="0"/>
              <w:widowControl w:val="0"/>
              <w:tabs>
                <w:tab w:val="left" w:pos="567"/>
                <w:tab w:val="left" w:pos="1843"/>
              </w:tabs>
              <w:kinsoku/>
              <w:wordWrap/>
              <w:overflowPunct/>
              <w:topLinePunct w:val="0"/>
              <w:autoSpaceDE/>
              <w:autoSpaceDN/>
              <w:bidi w:val="0"/>
              <w:adjustRightInd w:val="0"/>
              <w:snapToGrid w:val="0"/>
              <w:spacing w:line="360" w:lineRule="auto"/>
              <w:ind w:firstLine="482"/>
              <w:textAlignment w:val="auto"/>
              <w:rPr>
                <w:rFonts w:hint="eastAsia"/>
                <w:color w:val="auto"/>
                <w:szCs w:val="21"/>
              </w:rPr>
            </w:pPr>
            <w:r>
              <w:rPr>
                <w:rFonts w:hint="eastAsia"/>
                <w:color w:val="auto"/>
                <w:szCs w:val="21"/>
              </w:rPr>
              <w:t>本项目</w:t>
            </w:r>
            <w:r>
              <w:rPr>
                <w:rFonts w:hint="eastAsia"/>
                <w:color w:val="auto"/>
                <w:szCs w:val="21"/>
                <w:lang w:val="en-US" w:eastAsia="zh-CN"/>
              </w:rPr>
              <w:t>制芯、浇注工序</w:t>
            </w:r>
            <w:r>
              <w:rPr>
                <w:rFonts w:hint="eastAsia"/>
                <w:color w:val="auto"/>
                <w:szCs w:val="21"/>
              </w:rPr>
              <w:t>产生的有机废气采用活性炭进行吸附和净化，装置中的活性炭需要定期更换，根据前文工程计算，</w:t>
            </w:r>
            <w:r>
              <w:rPr>
                <w:rFonts w:hint="eastAsia"/>
                <w:color w:val="auto"/>
                <w:szCs w:val="21"/>
                <w:lang w:val="en-US" w:eastAsia="zh-CN"/>
              </w:rPr>
              <w:t>制芯、浇注工序二级活性炭吸附装置每三个月</w:t>
            </w:r>
            <w:r>
              <w:rPr>
                <w:rFonts w:hint="eastAsia" w:ascii="Times New Roman" w:hAnsi="Times New Roman" w:eastAsia="宋体" w:cs="Times New Roman"/>
                <w:color w:val="auto"/>
                <w:szCs w:val="21"/>
                <w:lang w:val="en-US" w:eastAsia="zh-CN"/>
              </w:rPr>
              <w:t>更换一次</w:t>
            </w:r>
            <w:r>
              <w:rPr>
                <w:rFonts w:hint="eastAsia" w:ascii="Times New Roman" w:hAnsi="Times New Roman" w:eastAsia="宋体" w:cs="Times New Roman"/>
                <w:color w:val="auto"/>
                <w:szCs w:val="21"/>
              </w:rPr>
              <w:t>，则</w:t>
            </w:r>
            <w:r>
              <w:rPr>
                <w:rFonts w:hint="eastAsia" w:ascii="Times New Roman" w:hAnsi="Times New Roman" w:eastAsia="宋体" w:cs="Times New Roman"/>
                <w:color w:val="auto"/>
                <w:szCs w:val="21"/>
                <w:lang w:val="en-US" w:eastAsia="zh-CN"/>
              </w:rPr>
              <w:t>需每年更更换量为3.</w:t>
            </w:r>
            <w:r>
              <w:rPr>
                <w:rFonts w:hint="eastAsia" w:cs="Times New Roman"/>
                <w:color w:val="auto"/>
                <w:szCs w:val="21"/>
                <w:lang w:val="en-US" w:eastAsia="zh-CN"/>
              </w:rPr>
              <w:t>78</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2</w:t>
            </w:r>
            <w:r>
              <w:rPr>
                <w:rFonts w:hint="eastAsia" w:ascii="Times New Roman" w:hAnsi="Times New Roman" w:eastAsia="宋体" w:cs="Times New Roman"/>
                <w:color w:val="auto"/>
                <w:szCs w:val="21"/>
              </w:rPr>
              <w:t>*4=</w:t>
            </w:r>
            <w:r>
              <w:rPr>
                <w:rFonts w:hint="eastAsia" w:ascii="Times New Roman" w:hAnsi="Times New Roman" w:eastAsia="宋体" w:cs="Times New Roman"/>
                <w:color w:val="auto"/>
                <w:szCs w:val="21"/>
                <w:lang w:val="en-US" w:eastAsia="zh-CN"/>
              </w:rPr>
              <w:t>3</w:t>
            </w:r>
            <w:r>
              <w:rPr>
                <w:rFonts w:hint="eastAsia" w:cs="Times New Roman"/>
                <w:color w:val="auto"/>
                <w:szCs w:val="21"/>
                <w:lang w:val="en-US" w:eastAsia="zh-CN"/>
              </w:rPr>
              <w:t>0.24</w:t>
            </w:r>
            <w:r>
              <w:rPr>
                <w:rFonts w:hint="eastAsia" w:ascii="Times New Roman" w:hAnsi="Times New Roman" w:eastAsia="宋体" w:cs="Times New Roman"/>
                <w:color w:val="auto"/>
                <w:szCs w:val="21"/>
              </w:rPr>
              <w:t>t/a，</w:t>
            </w:r>
            <w:r>
              <w:rPr>
                <w:rFonts w:hint="eastAsia"/>
                <w:color w:val="auto"/>
                <w:szCs w:val="21"/>
              </w:rPr>
              <w:t>则废活性炭的产生量约为</w:t>
            </w:r>
            <w:r>
              <w:rPr>
                <w:rFonts w:hint="eastAsia"/>
                <w:color w:val="auto"/>
                <w:szCs w:val="21"/>
                <w:lang w:val="en-US" w:eastAsia="zh-CN"/>
              </w:rPr>
              <w:t>31.5741</w:t>
            </w:r>
            <w:r>
              <w:rPr>
                <w:color w:val="auto"/>
                <w:szCs w:val="21"/>
              </w:rPr>
              <w:t>t/a</w:t>
            </w:r>
            <w:r>
              <w:rPr>
                <w:rFonts w:hint="eastAsia"/>
                <w:color w:val="auto"/>
                <w:szCs w:val="21"/>
              </w:rPr>
              <w:t>（含吸附的有机废气</w:t>
            </w:r>
            <w:r>
              <w:rPr>
                <w:rFonts w:hint="eastAsia"/>
                <w:color w:val="auto"/>
                <w:szCs w:val="21"/>
                <w:lang w:val="en-US" w:eastAsia="zh-CN"/>
              </w:rPr>
              <w:t>1.3141t</w:t>
            </w:r>
            <w:r>
              <w:rPr>
                <w:rFonts w:hint="eastAsia"/>
                <w:color w:val="auto"/>
                <w:szCs w:val="21"/>
              </w:rPr>
              <w:t>）</w:t>
            </w:r>
            <w:r>
              <w:rPr>
                <w:rFonts w:hint="eastAsia"/>
                <w:color w:val="auto"/>
                <w:szCs w:val="21"/>
                <w:lang w:val="en-US" w:eastAsia="zh-CN"/>
              </w:rPr>
              <w:t>。</w:t>
            </w:r>
            <w:r>
              <w:rPr>
                <w:rFonts w:hint="eastAsia"/>
                <w:color w:val="auto"/>
                <w:szCs w:val="21"/>
              </w:rPr>
              <w:t>属于危险废物，对照</w:t>
            </w:r>
            <w:r>
              <w:rPr>
                <w:rFonts w:hint="eastAsia"/>
                <w:color w:val="auto"/>
                <w:szCs w:val="21"/>
                <w:lang w:eastAsia="zh-CN"/>
              </w:rPr>
              <w:t>《国家危险废物名录》（2025年版）</w:t>
            </w:r>
            <w:r>
              <w:rPr>
                <w:rFonts w:hint="eastAsia"/>
                <w:color w:val="auto"/>
                <w:szCs w:val="21"/>
              </w:rPr>
              <w:t>，编号为</w:t>
            </w:r>
            <w:r>
              <w:rPr>
                <w:color w:val="auto"/>
                <w:szCs w:val="21"/>
              </w:rPr>
              <w:t>HW49</w:t>
            </w:r>
            <w:r>
              <w:rPr>
                <w:rFonts w:hint="eastAsia"/>
                <w:color w:val="auto"/>
                <w:szCs w:val="21"/>
              </w:rPr>
              <w:t>（</w:t>
            </w:r>
            <w:r>
              <w:rPr>
                <w:color w:val="auto"/>
                <w:szCs w:val="21"/>
              </w:rPr>
              <w:t>900-039-49</w:t>
            </w:r>
            <w:r>
              <w:rPr>
                <w:rFonts w:hint="eastAsia"/>
                <w:color w:val="auto"/>
                <w:szCs w:val="21"/>
              </w:rPr>
              <w:t>），为</w:t>
            </w:r>
            <w:r>
              <w:rPr>
                <w:color w:val="auto"/>
                <w:szCs w:val="21"/>
              </w:rPr>
              <w:t>VOCs</w:t>
            </w:r>
            <w:r>
              <w:rPr>
                <w:rFonts w:hint="eastAsia"/>
                <w:color w:val="auto"/>
                <w:szCs w:val="21"/>
              </w:rPr>
              <w:t>治理过程（不包括餐饮</w:t>
            </w:r>
            <w:r>
              <w:rPr>
                <w:rFonts w:hint="eastAsia" w:ascii="微软雅黑" w:hAnsi="微软雅黑" w:eastAsia="微软雅黑" w:cs="微软雅黑"/>
                <w:color w:val="auto"/>
                <w:szCs w:val="21"/>
              </w:rPr>
              <w:t>⾏</w:t>
            </w:r>
            <w:r>
              <w:rPr>
                <w:rFonts w:hint="eastAsia" w:ascii="宋体" w:hAnsi="宋体" w:cs="宋体"/>
                <w:color w:val="auto"/>
                <w:szCs w:val="21"/>
              </w:rPr>
              <w:t>业油烟治理过程）产生的废活性炭，委托有资质单位处置</w:t>
            </w:r>
            <w:r>
              <w:rPr>
                <w:rFonts w:hint="eastAsia"/>
                <w:color w:val="auto"/>
                <w:szCs w:val="21"/>
              </w:rPr>
              <w:t>。</w:t>
            </w:r>
          </w:p>
          <w:p w14:paraId="643A2717">
            <w:pPr>
              <w:tabs>
                <w:tab w:val="left" w:pos="567"/>
                <w:tab w:val="left" w:pos="1843"/>
              </w:tabs>
              <w:adjustRightInd w:val="0"/>
              <w:snapToGrid w:val="0"/>
              <w:spacing w:line="360" w:lineRule="auto"/>
              <w:ind w:firstLine="420" w:firstLineChars="200"/>
              <w:rPr>
                <w:color w:val="auto"/>
                <w:szCs w:val="21"/>
              </w:rPr>
            </w:pPr>
            <w:r>
              <w:rPr>
                <w:rFonts w:hint="eastAsia"/>
                <w:color w:val="auto"/>
                <w:szCs w:val="21"/>
              </w:rPr>
              <w:t>（</w:t>
            </w:r>
            <w:r>
              <w:rPr>
                <w:rFonts w:hint="eastAsia"/>
                <w:color w:val="auto"/>
                <w:szCs w:val="21"/>
                <w:lang w:val="en-US" w:eastAsia="zh-CN"/>
              </w:rPr>
              <w:t>5</w:t>
            </w:r>
            <w:r>
              <w:rPr>
                <w:rFonts w:hint="eastAsia"/>
                <w:color w:val="auto"/>
                <w:szCs w:val="21"/>
              </w:rPr>
              <w:t>）废包装桶</w:t>
            </w:r>
          </w:p>
          <w:p w14:paraId="67760461">
            <w:pPr>
              <w:tabs>
                <w:tab w:val="left" w:pos="567"/>
                <w:tab w:val="left" w:pos="1843"/>
              </w:tabs>
              <w:adjustRightInd w:val="0"/>
              <w:snapToGrid w:val="0"/>
              <w:spacing w:line="360" w:lineRule="auto"/>
              <w:ind w:firstLine="420" w:firstLineChars="200"/>
              <w:rPr>
                <w:color w:val="auto"/>
                <w:szCs w:val="21"/>
              </w:rPr>
            </w:pPr>
            <w:r>
              <w:rPr>
                <w:rFonts w:hint="eastAsia"/>
                <w:color w:val="auto"/>
                <w:szCs w:val="21"/>
              </w:rPr>
              <w:t>项目年用润滑油0.5t/a（25kg/桶），年用</w:t>
            </w:r>
            <w:r>
              <w:rPr>
                <w:rFonts w:hint="eastAsia"/>
                <w:color w:val="auto"/>
                <w:szCs w:val="21"/>
                <w:lang w:val="en-US" w:eastAsia="zh-CN"/>
              </w:rPr>
              <w:t>2</w:t>
            </w:r>
            <w:r>
              <w:rPr>
                <w:rFonts w:hint="eastAsia"/>
                <w:color w:val="auto"/>
                <w:szCs w:val="21"/>
              </w:rPr>
              <w:t>0桶，桶重按1kg计</w:t>
            </w:r>
            <w:r>
              <w:rPr>
                <w:rFonts w:hint="eastAsia"/>
                <w:color w:val="auto"/>
                <w:szCs w:val="21"/>
                <w:lang w:eastAsia="zh-CN"/>
              </w:rPr>
              <w:t>；</w:t>
            </w:r>
            <w:r>
              <w:rPr>
                <w:rFonts w:hint="eastAsia"/>
                <w:color w:val="auto"/>
                <w:szCs w:val="21"/>
                <w:lang w:val="en-US" w:eastAsia="zh-CN"/>
              </w:rPr>
              <w:t>年用脱模剂40kg（2kg/桶），年用20桶，桶重按0.2kg计</w:t>
            </w:r>
            <w:r>
              <w:rPr>
                <w:rFonts w:hint="eastAsia"/>
                <w:color w:val="auto"/>
                <w:szCs w:val="21"/>
                <w:lang w:eastAsia="zh-CN"/>
              </w:rPr>
              <w:t>；</w:t>
            </w:r>
            <w:r>
              <w:rPr>
                <w:rFonts w:hint="eastAsia"/>
                <w:color w:val="auto"/>
                <w:szCs w:val="21"/>
              </w:rPr>
              <w:t>项目年用</w:t>
            </w:r>
            <w:r>
              <w:rPr>
                <w:rFonts w:hint="eastAsia"/>
                <w:color w:val="auto"/>
                <w:szCs w:val="21"/>
                <w:lang w:val="en-US" w:eastAsia="zh-CN"/>
              </w:rPr>
              <w:t>切削液</w:t>
            </w:r>
            <w:r>
              <w:rPr>
                <w:rFonts w:hint="eastAsia"/>
                <w:color w:val="auto"/>
                <w:szCs w:val="21"/>
              </w:rPr>
              <w:t>0.5t/a（25kg/桶），年用</w:t>
            </w:r>
            <w:r>
              <w:rPr>
                <w:rFonts w:hint="eastAsia"/>
                <w:color w:val="auto"/>
                <w:szCs w:val="21"/>
                <w:lang w:val="en-US" w:eastAsia="zh-CN"/>
              </w:rPr>
              <w:t>2</w:t>
            </w:r>
            <w:r>
              <w:rPr>
                <w:rFonts w:hint="eastAsia"/>
                <w:color w:val="auto"/>
                <w:szCs w:val="21"/>
              </w:rPr>
              <w:t>0桶，桶重按1kg计</w:t>
            </w:r>
            <w:r>
              <w:rPr>
                <w:rFonts w:hint="eastAsia"/>
                <w:color w:val="auto"/>
                <w:szCs w:val="21"/>
                <w:lang w:eastAsia="zh-CN"/>
              </w:rPr>
              <w:t>；</w:t>
            </w:r>
            <w:r>
              <w:rPr>
                <w:rFonts w:hint="eastAsia"/>
                <w:color w:val="auto"/>
                <w:szCs w:val="21"/>
              </w:rPr>
              <w:t>项目年用</w:t>
            </w:r>
            <w:r>
              <w:rPr>
                <w:rFonts w:hint="eastAsia"/>
                <w:color w:val="auto"/>
                <w:szCs w:val="21"/>
                <w:lang w:val="en-US" w:eastAsia="zh-CN"/>
              </w:rPr>
              <w:t>打渣剂3</w:t>
            </w:r>
            <w:r>
              <w:rPr>
                <w:rFonts w:hint="eastAsia"/>
                <w:color w:val="auto"/>
                <w:szCs w:val="21"/>
              </w:rPr>
              <w:t>t/a（25kg/桶），年用</w:t>
            </w:r>
            <w:r>
              <w:rPr>
                <w:rFonts w:hint="eastAsia"/>
                <w:color w:val="auto"/>
                <w:szCs w:val="21"/>
                <w:lang w:val="en-US" w:eastAsia="zh-CN"/>
              </w:rPr>
              <w:t>12</w:t>
            </w:r>
            <w:r>
              <w:rPr>
                <w:rFonts w:hint="eastAsia"/>
                <w:color w:val="auto"/>
                <w:szCs w:val="21"/>
              </w:rPr>
              <w:t>0桶，桶重按1kg计</w:t>
            </w:r>
            <w:r>
              <w:rPr>
                <w:rFonts w:hint="eastAsia"/>
                <w:color w:val="auto"/>
                <w:szCs w:val="21"/>
                <w:lang w:eastAsia="zh-CN"/>
              </w:rPr>
              <w:t>；</w:t>
            </w:r>
            <w:r>
              <w:rPr>
                <w:rFonts w:hint="eastAsia"/>
                <w:color w:val="auto"/>
                <w:szCs w:val="21"/>
              </w:rPr>
              <w:t>则废</w:t>
            </w:r>
            <w:r>
              <w:rPr>
                <w:rFonts w:hint="eastAsia"/>
                <w:color w:val="auto"/>
                <w:szCs w:val="21"/>
                <w:lang w:val="en-US" w:eastAsia="zh-CN"/>
              </w:rPr>
              <w:t>包装</w:t>
            </w:r>
            <w:r>
              <w:rPr>
                <w:rFonts w:hint="eastAsia"/>
                <w:color w:val="auto"/>
                <w:szCs w:val="21"/>
              </w:rPr>
              <w:t>桶年产生量约0.</w:t>
            </w:r>
            <w:r>
              <w:rPr>
                <w:rFonts w:hint="eastAsia"/>
                <w:color w:val="auto"/>
                <w:szCs w:val="21"/>
                <w:lang w:val="en-US" w:eastAsia="zh-CN"/>
              </w:rPr>
              <w:t>164</w:t>
            </w:r>
            <w:r>
              <w:rPr>
                <w:rFonts w:hint="eastAsia"/>
                <w:color w:val="auto"/>
                <w:szCs w:val="21"/>
              </w:rPr>
              <w:t>t/a。</w:t>
            </w:r>
            <w:r>
              <w:rPr>
                <w:rFonts w:hint="eastAsia" w:ascii="Times New Roman" w:hAnsi="Times New Roman" w:eastAsia="宋体" w:cs="Times New Roman"/>
                <w:color w:val="auto"/>
                <w:szCs w:val="21"/>
                <w:lang w:val="en-US" w:eastAsia="zh-CN"/>
              </w:rPr>
              <w:t>属于危险废物，对照</w:t>
            </w:r>
            <w:r>
              <w:rPr>
                <w:rFonts w:hint="eastAsia" w:cs="Times New Roman"/>
                <w:color w:val="auto"/>
                <w:szCs w:val="21"/>
                <w:lang w:val="en-US" w:eastAsia="zh-CN"/>
              </w:rPr>
              <w:t>《国家危险废物名录》（2025年版）</w:t>
            </w:r>
            <w:r>
              <w:rPr>
                <w:rFonts w:hint="eastAsia" w:ascii="Times New Roman" w:hAnsi="Times New Roman" w:eastAsia="宋体" w:cs="Times New Roman"/>
                <w:color w:val="auto"/>
                <w:szCs w:val="21"/>
                <w:lang w:val="en-US" w:eastAsia="zh-CN"/>
              </w:rPr>
              <w:t>，编号为HW08（900-249-08），为沾染危险废物的废弃包装物，委托有资质单位处置。</w:t>
            </w:r>
          </w:p>
          <w:p w14:paraId="1C355ED2">
            <w:pPr>
              <w:tabs>
                <w:tab w:val="left" w:pos="567"/>
                <w:tab w:val="left" w:pos="1843"/>
              </w:tabs>
              <w:adjustRightInd w:val="0"/>
              <w:snapToGrid w:val="0"/>
              <w:spacing w:line="360" w:lineRule="auto"/>
              <w:ind w:firstLine="420" w:firstLineChars="200"/>
              <w:rPr>
                <w:rFonts w:hint="eastAsia"/>
                <w:color w:val="auto"/>
                <w:szCs w:val="21"/>
              </w:rPr>
            </w:pPr>
          </w:p>
          <w:p w14:paraId="0402C840">
            <w:pPr>
              <w:tabs>
                <w:tab w:val="left" w:pos="567"/>
                <w:tab w:val="left" w:pos="1843"/>
              </w:tabs>
              <w:adjustRightInd w:val="0"/>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沾染危废的</w:t>
            </w:r>
            <w:r>
              <w:rPr>
                <w:rFonts w:hint="eastAsia"/>
                <w:color w:val="auto"/>
                <w:szCs w:val="21"/>
              </w:rPr>
              <w:t>废布袋：本项目</w:t>
            </w:r>
            <w:r>
              <w:rPr>
                <w:rFonts w:hint="eastAsia"/>
                <w:color w:val="auto"/>
                <w:szCs w:val="21"/>
                <w:lang w:val="en-US" w:eastAsia="zh-CN"/>
              </w:rPr>
              <w:t>熔融、打磨</w:t>
            </w:r>
            <w:r>
              <w:rPr>
                <w:rFonts w:ascii="Times New Roman" w:hAnsi="Times New Roman" w:eastAsia="宋体" w:cs="Times New Roman"/>
                <w:color w:val="auto"/>
                <w:szCs w:val="21"/>
              </w:rPr>
              <w:t>工序</w:t>
            </w:r>
            <w:r>
              <w:rPr>
                <w:rFonts w:hint="eastAsia" w:ascii="Times New Roman" w:hAnsi="Times New Roman" w:eastAsia="宋体" w:cs="Times New Roman"/>
                <w:color w:val="auto"/>
                <w:szCs w:val="21"/>
              </w:rPr>
              <w:t>使用</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台袋式除尘装置</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过滤面积为</w:t>
            </w:r>
            <w:r>
              <w:rPr>
                <w:rFonts w:hint="eastAsia" w:cs="Times New Roman"/>
                <w:color w:val="auto"/>
                <w:szCs w:val="21"/>
                <w:lang w:val="en-US" w:eastAsia="zh-CN"/>
              </w:rPr>
              <w:t>187</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vertAlign w:val="baseline"/>
              </w:rPr>
              <w:t>，</w:t>
            </w:r>
            <w:r>
              <w:rPr>
                <w:rFonts w:hint="eastAsia" w:ascii="Times New Roman" w:hAnsi="Times New Roman" w:eastAsia="宋体" w:cs="Times New Roman"/>
                <w:color w:val="auto"/>
                <w:szCs w:val="21"/>
              </w:rPr>
              <w:t>重量800g/m</w:t>
            </w:r>
            <w:r>
              <w:rPr>
                <w:rFonts w:hint="eastAsia"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，则废布袋产生量0.</w:t>
            </w:r>
            <w:r>
              <w:rPr>
                <w:rFonts w:hint="eastAsia" w:ascii="Times New Roman" w:hAnsi="Times New Roman" w:eastAsia="宋体" w:cs="Times New Roman"/>
                <w:color w:val="auto"/>
                <w:szCs w:val="21"/>
                <w:lang w:val="en-US" w:eastAsia="zh-CN"/>
              </w:rPr>
              <w:t>1</w:t>
            </w:r>
            <w:r>
              <w:rPr>
                <w:rFonts w:hint="eastAsia" w:cs="Times New Roman"/>
                <w:color w:val="auto"/>
                <w:szCs w:val="21"/>
                <w:lang w:val="en-US" w:eastAsia="zh-CN"/>
              </w:rPr>
              <w:t>496</w:t>
            </w:r>
            <w:r>
              <w:rPr>
                <w:rFonts w:hint="eastAsia" w:ascii="Times New Roman" w:hAnsi="Times New Roman" w:eastAsia="宋体" w:cs="Times New Roman"/>
                <w:color w:val="auto"/>
                <w:szCs w:val="21"/>
              </w:rPr>
              <w:t>t</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因沾染</w:t>
            </w:r>
            <w:r>
              <w:rPr>
                <w:rFonts w:hint="eastAsia" w:cs="Times New Roman"/>
                <w:color w:val="auto"/>
                <w:szCs w:val="21"/>
                <w:lang w:val="en-US" w:eastAsia="zh-CN"/>
              </w:rPr>
              <w:t>熔融、打磨</w:t>
            </w:r>
            <w:r>
              <w:rPr>
                <w:rFonts w:hint="eastAsia" w:ascii="Times New Roman" w:hAnsi="Times New Roman" w:eastAsia="宋体" w:cs="Times New Roman"/>
                <w:color w:val="auto"/>
                <w:szCs w:val="21"/>
                <w:lang w:val="en-US" w:eastAsia="zh-CN"/>
              </w:rPr>
              <w:t>工序的粉尘（铝粉），作为危废处理</w:t>
            </w:r>
            <w:r>
              <w:rPr>
                <w:rFonts w:hint="eastAsia" w:ascii="Times New Roman" w:hAnsi="Times New Roman" w:eastAsia="宋体" w:cs="Times New Roman"/>
                <w:color w:val="auto"/>
                <w:szCs w:val="21"/>
              </w:rPr>
              <w:t>，布袋每年更换一次。</w:t>
            </w:r>
            <w:r>
              <w:rPr>
                <w:rFonts w:hint="eastAsia" w:ascii="Times New Roman" w:hAnsi="Times New Roman" w:eastAsia="宋体" w:cs="Times New Roman"/>
                <w:color w:val="auto"/>
                <w:szCs w:val="21"/>
                <w:lang w:val="en-US" w:eastAsia="zh-CN"/>
              </w:rPr>
              <w:t>属于危险废物，对照</w:t>
            </w:r>
            <w:r>
              <w:rPr>
                <w:rFonts w:hint="eastAsia" w:cs="Times New Roman"/>
                <w:color w:val="auto"/>
                <w:szCs w:val="21"/>
                <w:lang w:val="en-US" w:eastAsia="zh-CN"/>
              </w:rPr>
              <w:t>《国家危险废物名录》（2025年版）</w:t>
            </w:r>
            <w:r>
              <w:rPr>
                <w:rFonts w:hint="eastAsia" w:ascii="Times New Roman" w:hAnsi="Times New Roman" w:eastAsia="宋体" w:cs="Times New Roman"/>
                <w:color w:val="auto"/>
                <w:szCs w:val="21"/>
                <w:lang w:val="en-US" w:eastAsia="zh-CN"/>
              </w:rPr>
              <w:t>，编号为HW08（900-249-08），为沾染危险废物的容器、过滤吸附介质，委托有资质单位处置。</w:t>
            </w:r>
          </w:p>
          <w:p w14:paraId="003D2B01">
            <w:pPr>
              <w:tabs>
                <w:tab w:val="left" w:pos="567"/>
                <w:tab w:val="left" w:pos="1843"/>
              </w:tabs>
              <w:adjustRightInd w:val="0"/>
              <w:snapToGrid w:val="0"/>
              <w:spacing w:line="360" w:lineRule="auto"/>
              <w:ind w:firstLine="420" w:firstLineChars="200"/>
              <w:rPr>
                <w:rFonts w:hint="default"/>
                <w:color w:val="auto"/>
                <w:szCs w:val="21"/>
                <w:lang w:val="en-US" w:eastAsia="zh-CN" w:bidi="bo-CN"/>
              </w:rPr>
            </w:pPr>
            <w:r>
              <w:rPr>
                <w:rFonts w:hint="eastAsia"/>
                <w:b w:val="0"/>
                <w:bCs w:val="0"/>
                <w:color w:val="auto"/>
                <w:szCs w:val="21"/>
                <w:lang w:eastAsia="zh-CN"/>
              </w:rPr>
              <w:t>（</w:t>
            </w:r>
            <w:r>
              <w:rPr>
                <w:rFonts w:hint="eastAsia"/>
                <w:b w:val="0"/>
                <w:bCs w:val="0"/>
                <w:color w:val="auto"/>
                <w:szCs w:val="21"/>
                <w:lang w:val="en-US" w:eastAsia="zh-CN"/>
              </w:rPr>
              <w:t>7</w:t>
            </w:r>
            <w:r>
              <w:rPr>
                <w:rFonts w:hint="eastAsia"/>
                <w:b w:val="0"/>
                <w:bCs w:val="0"/>
                <w:color w:val="auto"/>
                <w:szCs w:val="21"/>
                <w:lang w:eastAsia="zh-CN"/>
              </w:rPr>
              <w:t>）</w:t>
            </w:r>
            <w:r>
              <w:rPr>
                <w:rFonts w:hint="eastAsia"/>
                <w:b w:val="0"/>
                <w:bCs w:val="0"/>
                <w:color w:val="auto"/>
                <w:szCs w:val="21"/>
                <w:lang w:val="en-US" w:eastAsia="zh-CN"/>
              </w:rPr>
              <w:t>含油铝屑：</w:t>
            </w:r>
            <w:r>
              <w:rPr>
                <w:rFonts w:hint="eastAsia"/>
                <w:color w:val="auto"/>
                <w:szCs w:val="21"/>
                <w:lang w:bidi="bo-CN"/>
              </w:rPr>
              <w:t>将工件根据需要在</w:t>
            </w:r>
            <w:r>
              <w:rPr>
                <w:rFonts w:hint="eastAsia"/>
                <w:color w:val="auto"/>
                <w:szCs w:val="21"/>
                <w:lang w:val="en-US" w:eastAsia="zh-CN" w:bidi="bo-CN"/>
              </w:rPr>
              <w:t>加工中心、</w:t>
            </w:r>
            <w:r>
              <w:rPr>
                <w:rFonts w:hint="eastAsia"/>
                <w:color w:val="auto"/>
                <w:szCs w:val="21"/>
                <w:lang w:bidi="bo-CN"/>
              </w:rPr>
              <w:t>钻床</w:t>
            </w:r>
            <w:r>
              <w:rPr>
                <w:rFonts w:hint="eastAsia"/>
                <w:color w:val="auto"/>
                <w:szCs w:val="21"/>
                <w:lang w:val="en-US" w:eastAsia="zh-CN" w:bidi="bo-CN"/>
              </w:rPr>
              <w:t>等</w:t>
            </w:r>
            <w:r>
              <w:rPr>
                <w:rFonts w:hint="eastAsia"/>
                <w:color w:val="auto"/>
                <w:szCs w:val="21"/>
                <w:lang w:bidi="bo-CN"/>
              </w:rPr>
              <w:t>设备上进行</w:t>
            </w:r>
            <w:r>
              <w:rPr>
                <w:rFonts w:hint="eastAsia"/>
                <w:color w:val="auto"/>
                <w:szCs w:val="21"/>
                <w:lang w:val="en-US" w:eastAsia="zh-CN" w:bidi="bo-CN"/>
              </w:rPr>
              <w:t>机</w:t>
            </w:r>
            <w:r>
              <w:rPr>
                <w:rFonts w:hint="eastAsia"/>
                <w:color w:val="auto"/>
                <w:szCs w:val="21"/>
                <w:lang w:bidi="bo-CN"/>
              </w:rPr>
              <w:t>加工，</w:t>
            </w:r>
            <w:r>
              <w:rPr>
                <w:rFonts w:hint="eastAsia"/>
                <w:color w:val="auto"/>
                <w:szCs w:val="21"/>
                <w:lang w:val="en-US" w:eastAsia="zh-CN" w:bidi="bo-CN"/>
              </w:rPr>
              <w:t>加工中心、钻床</w:t>
            </w:r>
            <w:r>
              <w:rPr>
                <w:rFonts w:hint="eastAsia"/>
                <w:color w:val="auto"/>
                <w:szCs w:val="21"/>
                <w:lang w:bidi="bo-CN"/>
              </w:rPr>
              <w:t>设备加工过程使用</w:t>
            </w:r>
            <w:r>
              <w:rPr>
                <w:rFonts w:hint="eastAsia"/>
                <w:color w:val="auto"/>
                <w:szCs w:val="21"/>
                <w:lang w:val="en-US" w:eastAsia="zh-CN" w:bidi="bo-CN"/>
              </w:rPr>
              <w:t>切削液</w:t>
            </w:r>
            <w:r>
              <w:rPr>
                <w:rFonts w:hint="eastAsia"/>
                <w:color w:val="auto"/>
                <w:szCs w:val="21"/>
                <w:lang w:bidi="bo-CN"/>
              </w:rPr>
              <w:t>冷却刀头</w:t>
            </w:r>
            <w:r>
              <w:rPr>
                <w:rFonts w:hint="eastAsia"/>
                <w:color w:val="auto"/>
                <w:szCs w:val="21"/>
                <w:lang w:eastAsia="zh-CN" w:bidi="bo-CN"/>
              </w:rPr>
              <w:t>，</w:t>
            </w:r>
            <w:r>
              <w:rPr>
                <w:rFonts w:hint="eastAsia"/>
                <w:color w:val="auto"/>
                <w:szCs w:val="21"/>
                <w:lang w:val="en-US" w:eastAsia="zh-CN" w:bidi="bo-CN"/>
              </w:rPr>
              <w:t>根据业主提供信息，机加工过程中产生0.5t/a</w:t>
            </w:r>
            <w:r>
              <w:rPr>
                <w:rFonts w:hint="eastAsia"/>
                <w:b w:val="0"/>
                <w:bCs w:val="0"/>
                <w:color w:val="auto"/>
                <w:szCs w:val="21"/>
                <w:lang w:val="en-US" w:eastAsia="zh-CN"/>
              </w:rPr>
              <w:t>含切削液铝屑</w:t>
            </w:r>
            <w:r>
              <w:rPr>
                <w:rFonts w:hint="eastAsia"/>
                <w:color w:val="auto"/>
                <w:szCs w:val="21"/>
                <w:lang w:val="en-US" w:eastAsia="zh-CN"/>
              </w:rPr>
              <w:t>。</w:t>
            </w:r>
            <w:r>
              <w:rPr>
                <w:rFonts w:hint="eastAsia" w:ascii="Times New Roman" w:hAnsi="Times New Roman" w:eastAsia="宋体" w:cs="Times New Roman"/>
                <w:color w:val="auto"/>
                <w:szCs w:val="21"/>
                <w:lang w:val="en-US" w:eastAsia="zh-CN"/>
              </w:rPr>
              <w:t>属于危险废物</w:t>
            </w:r>
            <w:r>
              <w:rPr>
                <w:rFonts w:hint="eastAsia"/>
                <w:color w:val="auto"/>
                <w:szCs w:val="21"/>
                <w:lang w:val="en-US" w:eastAsia="zh-CN" w:bidi="bo-CN"/>
              </w:rPr>
              <w:t>，对照《国家危险废物名录》（2025年版），编号为HW09（900-006-09），为使用切削液进行机械加工产生的含油铝屑，委托有资质单位处置。</w:t>
            </w:r>
          </w:p>
          <w:p w14:paraId="29FCB742">
            <w:pPr>
              <w:tabs>
                <w:tab w:val="left" w:pos="567"/>
                <w:tab w:val="left" w:pos="1843"/>
              </w:tabs>
              <w:adjustRightInd w:val="0"/>
              <w:snapToGrid w:val="0"/>
              <w:spacing w:line="360" w:lineRule="auto"/>
              <w:ind w:firstLine="420" w:firstLineChars="200"/>
              <w:rPr>
                <w:rFonts w:hint="default"/>
                <w:color w:val="auto"/>
                <w:szCs w:val="21"/>
                <w:lang w:val="en-US" w:eastAsia="zh-CN" w:bidi="bo-CN"/>
              </w:rPr>
            </w:pPr>
            <w:r>
              <w:rPr>
                <w:rFonts w:hint="eastAsia"/>
                <w:color w:val="auto"/>
                <w:szCs w:val="21"/>
                <w:lang w:eastAsia="zh-CN" w:bidi="bo-CN"/>
              </w:rPr>
              <w:t>（</w:t>
            </w:r>
            <w:r>
              <w:rPr>
                <w:rFonts w:hint="eastAsia"/>
                <w:color w:val="auto"/>
                <w:szCs w:val="21"/>
                <w:lang w:val="en-US" w:eastAsia="zh-CN" w:bidi="bo-CN"/>
              </w:rPr>
              <w:t>8</w:t>
            </w:r>
            <w:r>
              <w:rPr>
                <w:rFonts w:hint="eastAsia"/>
                <w:color w:val="auto"/>
                <w:szCs w:val="21"/>
                <w:lang w:eastAsia="zh-CN" w:bidi="bo-CN"/>
              </w:rPr>
              <w:t>）</w:t>
            </w:r>
            <w:r>
              <w:rPr>
                <w:rFonts w:hint="eastAsia"/>
                <w:color w:val="auto"/>
                <w:szCs w:val="21"/>
                <w:lang w:val="en-US" w:eastAsia="zh-CN" w:bidi="bo-CN"/>
              </w:rPr>
              <w:t>废液：项目热处理冷却废水、超声波清洗废水定期作为危废处理，根据前文计算，废液产生量为10.9t/a。项目热处理工序之后冷却水直接接触产品冷却，因浇注时喷洒少量脱膜剂，按最不利因素考虑，冷却过程中会产生少量油/水混合物；超声波清洗工序前的机加工工序涉及切削液，超声波清洗过程中会产生的油/水、烃/水混合物或乳化液，对照《国家危险废物名录》（2025年版），均属于危险废物，编号为HW09（900-007-09），委托有资质单位处置。</w:t>
            </w:r>
          </w:p>
          <w:p w14:paraId="4AC03277">
            <w:pPr>
              <w:tabs>
                <w:tab w:val="left" w:pos="567"/>
                <w:tab w:val="left" w:pos="1843"/>
              </w:tabs>
              <w:adjustRightInd w:val="0"/>
              <w:snapToGrid w:val="0"/>
              <w:spacing w:line="360" w:lineRule="auto"/>
              <w:ind w:firstLine="420" w:firstLineChars="200"/>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b w:val="0"/>
                <w:bCs w:val="0"/>
                <w:color w:val="auto"/>
                <w:szCs w:val="21"/>
                <w:lang w:eastAsia="zh-CN"/>
              </w:rPr>
              <w:t>（</w:t>
            </w:r>
            <w:r>
              <w:rPr>
                <w:rFonts w:hint="eastAsia" w:cs="Times New Roman"/>
                <w:b w:val="0"/>
                <w:bCs w:val="0"/>
                <w:color w:val="auto"/>
                <w:szCs w:val="21"/>
                <w:lang w:val="en-US" w:eastAsia="zh-CN"/>
              </w:rPr>
              <w:t>9</w:t>
            </w:r>
            <w:r>
              <w:rPr>
                <w:rFonts w:hint="eastAsia" w:ascii="Times New Roman" w:hAnsi="Times New Roman" w:eastAsia="宋体" w:cs="Times New Roman"/>
                <w:b w:val="0"/>
                <w:bCs w:val="0"/>
                <w:color w:val="auto"/>
                <w:szCs w:val="21"/>
                <w:lang w:eastAsia="zh-CN"/>
              </w:rPr>
              <w:t>）</w:t>
            </w:r>
            <w:r>
              <w:rPr>
                <w:rFonts w:hint="eastAsia" w:ascii="Times New Roman" w:hAnsi="Times New Roman" w:eastAsia="宋体" w:cs="Times New Roman"/>
                <w:b w:val="0"/>
                <w:bCs w:val="0"/>
                <w:color w:val="auto"/>
                <w:szCs w:val="21"/>
                <w:lang w:val="en-US" w:eastAsia="zh-CN"/>
              </w:rPr>
              <w:t>废切削液：</w:t>
            </w:r>
            <w:r>
              <w:rPr>
                <w:rFonts w:hint="eastAsia" w:hAnsi="宋体" w:eastAsia="宋体"/>
                <w:color w:val="auto"/>
                <w:szCs w:val="21"/>
                <w:lang w:val="en-US" w:eastAsia="zh-CN"/>
              </w:rPr>
              <w:t>项目机加工</w:t>
            </w:r>
            <w:r>
              <w:rPr>
                <w:color w:val="auto"/>
                <w:shd w:val="clear" w:color="auto" w:fill="FFFFFF"/>
              </w:rPr>
              <w:t>过程中要使用一定的切削液，用来降低切削温度，减少刀具与工件之间的摩擦，本项目使用水基合成切削液，切削液与水配置比例为1:10。切削液正常循环使用，定期作为</w:t>
            </w:r>
            <w:r>
              <w:rPr>
                <w:rFonts w:ascii="Times New Roman" w:hAnsi="Times New Roman" w:eastAsia="宋体" w:cs="Times New Roman"/>
                <w:color w:val="auto"/>
                <w:shd w:val="clear" w:color="auto" w:fill="FFFFFF"/>
              </w:rPr>
              <w:t>危废处置</w:t>
            </w:r>
            <w:r>
              <w:rPr>
                <w:rFonts w:hint="eastAsia" w:ascii="Times New Roman" w:hAnsi="Times New Roman" w:eastAsia="宋体" w:cs="Times New Roman"/>
                <w:color w:val="auto"/>
                <w:shd w:val="clear" w:color="auto" w:fill="FFFFFF"/>
                <w:lang w:eastAsia="zh-CN"/>
              </w:rPr>
              <w:t>，</w:t>
            </w:r>
            <w:r>
              <w:rPr>
                <w:rFonts w:hint="eastAsia" w:ascii="Times New Roman" w:hAnsi="Times New Roman" w:eastAsia="宋体" w:cs="Times New Roman"/>
                <w:color w:val="auto"/>
                <w:shd w:val="clear" w:color="auto" w:fill="FFFFFF"/>
                <w:lang w:val="en-US" w:eastAsia="zh-CN"/>
              </w:rPr>
              <w:t>废切削液产生量为</w:t>
            </w:r>
            <w:r>
              <w:rPr>
                <w:rFonts w:hint="eastAsia" w:cs="Times New Roman"/>
                <w:color w:val="auto"/>
                <w:shd w:val="clear" w:color="auto" w:fill="FFFFFF"/>
                <w:lang w:val="en-US" w:eastAsia="zh-CN"/>
              </w:rPr>
              <w:t>1</w:t>
            </w:r>
            <w:r>
              <w:rPr>
                <w:rFonts w:hint="eastAsia" w:ascii="Times New Roman" w:hAnsi="Times New Roman" w:eastAsia="宋体" w:cs="Times New Roman"/>
                <w:color w:val="auto"/>
                <w:shd w:val="clear" w:color="auto" w:fill="FFFFFF"/>
                <w:lang w:val="en-US" w:eastAsia="zh-CN"/>
              </w:rPr>
              <w:t>.5t/a。</w:t>
            </w:r>
            <w:r>
              <w:rPr>
                <w:rFonts w:hint="eastAsia" w:ascii="Times New Roman" w:hAnsi="Times New Roman" w:eastAsia="宋体" w:cs="Times New Roman"/>
                <w:color w:val="auto"/>
                <w:szCs w:val="21"/>
                <w:lang w:val="en-US" w:eastAsia="zh-CN"/>
              </w:rPr>
              <w:t>属于危险废物，对照</w:t>
            </w:r>
            <w:r>
              <w:rPr>
                <w:rFonts w:hint="eastAsia" w:cs="Times New Roman"/>
                <w:color w:val="auto"/>
                <w:szCs w:val="21"/>
                <w:lang w:val="en-US" w:eastAsia="zh-CN"/>
              </w:rPr>
              <w:t>《国家危险废物名录》（2025年版）</w:t>
            </w:r>
            <w:r>
              <w:rPr>
                <w:rFonts w:hint="eastAsia" w:ascii="Times New Roman" w:hAnsi="Times New Roman" w:eastAsia="宋体" w:cs="Times New Roman"/>
                <w:color w:val="auto"/>
                <w:szCs w:val="21"/>
                <w:lang w:val="en-US" w:eastAsia="zh-CN"/>
              </w:rPr>
              <w:t>，编号为HW09（900-00</w:t>
            </w:r>
            <w:r>
              <w:rPr>
                <w:rFonts w:hint="eastAsia" w:cs="Times New Roman"/>
                <w:color w:val="auto"/>
                <w:szCs w:val="21"/>
                <w:lang w:val="en-US" w:eastAsia="zh-CN"/>
              </w:rPr>
              <w:t>7</w:t>
            </w:r>
            <w:r>
              <w:rPr>
                <w:rFonts w:hint="eastAsia" w:ascii="Times New Roman" w:hAnsi="Times New Roman" w:eastAsia="宋体" w:cs="Times New Roman"/>
                <w:color w:val="auto"/>
                <w:szCs w:val="21"/>
                <w:lang w:val="en-US" w:eastAsia="zh-CN"/>
              </w:rPr>
              <w:t>-09），为使用切削液进行机械加工产生的乳化液，委托有资质单位处置。</w:t>
            </w:r>
            <w:r>
              <w:rPr>
                <w:rFonts w:hint="eastAsia" w:cs="Times New Roman"/>
                <w:color w:val="auto"/>
                <w:szCs w:val="21"/>
                <w:lang w:val="en-US" w:eastAsia="zh-CN"/>
              </w:rPr>
              <w:t xml:space="preserve">       </w:t>
            </w:r>
          </w:p>
          <w:p w14:paraId="3104C1D3">
            <w:pPr>
              <w:tabs>
                <w:tab w:val="left" w:pos="567"/>
                <w:tab w:val="left" w:pos="1843"/>
              </w:tabs>
              <w:adjustRightInd w:val="0"/>
              <w:snapToGrid w:val="0"/>
              <w:spacing w:line="360" w:lineRule="auto"/>
              <w:ind w:firstLine="422" w:firstLineChars="200"/>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生活垃圾：</w:t>
            </w:r>
          </w:p>
          <w:p w14:paraId="3E20BAD2">
            <w:pPr>
              <w:tabs>
                <w:tab w:val="left" w:pos="567"/>
                <w:tab w:val="left" w:pos="1843"/>
              </w:tabs>
              <w:adjustRightInd w:val="0"/>
              <w:snapToGrid w:val="0"/>
              <w:spacing w:line="360" w:lineRule="auto"/>
              <w:ind w:firstLine="420" w:firstLineChars="200"/>
              <w:rPr>
                <w:rFonts w:hint="eastAsia"/>
                <w:color w:val="auto"/>
              </w:rPr>
            </w:pPr>
            <w:r>
              <w:rPr>
                <w:rFonts w:hint="eastAsia" w:ascii="Times New Roman" w:hAnsi="Times New Roman" w:eastAsia="宋体" w:cs="Times New Roman"/>
                <w:color w:val="auto"/>
                <w:szCs w:val="21"/>
              </w:rPr>
              <w:t>项目新增员工人数为20人，产生的生活垃圾按每人0.5kg/人•d 计，年工作300天，则生活垃圾产生量约3t/a，采取袋装化，先集中，后由环卫部门定时清运。</w:t>
            </w:r>
          </w:p>
        </w:tc>
      </w:tr>
    </w:tbl>
    <w:p w14:paraId="38E6E36F">
      <w:pPr>
        <w:pStyle w:val="22"/>
        <w:jc w:val="both"/>
        <w:outlineLvl w:val="0"/>
        <w:rPr>
          <w:rFonts w:ascii="Times New Roman" w:hAnsi="Times New Roman" w:eastAsia="黑体"/>
          <w:snapToGrid w:val="0"/>
          <w:color w:val="auto"/>
          <w:sz w:val="30"/>
          <w:szCs w:val="30"/>
        </w:rPr>
      </w:pPr>
    </w:p>
    <w:p w14:paraId="77C2879B">
      <w:pPr>
        <w:pStyle w:val="22"/>
        <w:jc w:val="both"/>
        <w:outlineLvl w:val="0"/>
        <w:rPr>
          <w:rFonts w:ascii="Times New Roman" w:hAnsi="Times New Roman" w:eastAsia="黑体"/>
          <w:snapToGrid w:val="0"/>
          <w:color w:val="auto"/>
          <w:sz w:val="30"/>
          <w:szCs w:val="30"/>
        </w:rPr>
        <w:sectPr>
          <w:footerReference r:id="rId8"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432"/>
      </w:tblGrid>
      <w:tr w14:paraId="7C49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1" w:hRule="atLeast"/>
        </w:trPr>
        <w:tc>
          <w:tcPr>
            <w:tcW w:w="562" w:type="dxa"/>
            <w:vAlign w:val="center"/>
          </w:tcPr>
          <w:p w14:paraId="079648D4">
            <w:pPr>
              <w:adjustRightInd w:val="0"/>
              <w:snapToGrid w:val="0"/>
              <w:jc w:val="center"/>
              <w:rPr>
                <w:rFonts w:ascii="宋体" w:hAnsi="宋体" w:cs="宋体"/>
                <w:bCs/>
                <w:color w:val="auto"/>
                <w:szCs w:val="21"/>
              </w:rPr>
            </w:pPr>
            <w:r>
              <w:rPr>
                <w:rFonts w:hint="eastAsia" w:ascii="宋体" w:hAnsi="宋体" w:cs="宋体"/>
                <w:bCs/>
                <w:color w:val="auto"/>
                <w:szCs w:val="21"/>
              </w:rPr>
              <w:t>运营</w:t>
            </w:r>
          </w:p>
          <w:p w14:paraId="421F1D5C">
            <w:pPr>
              <w:adjustRightInd w:val="0"/>
              <w:snapToGrid w:val="0"/>
              <w:jc w:val="center"/>
              <w:rPr>
                <w:rFonts w:ascii="宋体" w:hAnsi="宋体" w:cs="宋体"/>
                <w:bCs/>
                <w:color w:val="auto"/>
                <w:szCs w:val="21"/>
              </w:rPr>
            </w:pPr>
            <w:r>
              <w:rPr>
                <w:rFonts w:hint="eastAsia" w:ascii="宋体" w:hAnsi="宋体" w:cs="宋体"/>
                <w:bCs/>
                <w:color w:val="auto"/>
                <w:szCs w:val="21"/>
              </w:rPr>
              <w:t>期环</w:t>
            </w:r>
          </w:p>
          <w:p w14:paraId="387218AC">
            <w:pPr>
              <w:adjustRightInd w:val="0"/>
              <w:snapToGrid w:val="0"/>
              <w:jc w:val="center"/>
              <w:rPr>
                <w:rFonts w:ascii="宋体" w:hAnsi="宋体" w:cs="宋体"/>
                <w:bCs/>
                <w:color w:val="auto"/>
                <w:szCs w:val="21"/>
              </w:rPr>
            </w:pPr>
            <w:r>
              <w:rPr>
                <w:rFonts w:hint="eastAsia" w:ascii="宋体" w:hAnsi="宋体" w:cs="宋体"/>
                <w:bCs/>
                <w:color w:val="auto"/>
                <w:szCs w:val="21"/>
              </w:rPr>
              <w:t>境影</w:t>
            </w:r>
          </w:p>
          <w:p w14:paraId="1BE8EE97">
            <w:pPr>
              <w:adjustRightInd w:val="0"/>
              <w:snapToGrid w:val="0"/>
              <w:jc w:val="center"/>
              <w:rPr>
                <w:rFonts w:ascii="宋体" w:hAnsi="宋体" w:cs="宋体"/>
                <w:bCs/>
                <w:color w:val="auto"/>
                <w:szCs w:val="21"/>
              </w:rPr>
            </w:pPr>
            <w:r>
              <w:rPr>
                <w:rFonts w:hint="eastAsia" w:ascii="宋体" w:hAnsi="宋体" w:cs="宋体"/>
                <w:bCs/>
                <w:color w:val="auto"/>
                <w:szCs w:val="21"/>
              </w:rPr>
              <w:t>响和</w:t>
            </w:r>
          </w:p>
          <w:p w14:paraId="78EB40AC">
            <w:pPr>
              <w:adjustRightInd w:val="0"/>
              <w:snapToGrid w:val="0"/>
              <w:jc w:val="center"/>
              <w:rPr>
                <w:rFonts w:ascii="宋体" w:hAnsi="宋体" w:cs="宋体"/>
                <w:bCs/>
                <w:color w:val="auto"/>
                <w:szCs w:val="21"/>
              </w:rPr>
            </w:pPr>
            <w:r>
              <w:rPr>
                <w:rFonts w:hint="eastAsia" w:ascii="宋体" w:hAnsi="宋体" w:cs="宋体"/>
                <w:bCs/>
                <w:color w:val="auto"/>
                <w:szCs w:val="21"/>
              </w:rPr>
              <w:t>保护措施</w:t>
            </w:r>
          </w:p>
        </w:tc>
        <w:tc>
          <w:tcPr>
            <w:tcW w:w="13432" w:type="dxa"/>
          </w:tcPr>
          <w:p w14:paraId="18561FC1">
            <w:pPr>
              <w:tabs>
                <w:tab w:val="left" w:pos="567"/>
                <w:tab w:val="left" w:pos="1843"/>
              </w:tabs>
              <w:adjustRightInd w:val="0"/>
              <w:snapToGrid w:val="0"/>
              <w:spacing w:line="360" w:lineRule="auto"/>
              <w:ind w:firstLine="422" w:firstLineChars="200"/>
              <w:rPr>
                <w:b/>
                <w:color w:val="auto"/>
              </w:rPr>
            </w:pPr>
            <w:r>
              <w:rPr>
                <w:rFonts w:hint="eastAsia"/>
                <w:b/>
                <w:color w:val="auto"/>
              </w:rPr>
              <w:t>4.2固废处置情况</w:t>
            </w:r>
          </w:p>
          <w:p w14:paraId="120A589F">
            <w:pPr>
              <w:tabs>
                <w:tab w:val="left" w:pos="567"/>
                <w:tab w:val="left" w:pos="1843"/>
              </w:tabs>
              <w:adjustRightInd w:val="0"/>
              <w:snapToGrid w:val="0"/>
              <w:spacing w:line="360" w:lineRule="auto"/>
              <w:ind w:firstLine="480"/>
              <w:rPr>
                <w:color w:val="auto"/>
                <w:szCs w:val="21"/>
              </w:rPr>
            </w:pPr>
            <w:r>
              <w:rPr>
                <w:rFonts w:hint="eastAsia"/>
                <w:color w:val="auto"/>
                <w:szCs w:val="21"/>
              </w:rPr>
              <w:t>项目废物处置及利用方式见下表。</w:t>
            </w:r>
          </w:p>
          <w:p w14:paraId="14ED0825">
            <w:pPr>
              <w:autoSpaceDE w:val="0"/>
              <w:autoSpaceDN w:val="0"/>
              <w:adjustRightInd w:val="0"/>
              <w:snapToGrid w:val="0"/>
              <w:ind w:firstLine="482"/>
              <w:jc w:val="center"/>
              <w:rPr>
                <w:b/>
                <w:color w:val="auto"/>
              </w:rPr>
            </w:pPr>
            <w:r>
              <w:rPr>
                <w:rFonts w:hint="eastAsia"/>
                <w:b/>
                <w:color w:val="auto"/>
              </w:rPr>
              <w:t>表4-</w:t>
            </w:r>
            <w:r>
              <w:rPr>
                <w:rFonts w:hint="eastAsia"/>
                <w:b/>
                <w:color w:val="auto"/>
                <w:lang w:val="en-US" w:eastAsia="zh-CN"/>
              </w:rPr>
              <w:t xml:space="preserve">6 </w:t>
            </w:r>
            <w:r>
              <w:rPr>
                <w:b/>
                <w:color w:val="auto"/>
              </w:rPr>
              <w:t>项目固体废物利用处置方式</w:t>
            </w:r>
          </w:p>
          <w:tbl>
            <w:tblPr>
              <w:tblStyle w:val="25"/>
              <w:tblW w:w="5000" w:type="pct"/>
              <w:tblInd w:w="-102"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981"/>
              <w:gridCol w:w="1005"/>
              <w:gridCol w:w="627"/>
              <w:gridCol w:w="908"/>
              <w:gridCol w:w="691"/>
              <w:gridCol w:w="897"/>
              <w:gridCol w:w="979"/>
              <w:gridCol w:w="1247"/>
              <w:gridCol w:w="1361"/>
              <w:gridCol w:w="921"/>
              <w:gridCol w:w="932"/>
              <w:gridCol w:w="1120"/>
              <w:gridCol w:w="1120"/>
            </w:tblGrid>
            <w:tr w14:paraId="1D739F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4" w:hRule="atLeast"/>
              </w:trPr>
              <w:tc>
                <w:tcPr>
                  <w:tcW w:w="161" w:type="pct"/>
                  <w:vMerge w:val="restart"/>
                  <w:vAlign w:val="center"/>
                </w:tcPr>
                <w:p w14:paraId="388333A0">
                  <w:pPr>
                    <w:widowControl/>
                    <w:jc w:val="center"/>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371" w:type="pct"/>
                  <w:vMerge w:val="restart"/>
                  <w:vAlign w:val="center"/>
                </w:tcPr>
                <w:p w14:paraId="41C8F3E3">
                  <w:pPr>
                    <w:widowControl/>
                    <w:jc w:val="center"/>
                    <w:rPr>
                      <w:rFonts w:ascii="宋体" w:hAnsi="宋体" w:cs="宋体"/>
                      <w:b/>
                      <w:bCs/>
                      <w:color w:val="auto"/>
                      <w:kern w:val="0"/>
                      <w:sz w:val="21"/>
                      <w:szCs w:val="21"/>
                    </w:rPr>
                  </w:pPr>
                  <w:r>
                    <w:rPr>
                      <w:rFonts w:hint="eastAsia" w:ascii="宋体" w:hAnsi="宋体" w:cs="宋体"/>
                      <w:b/>
                      <w:bCs/>
                      <w:color w:val="auto"/>
                      <w:kern w:val="0"/>
                      <w:sz w:val="21"/>
                      <w:szCs w:val="21"/>
                    </w:rPr>
                    <w:t>固废名称</w:t>
                  </w:r>
                </w:p>
              </w:tc>
              <w:tc>
                <w:tcPr>
                  <w:tcW w:w="380" w:type="pct"/>
                  <w:vMerge w:val="restart"/>
                  <w:vAlign w:val="center"/>
                </w:tcPr>
                <w:p w14:paraId="225FD7F5">
                  <w:pPr>
                    <w:widowControl/>
                    <w:jc w:val="center"/>
                    <w:rPr>
                      <w:rFonts w:hint="eastAsia" w:ascii="宋体" w:hAnsi="宋体" w:eastAsia="宋体" w:cs="宋体"/>
                      <w:b/>
                      <w:bCs/>
                      <w:color w:val="auto"/>
                      <w:kern w:val="0"/>
                      <w:sz w:val="21"/>
                      <w:szCs w:val="21"/>
                      <w:lang w:eastAsia="zh-CN"/>
                    </w:rPr>
                  </w:pPr>
                  <w:r>
                    <w:rPr>
                      <w:rFonts w:hint="eastAsia" w:ascii="宋体" w:hAnsi="宋体" w:cs="宋体"/>
                      <w:b/>
                      <w:bCs/>
                      <w:color w:val="auto"/>
                      <w:kern w:val="0"/>
                      <w:sz w:val="21"/>
                      <w:szCs w:val="21"/>
                    </w:rPr>
                    <w:t>产生</w:t>
                  </w:r>
                  <w:r>
                    <w:rPr>
                      <w:rFonts w:hint="eastAsia" w:ascii="宋体" w:hAnsi="宋体" w:cs="宋体"/>
                      <w:b/>
                      <w:bCs/>
                      <w:color w:val="auto"/>
                      <w:kern w:val="0"/>
                      <w:sz w:val="21"/>
                      <w:szCs w:val="21"/>
                      <w:lang w:val="en-US" w:eastAsia="zh-CN"/>
                    </w:rPr>
                    <w:t>环节</w:t>
                  </w:r>
                </w:p>
              </w:tc>
              <w:tc>
                <w:tcPr>
                  <w:tcW w:w="237" w:type="pct"/>
                  <w:vMerge w:val="restart"/>
                  <w:vAlign w:val="center"/>
                </w:tcPr>
                <w:p w14:paraId="257FE200">
                  <w:pPr>
                    <w:widowControl/>
                    <w:jc w:val="center"/>
                    <w:rPr>
                      <w:rFonts w:hint="default" w:ascii="宋体" w:hAnsi="宋体" w:cs="宋体"/>
                      <w:b/>
                      <w:bCs/>
                      <w:color w:val="auto"/>
                      <w:kern w:val="0"/>
                      <w:sz w:val="21"/>
                      <w:szCs w:val="21"/>
                      <w:lang w:val="en-US" w:eastAsia="zh-CN"/>
                    </w:rPr>
                  </w:pPr>
                  <w:r>
                    <w:rPr>
                      <w:rFonts w:hint="eastAsia" w:ascii="宋体" w:hAnsi="宋体" w:cs="宋体"/>
                      <w:b/>
                      <w:bCs/>
                      <w:color w:val="auto"/>
                      <w:kern w:val="0"/>
                      <w:sz w:val="21"/>
                      <w:szCs w:val="21"/>
                      <w:lang w:val="en-US" w:eastAsia="zh-CN"/>
                    </w:rPr>
                    <w:t>属性</w:t>
                  </w:r>
                </w:p>
              </w:tc>
              <w:tc>
                <w:tcPr>
                  <w:tcW w:w="343" w:type="pct"/>
                  <w:vMerge w:val="restart"/>
                  <w:vAlign w:val="center"/>
                </w:tcPr>
                <w:p w14:paraId="7AE8A284">
                  <w:pPr>
                    <w:widowControl/>
                    <w:jc w:val="center"/>
                    <w:rPr>
                      <w:rFonts w:hint="eastAsia" w:ascii="宋体" w:hAnsi="宋体" w:cs="宋体"/>
                      <w:b/>
                      <w:bCs/>
                      <w:color w:val="auto"/>
                      <w:kern w:val="0"/>
                      <w:sz w:val="21"/>
                      <w:szCs w:val="21"/>
                      <w:lang w:val="en-US" w:eastAsia="zh-CN"/>
                    </w:rPr>
                  </w:pPr>
                  <w:r>
                    <w:rPr>
                      <w:b/>
                      <w:color w:val="auto"/>
                      <w:sz w:val="21"/>
                      <w:szCs w:val="21"/>
                      <w:lang w:val="en-US" w:eastAsia="zh-CN"/>
                    </w:rPr>
                    <w:t>主要有毒有害物质</w:t>
                  </w:r>
                </w:p>
              </w:tc>
              <w:tc>
                <w:tcPr>
                  <w:tcW w:w="261" w:type="pct"/>
                  <w:vMerge w:val="restart"/>
                  <w:vAlign w:val="center"/>
                </w:tcPr>
                <w:p w14:paraId="5B0A2A8C">
                  <w:pPr>
                    <w:widowControl/>
                    <w:jc w:val="center"/>
                    <w:rPr>
                      <w:rFonts w:hint="eastAsia" w:ascii="宋体" w:hAnsi="宋体" w:cs="宋体"/>
                      <w:b/>
                      <w:bCs/>
                      <w:color w:val="auto"/>
                      <w:kern w:val="0"/>
                      <w:sz w:val="21"/>
                      <w:szCs w:val="21"/>
                      <w:lang w:val="en-US" w:eastAsia="zh-CN"/>
                    </w:rPr>
                  </w:pPr>
                  <w:r>
                    <w:rPr>
                      <w:rFonts w:hint="eastAsia" w:ascii="宋体" w:hAnsi="宋体" w:cs="宋体"/>
                      <w:b/>
                      <w:bCs/>
                      <w:color w:val="auto"/>
                      <w:kern w:val="0"/>
                      <w:sz w:val="21"/>
                      <w:szCs w:val="21"/>
                      <w:lang w:val="en-US" w:eastAsia="zh-CN"/>
                    </w:rPr>
                    <w:t>物理</w:t>
                  </w:r>
                </w:p>
                <w:p w14:paraId="1B54D71B">
                  <w:pPr>
                    <w:widowControl/>
                    <w:jc w:val="center"/>
                    <w:rPr>
                      <w:rFonts w:ascii="宋体" w:hAnsi="宋体" w:cs="宋体"/>
                      <w:b/>
                      <w:bCs/>
                      <w:color w:val="auto"/>
                      <w:kern w:val="0"/>
                      <w:sz w:val="21"/>
                      <w:szCs w:val="21"/>
                    </w:rPr>
                  </w:pPr>
                  <w:r>
                    <w:rPr>
                      <w:rFonts w:hint="eastAsia" w:ascii="宋体" w:hAnsi="宋体" w:cs="宋体"/>
                      <w:b/>
                      <w:bCs/>
                      <w:color w:val="auto"/>
                      <w:kern w:val="0"/>
                      <w:sz w:val="21"/>
                      <w:szCs w:val="21"/>
                      <w:lang w:val="en-US" w:eastAsia="zh-CN"/>
                    </w:rPr>
                    <w:t>状态</w:t>
                  </w:r>
                </w:p>
              </w:tc>
              <w:tc>
                <w:tcPr>
                  <w:tcW w:w="339" w:type="pct"/>
                  <w:vMerge w:val="restart"/>
                  <w:vAlign w:val="center"/>
                </w:tcPr>
                <w:p w14:paraId="420C7009">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主要</w:t>
                  </w:r>
                </w:p>
                <w:p w14:paraId="3FF8888B">
                  <w:pPr>
                    <w:widowControl/>
                    <w:jc w:val="center"/>
                    <w:rPr>
                      <w:rFonts w:ascii="宋体" w:hAnsi="宋体" w:cs="宋体"/>
                      <w:b/>
                      <w:bCs/>
                      <w:color w:val="auto"/>
                      <w:kern w:val="0"/>
                      <w:sz w:val="21"/>
                      <w:szCs w:val="21"/>
                    </w:rPr>
                  </w:pPr>
                  <w:r>
                    <w:rPr>
                      <w:rFonts w:hint="eastAsia" w:ascii="宋体" w:hAnsi="宋体" w:cs="宋体"/>
                      <w:b/>
                      <w:bCs/>
                      <w:color w:val="auto"/>
                      <w:kern w:val="0"/>
                      <w:sz w:val="21"/>
                      <w:szCs w:val="21"/>
                    </w:rPr>
                    <w:t>成分</w:t>
                  </w:r>
                </w:p>
              </w:tc>
              <w:tc>
                <w:tcPr>
                  <w:tcW w:w="1355" w:type="pct"/>
                  <w:gridSpan w:val="3"/>
                  <w:vAlign w:val="center"/>
                </w:tcPr>
                <w:p w14:paraId="3F695BD3">
                  <w:pPr>
                    <w:widowControl/>
                    <w:jc w:val="center"/>
                    <w:rPr>
                      <w:rFonts w:ascii="宋体" w:hAnsi="宋体" w:cs="宋体"/>
                      <w:b/>
                      <w:bCs/>
                      <w:color w:val="auto"/>
                      <w:kern w:val="0"/>
                      <w:sz w:val="21"/>
                      <w:szCs w:val="21"/>
                    </w:rPr>
                  </w:pPr>
                  <w:r>
                    <w:rPr>
                      <w:rFonts w:hint="eastAsia" w:ascii="宋体" w:hAnsi="宋体" w:cs="宋体"/>
                      <w:b/>
                      <w:bCs/>
                      <w:color w:val="auto"/>
                      <w:kern w:val="0"/>
                      <w:sz w:val="21"/>
                      <w:szCs w:val="21"/>
                      <w:lang w:val="en-US" w:eastAsia="zh-CN"/>
                    </w:rPr>
                    <w:t>环境危险特性</w:t>
                  </w:r>
                </w:p>
              </w:tc>
              <w:tc>
                <w:tcPr>
                  <w:tcW w:w="348" w:type="pct"/>
                  <w:vMerge w:val="restart"/>
                  <w:vAlign w:val="center"/>
                </w:tcPr>
                <w:p w14:paraId="734AA1AA">
                  <w:pPr>
                    <w:widowControl/>
                    <w:jc w:val="center"/>
                    <w:rPr>
                      <w:rFonts w:ascii="宋体" w:hAnsi="宋体" w:cs="宋体"/>
                      <w:b/>
                      <w:bCs/>
                      <w:color w:val="auto"/>
                      <w:kern w:val="0"/>
                      <w:sz w:val="21"/>
                      <w:szCs w:val="21"/>
                    </w:rPr>
                  </w:pPr>
                  <w:r>
                    <w:rPr>
                      <w:rFonts w:hint="eastAsia" w:ascii="宋体" w:hAnsi="宋体" w:cs="宋体"/>
                      <w:b/>
                      <w:bCs/>
                      <w:color w:val="auto"/>
                      <w:kern w:val="0"/>
                      <w:sz w:val="21"/>
                      <w:szCs w:val="21"/>
                    </w:rPr>
                    <w:t>估算产生量</w:t>
                  </w:r>
                  <w:r>
                    <w:rPr>
                      <w:b/>
                      <w:bCs/>
                      <w:color w:val="auto"/>
                      <w:kern w:val="0"/>
                      <w:sz w:val="21"/>
                      <w:szCs w:val="21"/>
                    </w:rPr>
                    <w:t>t/a</w:t>
                  </w:r>
                </w:p>
              </w:tc>
              <w:tc>
                <w:tcPr>
                  <w:tcW w:w="352" w:type="pct"/>
                  <w:vMerge w:val="restart"/>
                  <w:vAlign w:val="center"/>
                </w:tcPr>
                <w:p w14:paraId="18F30715">
                  <w:pPr>
                    <w:widowControl/>
                    <w:jc w:val="center"/>
                    <w:rPr>
                      <w:rFonts w:hint="eastAsia" w:ascii="宋体" w:hAnsi="宋体" w:cs="宋体"/>
                      <w:b/>
                      <w:bCs/>
                      <w:color w:val="auto"/>
                      <w:kern w:val="0"/>
                      <w:sz w:val="21"/>
                      <w:szCs w:val="21"/>
                    </w:rPr>
                  </w:pPr>
                  <w:r>
                    <w:rPr>
                      <w:b/>
                      <w:color w:val="auto"/>
                      <w:sz w:val="21"/>
                      <w:szCs w:val="21"/>
                      <w:lang w:val="en-US" w:eastAsia="zh-CN"/>
                    </w:rPr>
                    <w:t>贮存方式</w:t>
                  </w:r>
                </w:p>
              </w:tc>
              <w:tc>
                <w:tcPr>
                  <w:tcW w:w="423" w:type="pct"/>
                  <w:vMerge w:val="restart"/>
                  <w:vAlign w:val="center"/>
                </w:tcPr>
                <w:p w14:paraId="7F93254D">
                  <w:pPr>
                    <w:widowControl/>
                    <w:jc w:val="center"/>
                    <w:rPr>
                      <w:rFonts w:ascii="宋体" w:hAnsi="宋体" w:cs="宋体"/>
                      <w:b/>
                      <w:bCs/>
                      <w:color w:val="auto"/>
                      <w:kern w:val="0"/>
                      <w:sz w:val="21"/>
                      <w:szCs w:val="21"/>
                    </w:rPr>
                  </w:pPr>
                  <w:r>
                    <w:rPr>
                      <w:b/>
                      <w:color w:val="auto"/>
                      <w:sz w:val="21"/>
                      <w:szCs w:val="21"/>
                      <w:lang w:val="en-US" w:eastAsia="zh-CN"/>
                    </w:rPr>
                    <w:t>利用处置方式和去向</w:t>
                  </w:r>
                </w:p>
              </w:tc>
              <w:tc>
                <w:tcPr>
                  <w:tcW w:w="423" w:type="pct"/>
                  <w:vMerge w:val="restart"/>
                  <w:vAlign w:val="center"/>
                </w:tcPr>
                <w:p w14:paraId="4F0E79B8">
                  <w:pPr>
                    <w:widowControl/>
                    <w:jc w:val="center"/>
                    <w:rPr>
                      <w:b/>
                      <w:color w:val="auto"/>
                      <w:sz w:val="21"/>
                      <w:szCs w:val="21"/>
                      <w:lang w:val="en-US" w:eastAsia="zh-CN"/>
                    </w:rPr>
                  </w:pPr>
                  <w:r>
                    <w:rPr>
                      <w:b/>
                      <w:color w:val="auto"/>
                      <w:sz w:val="21"/>
                      <w:szCs w:val="21"/>
                      <w:lang w:val="en-US" w:eastAsia="zh-CN"/>
                    </w:rPr>
                    <w:t>利用或处置量（t/a）</w:t>
                  </w:r>
                </w:p>
              </w:tc>
            </w:tr>
            <w:tr w14:paraId="630158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4" w:hRule="atLeast"/>
              </w:trPr>
              <w:tc>
                <w:tcPr>
                  <w:tcW w:w="161" w:type="pct"/>
                  <w:vMerge w:val="continue"/>
                  <w:vAlign w:val="center"/>
                </w:tcPr>
                <w:p w14:paraId="30BEBA3B">
                  <w:pPr>
                    <w:widowControl/>
                    <w:jc w:val="center"/>
                    <w:rPr>
                      <w:rFonts w:hint="eastAsia" w:ascii="宋体" w:hAnsi="宋体" w:cs="宋体"/>
                      <w:b/>
                      <w:bCs/>
                      <w:color w:val="auto"/>
                      <w:kern w:val="0"/>
                      <w:sz w:val="21"/>
                      <w:szCs w:val="21"/>
                    </w:rPr>
                  </w:pPr>
                </w:p>
              </w:tc>
              <w:tc>
                <w:tcPr>
                  <w:tcW w:w="371" w:type="pct"/>
                  <w:vMerge w:val="continue"/>
                  <w:vAlign w:val="center"/>
                </w:tcPr>
                <w:p w14:paraId="13CE4631">
                  <w:pPr>
                    <w:widowControl/>
                    <w:jc w:val="center"/>
                    <w:rPr>
                      <w:rFonts w:hint="eastAsia" w:ascii="宋体" w:hAnsi="宋体" w:cs="宋体"/>
                      <w:b/>
                      <w:bCs/>
                      <w:color w:val="auto"/>
                      <w:kern w:val="0"/>
                      <w:sz w:val="21"/>
                      <w:szCs w:val="21"/>
                    </w:rPr>
                  </w:pPr>
                </w:p>
              </w:tc>
              <w:tc>
                <w:tcPr>
                  <w:tcW w:w="380" w:type="pct"/>
                  <w:vMerge w:val="continue"/>
                  <w:vAlign w:val="center"/>
                </w:tcPr>
                <w:p w14:paraId="59B67D9F">
                  <w:pPr>
                    <w:widowControl/>
                    <w:jc w:val="center"/>
                    <w:rPr>
                      <w:rFonts w:hint="eastAsia" w:ascii="宋体" w:hAnsi="宋体" w:cs="宋体"/>
                      <w:b/>
                      <w:bCs/>
                      <w:color w:val="auto"/>
                      <w:kern w:val="0"/>
                      <w:sz w:val="21"/>
                      <w:szCs w:val="21"/>
                    </w:rPr>
                  </w:pPr>
                </w:p>
              </w:tc>
              <w:tc>
                <w:tcPr>
                  <w:tcW w:w="237" w:type="pct"/>
                  <w:vMerge w:val="continue"/>
                  <w:vAlign w:val="center"/>
                </w:tcPr>
                <w:p w14:paraId="2E2FAEE1">
                  <w:pPr>
                    <w:widowControl/>
                    <w:jc w:val="center"/>
                    <w:rPr>
                      <w:rFonts w:hint="eastAsia" w:ascii="宋体" w:hAnsi="宋体" w:cs="宋体"/>
                      <w:b/>
                      <w:bCs/>
                      <w:color w:val="auto"/>
                      <w:kern w:val="0"/>
                      <w:sz w:val="21"/>
                      <w:szCs w:val="21"/>
                      <w:lang w:val="en-US" w:eastAsia="zh-CN"/>
                    </w:rPr>
                  </w:pPr>
                </w:p>
              </w:tc>
              <w:tc>
                <w:tcPr>
                  <w:tcW w:w="343" w:type="pct"/>
                  <w:vMerge w:val="continue"/>
                  <w:vAlign w:val="center"/>
                </w:tcPr>
                <w:p w14:paraId="5ADD2521">
                  <w:pPr>
                    <w:widowControl/>
                    <w:jc w:val="center"/>
                    <w:rPr>
                      <w:b/>
                      <w:color w:val="auto"/>
                      <w:sz w:val="21"/>
                      <w:szCs w:val="21"/>
                      <w:lang w:val="en-US" w:eastAsia="zh-CN"/>
                    </w:rPr>
                  </w:pPr>
                </w:p>
              </w:tc>
              <w:tc>
                <w:tcPr>
                  <w:tcW w:w="261" w:type="pct"/>
                  <w:vMerge w:val="continue"/>
                  <w:vAlign w:val="center"/>
                </w:tcPr>
                <w:p w14:paraId="75C7B8B1">
                  <w:pPr>
                    <w:widowControl/>
                    <w:jc w:val="center"/>
                    <w:rPr>
                      <w:rFonts w:hint="eastAsia" w:ascii="宋体" w:hAnsi="宋体" w:cs="宋体"/>
                      <w:b/>
                      <w:bCs/>
                      <w:color w:val="auto"/>
                      <w:kern w:val="0"/>
                      <w:sz w:val="21"/>
                      <w:szCs w:val="21"/>
                      <w:lang w:val="en-US" w:eastAsia="zh-CN"/>
                    </w:rPr>
                  </w:pPr>
                </w:p>
              </w:tc>
              <w:tc>
                <w:tcPr>
                  <w:tcW w:w="339" w:type="pct"/>
                  <w:vMerge w:val="continue"/>
                  <w:vAlign w:val="center"/>
                </w:tcPr>
                <w:p w14:paraId="19E85298">
                  <w:pPr>
                    <w:widowControl/>
                    <w:jc w:val="center"/>
                    <w:rPr>
                      <w:rFonts w:hint="eastAsia" w:ascii="宋体" w:hAnsi="宋体" w:cs="宋体"/>
                      <w:b/>
                      <w:bCs/>
                      <w:color w:val="auto"/>
                      <w:kern w:val="0"/>
                      <w:sz w:val="21"/>
                      <w:szCs w:val="21"/>
                    </w:rPr>
                  </w:pPr>
                </w:p>
              </w:tc>
              <w:tc>
                <w:tcPr>
                  <w:tcW w:w="370" w:type="pct"/>
                  <w:vAlign w:val="center"/>
                </w:tcPr>
                <w:p w14:paraId="19A272B7">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危险</w:t>
                  </w:r>
                </w:p>
                <w:p w14:paraId="6F8E889F">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特性</w:t>
                  </w:r>
                </w:p>
              </w:tc>
              <w:tc>
                <w:tcPr>
                  <w:tcW w:w="471" w:type="pct"/>
                  <w:vAlign w:val="center"/>
                </w:tcPr>
                <w:p w14:paraId="393F240E">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废物</w:t>
                  </w:r>
                </w:p>
                <w:p w14:paraId="22CC0E77">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类别</w:t>
                  </w:r>
                </w:p>
              </w:tc>
              <w:tc>
                <w:tcPr>
                  <w:tcW w:w="513" w:type="pct"/>
                  <w:vAlign w:val="center"/>
                </w:tcPr>
                <w:p w14:paraId="735887BA">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废物代码</w:t>
                  </w:r>
                </w:p>
              </w:tc>
              <w:tc>
                <w:tcPr>
                  <w:tcW w:w="348" w:type="pct"/>
                  <w:vMerge w:val="continue"/>
                  <w:vAlign w:val="center"/>
                </w:tcPr>
                <w:p w14:paraId="04D9BE5F">
                  <w:pPr>
                    <w:widowControl/>
                    <w:jc w:val="center"/>
                    <w:rPr>
                      <w:rFonts w:hint="eastAsia" w:ascii="宋体" w:hAnsi="宋体" w:cs="宋体"/>
                      <w:b/>
                      <w:bCs/>
                      <w:color w:val="auto"/>
                      <w:kern w:val="0"/>
                      <w:sz w:val="21"/>
                      <w:szCs w:val="21"/>
                    </w:rPr>
                  </w:pPr>
                </w:p>
              </w:tc>
              <w:tc>
                <w:tcPr>
                  <w:tcW w:w="352" w:type="pct"/>
                  <w:vMerge w:val="continue"/>
                  <w:vAlign w:val="center"/>
                </w:tcPr>
                <w:p w14:paraId="4E33EF86">
                  <w:pPr>
                    <w:widowControl/>
                    <w:jc w:val="center"/>
                    <w:rPr>
                      <w:rFonts w:hint="eastAsia" w:ascii="宋体" w:hAnsi="宋体" w:cs="宋体"/>
                      <w:b/>
                      <w:bCs/>
                      <w:color w:val="auto"/>
                      <w:kern w:val="0"/>
                      <w:sz w:val="21"/>
                      <w:szCs w:val="21"/>
                    </w:rPr>
                  </w:pPr>
                </w:p>
              </w:tc>
              <w:tc>
                <w:tcPr>
                  <w:tcW w:w="423" w:type="pct"/>
                  <w:vMerge w:val="continue"/>
                  <w:vAlign w:val="center"/>
                </w:tcPr>
                <w:p w14:paraId="21C43689">
                  <w:pPr>
                    <w:widowControl/>
                    <w:jc w:val="center"/>
                    <w:rPr>
                      <w:rFonts w:hint="eastAsia" w:ascii="宋体" w:hAnsi="宋体" w:cs="宋体"/>
                      <w:b/>
                      <w:bCs/>
                      <w:color w:val="auto"/>
                      <w:kern w:val="0"/>
                      <w:sz w:val="21"/>
                      <w:szCs w:val="21"/>
                    </w:rPr>
                  </w:pPr>
                </w:p>
              </w:tc>
              <w:tc>
                <w:tcPr>
                  <w:tcW w:w="423" w:type="pct"/>
                  <w:vMerge w:val="continue"/>
                  <w:vAlign w:val="center"/>
                </w:tcPr>
                <w:p w14:paraId="3F9AD4B0">
                  <w:pPr>
                    <w:widowControl/>
                    <w:jc w:val="center"/>
                    <w:rPr>
                      <w:rFonts w:hint="eastAsia" w:ascii="宋体" w:hAnsi="宋体" w:cs="宋体"/>
                      <w:b/>
                      <w:bCs/>
                      <w:color w:val="auto"/>
                      <w:kern w:val="0"/>
                      <w:sz w:val="21"/>
                      <w:szCs w:val="21"/>
                    </w:rPr>
                  </w:pPr>
                </w:p>
              </w:tc>
            </w:tr>
            <w:tr w14:paraId="7A9B7E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3CA76112">
                  <w:pPr>
                    <w:autoSpaceDE w:val="0"/>
                    <w:autoSpaceDN w:val="0"/>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371" w:type="pct"/>
                  <w:vAlign w:val="center"/>
                </w:tcPr>
                <w:p w14:paraId="156E9658">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rPr>
                    <w:t>废砂</w:t>
                  </w:r>
                  <w:r>
                    <w:rPr>
                      <w:rFonts w:hint="eastAsia"/>
                      <w:color w:val="auto"/>
                      <w:sz w:val="21"/>
                      <w:szCs w:val="21"/>
                      <w:lang w:val="en-US" w:eastAsia="zh-CN"/>
                    </w:rPr>
                    <w:t>纸</w:t>
                  </w:r>
                </w:p>
              </w:tc>
              <w:tc>
                <w:tcPr>
                  <w:tcW w:w="380" w:type="pct"/>
                  <w:vAlign w:val="center"/>
                </w:tcPr>
                <w:p w14:paraId="2158D386">
                  <w:pPr>
                    <w:autoSpaceDE w:val="0"/>
                    <w:autoSpaceDN w:val="0"/>
                    <w:adjustRightInd w:val="0"/>
                    <w:snapToGrid w:val="0"/>
                    <w:jc w:val="center"/>
                    <w:rPr>
                      <w:color w:val="auto"/>
                      <w:sz w:val="21"/>
                      <w:szCs w:val="21"/>
                    </w:rPr>
                  </w:pPr>
                  <w:r>
                    <w:rPr>
                      <w:rFonts w:hint="eastAsia"/>
                      <w:color w:val="auto"/>
                      <w:sz w:val="21"/>
                      <w:szCs w:val="21"/>
                    </w:rPr>
                    <w:t>打磨</w:t>
                  </w:r>
                </w:p>
              </w:tc>
              <w:tc>
                <w:tcPr>
                  <w:tcW w:w="237" w:type="pct"/>
                  <w:vAlign w:val="center"/>
                </w:tcPr>
                <w:p w14:paraId="7DFF7C7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754265A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343" w:type="pct"/>
                  <w:vAlign w:val="center"/>
                </w:tcPr>
                <w:p w14:paraId="3624AC6C">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261" w:type="pct"/>
                  <w:vAlign w:val="center"/>
                </w:tcPr>
                <w:p w14:paraId="2C5195E7">
                  <w:pPr>
                    <w:autoSpaceDE w:val="0"/>
                    <w:autoSpaceDN w:val="0"/>
                    <w:adjustRightInd w:val="0"/>
                    <w:snapToGrid w:val="0"/>
                    <w:jc w:val="center"/>
                    <w:rPr>
                      <w:color w:val="auto"/>
                      <w:sz w:val="21"/>
                      <w:szCs w:val="21"/>
                    </w:rPr>
                  </w:pPr>
                  <w:r>
                    <w:rPr>
                      <w:rFonts w:hint="eastAsia"/>
                      <w:color w:val="auto"/>
                      <w:sz w:val="21"/>
                      <w:szCs w:val="21"/>
                    </w:rPr>
                    <w:t>固</w:t>
                  </w:r>
                </w:p>
              </w:tc>
              <w:tc>
                <w:tcPr>
                  <w:tcW w:w="339" w:type="pct"/>
                  <w:vAlign w:val="center"/>
                </w:tcPr>
                <w:p w14:paraId="2EC83D3D">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rPr>
                    <w:t>砂</w:t>
                  </w:r>
                  <w:r>
                    <w:rPr>
                      <w:rFonts w:hint="eastAsia"/>
                      <w:color w:val="auto"/>
                      <w:sz w:val="21"/>
                      <w:szCs w:val="21"/>
                      <w:lang w:val="en-US" w:eastAsia="zh-CN"/>
                    </w:rPr>
                    <w:t>纸</w:t>
                  </w:r>
                </w:p>
              </w:tc>
              <w:tc>
                <w:tcPr>
                  <w:tcW w:w="370" w:type="pct"/>
                  <w:vAlign w:val="center"/>
                </w:tcPr>
                <w:p w14:paraId="45A8F3B9">
                  <w:pPr>
                    <w:jc w:val="center"/>
                    <w:rPr>
                      <w:color w:val="auto"/>
                      <w:sz w:val="21"/>
                      <w:szCs w:val="21"/>
                    </w:rPr>
                  </w:pPr>
                  <w:r>
                    <w:rPr>
                      <w:rFonts w:hint="eastAsia"/>
                      <w:color w:val="auto"/>
                      <w:kern w:val="0"/>
                      <w:sz w:val="21"/>
                      <w:szCs w:val="21"/>
                    </w:rPr>
                    <w:t xml:space="preserve"> --</w:t>
                  </w:r>
                </w:p>
              </w:tc>
              <w:tc>
                <w:tcPr>
                  <w:tcW w:w="471" w:type="pct"/>
                  <w:vAlign w:val="center"/>
                </w:tcPr>
                <w:p w14:paraId="000E6058">
                  <w:pPr>
                    <w:jc w:val="center"/>
                    <w:rPr>
                      <w:rFonts w:hint="default" w:eastAsia="宋体"/>
                      <w:color w:val="auto"/>
                      <w:sz w:val="21"/>
                      <w:szCs w:val="21"/>
                      <w:lang w:val="en-US" w:eastAsia="zh-CN"/>
                    </w:rPr>
                  </w:pPr>
                  <w:r>
                    <w:rPr>
                      <w:rFonts w:hint="eastAsia"/>
                      <w:color w:val="auto"/>
                      <w:sz w:val="21"/>
                      <w:szCs w:val="21"/>
                      <w:lang w:val="en-US" w:eastAsia="zh-CN"/>
                    </w:rPr>
                    <w:t>SW59</w:t>
                  </w:r>
                </w:p>
              </w:tc>
              <w:tc>
                <w:tcPr>
                  <w:tcW w:w="513" w:type="pct"/>
                  <w:vAlign w:val="center"/>
                </w:tcPr>
                <w:p w14:paraId="1739A53F">
                  <w:pPr>
                    <w:widowControl/>
                    <w:jc w:val="center"/>
                    <w:rPr>
                      <w:color w:val="auto"/>
                      <w:kern w:val="0"/>
                      <w:sz w:val="21"/>
                      <w:szCs w:val="21"/>
                    </w:rPr>
                  </w:pPr>
                  <w:r>
                    <w:rPr>
                      <w:rFonts w:hint="eastAsia"/>
                      <w:color w:val="auto"/>
                      <w:kern w:val="0"/>
                      <w:sz w:val="21"/>
                      <w:szCs w:val="21"/>
                      <w:lang w:val="en-US" w:eastAsia="zh-CN"/>
                    </w:rPr>
                    <w:t>900-099-S59</w:t>
                  </w:r>
                </w:p>
              </w:tc>
              <w:tc>
                <w:tcPr>
                  <w:tcW w:w="921" w:type="dxa"/>
                  <w:vAlign w:val="center"/>
                </w:tcPr>
                <w:p w14:paraId="3A9F1C95">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2</w:t>
                  </w:r>
                </w:p>
              </w:tc>
              <w:tc>
                <w:tcPr>
                  <w:tcW w:w="352" w:type="pct"/>
                  <w:vMerge w:val="restart"/>
                  <w:vAlign w:val="center"/>
                </w:tcPr>
                <w:p w14:paraId="5EE24D24">
                  <w:pPr>
                    <w:jc w:val="center"/>
                    <w:rPr>
                      <w:rFonts w:hint="eastAsia" w:ascii="宋体" w:hAnsi="宋体" w:cs="宋体"/>
                      <w:color w:val="auto"/>
                      <w:kern w:val="0"/>
                      <w:sz w:val="21"/>
                      <w:szCs w:val="21"/>
                    </w:rPr>
                  </w:pPr>
                  <w:r>
                    <w:rPr>
                      <w:rFonts w:hint="eastAsia"/>
                      <w:color w:val="auto"/>
                      <w:spacing w:val="4"/>
                      <w:kern w:val="18"/>
                      <w:sz w:val="21"/>
                      <w:szCs w:val="21"/>
                    </w:rPr>
                    <w:t>一般固废贮存</w:t>
                  </w:r>
                </w:p>
              </w:tc>
              <w:tc>
                <w:tcPr>
                  <w:tcW w:w="423" w:type="pct"/>
                  <w:vAlign w:val="center"/>
                </w:tcPr>
                <w:p w14:paraId="58A09C4F">
                  <w:pPr>
                    <w:jc w:val="center"/>
                    <w:rPr>
                      <w:rFonts w:ascii="宋体" w:hAnsi="宋体" w:cs="宋体"/>
                      <w:color w:val="auto"/>
                      <w:kern w:val="0"/>
                      <w:sz w:val="21"/>
                      <w:szCs w:val="21"/>
                    </w:rPr>
                  </w:pPr>
                  <w:r>
                    <w:rPr>
                      <w:rFonts w:hint="eastAsia" w:ascii="宋体" w:hAnsi="宋体" w:cs="宋体"/>
                      <w:color w:val="auto"/>
                      <w:kern w:val="0"/>
                      <w:sz w:val="21"/>
                      <w:szCs w:val="21"/>
                    </w:rPr>
                    <w:t>收集外售</w:t>
                  </w:r>
                </w:p>
              </w:tc>
              <w:tc>
                <w:tcPr>
                  <w:tcW w:w="423" w:type="pct"/>
                  <w:vAlign w:val="center"/>
                </w:tcPr>
                <w:p w14:paraId="3FEC6A8C">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rPr>
                    <w:t>0.</w:t>
                  </w:r>
                  <w:r>
                    <w:rPr>
                      <w:rFonts w:hint="eastAsia"/>
                      <w:color w:val="auto"/>
                      <w:sz w:val="21"/>
                      <w:szCs w:val="21"/>
                      <w:lang w:val="en-US" w:eastAsia="zh-CN"/>
                    </w:rPr>
                    <w:t>2</w:t>
                  </w:r>
                </w:p>
              </w:tc>
            </w:tr>
            <w:tr w14:paraId="729A46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662143D0">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w:t>
                  </w:r>
                </w:p>
              </w:tc>
              <w:tc>
                <w:tcPr>
                  <w:tcW w:w="371" w:type="pct"/>
                  <w:vAlign w:val="center"/>
                </w:tcPr>
                <w:p w14:paraId="2097B224">
                  <w:pPr>
                    <w:autoSpaceDE w:val="0"/>
                    <w:autoSpaceDN w:val="0"/>
                    <w:adjustRightInd w:val="0"/>
                    <w:snapToGrid w:val="0"/>
                    <w:jc w:val="center"/>
                    <w:rPr>
                      <w:color w:val="auto"/>
                      <w:sz w:val="21"/>
                      <w:szCs w:val="21"/>
                    </w:rPr>
                  </w:pPr>
                  <w:r>
                    <w:rPr>
                      <w:rFonts w:hint="eastAsia"/>
                      <w:color w:val="auto"/>
                      <w:sz w:val="21"/>
                      <w:szCs w:val="21"/>
                    </w:rPr>
                    <w:t>收集尘</w:t>
                  </w:r>
                </w:p>
              </w:tc>
              <w:tc>
                <w:tcPr>
                  <w:tcW w:w="380" w:type="pct"/>
                  <w:vAlign w:val="center"/>
                </w:tcPr>
                <w:p w14:paraId="43B17367">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制芯、浇注、</w:t>
                  </w:r>
                  <w:r>
                    <w:rPr>
                      <w:rFonts w:hint="eastAsia"/>
                      <w:color w:val="auto"/>
                      <w:sz w:val="21"/>
                      <w:szCs w:val="21"/>
                    </w:rPr>
                    <w:t>落砂</w:t>
                  </w:r>
                </w:p>
              </w:tc>
              <w:tc>
                <w:tcPr>
                  <w:tcW w:w="237" w:type="pct"/>
                  <w:vAlign w:val="center"/>
                </w:tcPr>
                <w:p w14:paraId="46E80C2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26B324C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343" w:type="pct"/>
                  <w:vAlign w:val="center"/>
                </w:tcPr>
                <w:p w14:paraId="2C092EDC">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261" w:type="pct"/>
                  <w:vAlign w:val="center"/>
                </w:tcPr>
                <w:p w14:paraId="61A99A91">
                  <w:pPr>
                    <w:autoSpaceDE w:val="0"/>
                    <w:autoSpaceDN w:val="0"/>
                    <w:adjustRightInd w:val="0"/>
                    <w:snapToGrid w:val="0"/>
                    <w:jc w:val="center"/>
                    <w:rPr>
                      <w:color w:val="auto"/>
                      <w:sz w:val="21"/>
                      <w:szCs w:val="21"/>
                    </w:rPr>
                  </w:pPr>
                  <w:r>
                    <w:rPr>
                      <w:rFonts w:hint="eastAsia"/>
                      <w:color w:val="auto"/>
                      <w:sz w:val="21"/>
                      <w:szCs w:val="21"/>
                    </w:rPr>
                    <w:t>固</w:t>
                  </w:r>
                </w:p>
              </w:tc>
              <w:tc>
                <w:tcPr>
                  <w:tcW w:w="339" w:type="pct"/>
                  <w:vAlign w:val="center"/>
                </w:tcPr>
                <w:p w14:paraId="5BDBE74C">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rPr>
                    <w:t>覆膜砂</w:t>
                  </w:r>
                </w:p>
              </w:tc>
              <w:tc>
                <w:tcPr>
                  <w:tcW w:w="370" w:type="pct"/>
                  <w:vAlign w:val="center"/>
                </w:tcPr>
                <w:p w14:paraId="0BD71D6E">
                  <w:pPr>
                    <w:jc w:val="center"/>
                    <w:rPr>
                      <w:color w:val="auto"/>
                      <w:sz w:val="21"/>
                      <w:szCs w:val="21"/>
                    </w:rPr>
                  </w:pPr>
                  <w:r>
                    <w:rPr>
                      <w:rFonts w:hint="eastAsia"/>
                      <w:color w:val="auto"/>
                      <w:sz w:val="21"/>
                      <w:szCs w:val="21"/>
                    </w:rPr>
                    <w:t>-</w:t>
                  </w:r>
                  <w:r>
                    <w:rPr>
                      <w:color w:val="auto"/>
                      <w:sz w:val="21"/>
                      <w:szCs w:val="21"/>
                    </w:rPr>
                    <w:t>-</w:t>
                  </w:r>
                </w:p>
              </w:tc>
              <w:tc>
                <w:tcPr>
                  <w:tcW w:w="471" w:type="pct"/>
                  <w:vAlign w:val="center"/>
                </w:tcPr>
                <w:p w14:paraId="5A876EC0">
                  <w:pPr>
                    <w:jc w:val="center"/>
                    <w:rPr>
                      <w:color w:val="auto"/>
                      <w:sz w:val="21"/>
                      <w:szCs w:val="21"/>
                    </w:rPr>
                  </w:pPr>
                  <w:r>
                    <w:rPr>
                      <w:rFonts w:hint="eastAsia"/>
                      <w:color w:val="auto"/>
                      <w:sz w:val="21"/>
                      <w:szCs w:val="21"/>
                      <w:lang w:val="en-US" w:eastAsia="zh-CN"/>
                    </w:rPr>
                    <w:t>SW59</w:t>
                  </w:r>
                </w:p>
              </w:tc>
              <w:tc>
                <w:tcPr>
                  <w:tcW w:w="513" w:type="pct"/>
                  <w:vAlign w:val="center"/>
                </w:tcPr>
                <w:p w14:paraId="232C74ED">
                  <w:pPr>
                    <w:widowControl/>
                    <w:jc w:val="center"/>
                    <w:rPr>
                      <w:color w:val="auto"/>
                      <w:kern w:val="0"/>
                      <w:sz w:val="21"/>
                      <w:szCs w:val="21"/>
                    </w:rPr>
                  </w:pPr>
                  <w:r>
                    <w:rPr>
                      <w:rFonts w:hint="eastAsia"/>
                      <w:color w:val="auto"/>
                      <w:kern w:val="0"/>
                      <w:sz w:val="21"/>
                      <w:szCs w:val="21"/>
                      <w:lang w:val="en-US" w:eastAsia="zh-CN"/>
                    </w:rPr>
                    <w:t>900-099-S59</w:t>
                  </w:r>
                </w:p>
              </w:tc>
              <w:tc>
                <w:tcPr>
                  <w:tcW w:w="921" w:type="dxa"/>
                  <w:vAlign w:val="center"/>
                </w:tcPr>
                <w:p w14:paraId="12903CE1">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51.5844</w:t>
                  </w:r>
                </w:p>
              </w:tc>
              <w:tc>
                <w:tcPr>
                  <w:tcW w:w="352" w:type="pct"/>
                  <w:vMerge w:val="continue"/>
                  <w:vAlign w:val="center"/>
                </w:tcPr>
                <w:p w14:paraId="23CEED6C">
                  <w:pPr>
                    <w:jc w:val="center"/>
                    <w:rPr>
                      <w:rFonts w:hint="eastAsia" w:ascii="宋体" w:hAnsi="宋体" w:cs="宋体"/>
                      <w:color w:val="auto"/>
                      <w:kern w:val="0"/>
                      <w:sz w:val="21"/>
                      <w:szCs w:val="21"/>
                    </w:rPr>
                  </w:pPr>
                </w:p>
              </w:tc>
              <w:tc>
                <w:tcPr>
                  <w:tcW w:w="423" w:type="pct"/>
                  <w:vAlign w:val="center"/>
                </w:tcPr>
                <w:p w14:paraId="6D42A60F">
                  <w:pPr>
                    <w:jc w:val="center"/>
                    <w:rPr>
                      <w:rFonts w:ascii="宋体" w:hAnsi="宋体" w:cs="宋体"/>
                      <w:color w:val="auto"/>
                      <w:kern w:val="0"/>
                      <w:sz w:val="21"/>
                      <w:szCs w:val="21"/>
                    </w:rPr>
                  </w:pPr>
                  <w:r>
                    <w:rPr>
                      <w:rFonts w:hint="eastAsia" w:ascii="宋体" w:hAnsi="宋体" w:cs="宋体"/>
                      <w:color w:val="auto"/>
                      <w:kern w:val="0"/>
                      <w:sz w:val="21"/>
                      <w:szCs w:val="21"/>
                    </w:rPr>
                    <w:t>收集外售</w:t>
                  </w:r>
                </w:p>
              </w:tc>
              <w:tc>
                <w:tcPr>
                  <w:tcW w:w="423" w:type="pct"/>
                  <w:vAlign w:val="center"/>
                </w:tcPr>
                <w:p w14:paraId="5C517773">
                  <w:pPr>
                    <w:autoSpaceDE w:val="0"/>
                    <w:autoSpaceDN w:val="0"/>
                    <w:adjustRightInd w:val="0"/>
                    <w:snapToGrid w:val="0"/>
                    <w:jc w:val="center"/>
                    <w:rPr>
                      <w:rFonts w:hint="default" w:ascii="宋体" w:hAnsi="宋体" w:cs="宋体"/>
                      <w:color w:val="auto"/>
                      <w:kern w:val="0"/>
                      <w:sz w:val="21"/>
                      <w:szCs w:val="21"/>
                      <w:lang w:val="en-US"/>
                    </w:rPr>
                  </w:pPr>
                  <w:r>
                    <w:rPr>
                      <w:rFonts w:hint="eastAsia"/>
                      <w:color w:val="auto"/>
                      <w:sz w:val="21"/>
                      <w:szCs w:val="21"/>
                      <w:lang w:val="en-US" w:eastAsia="zh-CN"/>
                    </w:rPr>
                    <w:t>51.5844</w:t>
                  </w:r>
                </w:p>
              </w:tc>
            </w:tr>
            <w:tr w14:paraId="6371F9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2CD78E7B">
                  <w:pPr>
                    <w:autoSpaceDE w:val="0"/>
                    <w:autoSpaceDN w:val="0"/>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3</w:t>
                  </w:r>
                </w:p>
              </w:tc>
              <w:tc>
                <w:tcPr>
                  <w:tcW w:w="371" w:type="pct"/>
                  <w:vAlign w:val="center"/>
                </w:tcPr>
                <w:p w14:paraId="1A546A4B">
                  <w:pPr>
                    <w:autoSpaceDE w:val="0"/>
                    <w:autoSpaceDN w:val="0"/>
                    <w:adjustRightInd w:val="0"/>
                    <w:snapToGrid w:val="0"/>
                    <w:jc w:val="center"/>
                    <w:rPr>
                      <w:color w:val="auto"/>
                      <w:sz w:val="21"/>
                      <w:szCs w:val="21"/>
                    </w:rPr>
                  </w:pPr>
                  <w:r>
                    <w:rPr>
                      <w:rFonts w:hint="eastAsia"/>
                      <w:color w:val="auto"/>
                      <w:sz w:val="21"/>
                      <w:szCs w:val="21"/>
                    </w:rPr>
                    <w:t>废砂</w:t>
                  </w:r>
                </w:p>
              </w:tc>
              <w:tc>
                <w:tcPr>
                  <w:tcW w:w="380" w:type="pct"/>
                  <w:vAlign w:val="center"/>
                </w:tcPr>
                <w:p w14:paraId="2A3622C2">
                  <w:pPr>
                    <w:autoSpaceDE w:val="0"/>
                    <w:autoSpaceDN w:val="0"/>
                    <w:adjustRightInd w:val="0"/>
                    <w:snapToGrid w:val="0"/>
                    <w:jc w:val="center"/>
                    <w:rPr>
                      <w:color w:val="auto"/>
                      <w:sz w:val="21"/>
                      <w:szCs w:val="21"/>
                    </w:rPr>
                  </w:pPr>
                  <w:r>
                    <w:rPr>
                      <w:rFonts w:hint="eastAsia"/>
                      <w:color w:val="auto"/>
                      <w:sz w:val="21"/>
                      <w:szCs w:val="21"/>
                    </w:rPr>
                    <w:t>落砂</w:t>
                  </w:r>
                </w:p>
              </w:tc>
              <w:tc>
                <w:tcPr>
                  <w:tcW w:w="237" w:type="pct"/>
                  <w:vAlign w:val="center"/>
                </w:tcPr>
                <w:p w14:paraId="4016E62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0B50772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343" w:type="pct"/>
                  <w:vAlign w:val="center"/>
                </w:tcPr>
                <w:p w14:paraId="40ABEB45">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261" w:type="pct"/>
                  <w:vAlign w:val="center"/>
                </w:tcPr>
                <w:p w14:paraId="29228C09">
                  <w:pPr>
                    <w:autoSpaceDE w:val="0"/>
                    <w:autoSpaceDN w:val="0"/>
                    <w:adjustRightInd w:val="0"/>
                    <w:snapToGrid w:val="0"/>
                    <w:jc w:val="center"/>
                    <w:rPr>
                      <w:color w:val="auto"/>
                      <w:sz w:val="21"/>
                      <w:szCs w:val="21"/>
                    </w:rPr>
                  </w:pPr>
                  <w:r>
                    <w:rPr>
                      <w:rFonts w:hint="eastAsia"/>
                      <w:color w:val="auto"/>
                      <w:sz w:val="21"/>
                      <w:szCs w:val="21"/>
                    </w:rPr>
                    <w:t>固</w:t>
                  </w:r>
                </w:p>
              </w:tc>
              <w:tc>
                <w:tcPr>
                  <w:tcW w:w="339" w:type="pct"/>
                  <w:vAlign w:val="center"/>
                </w:tcPr>
                <w:p w14:paraId="6BFA60F1">
                  <w:pPr>
                    <w:autoSpaceDE w:val="0"/>
                    <w:autoSpaceDN w:val="0"/>
                    <w:adjustRightInd w:val="0"/>
                    <w:snapToGrid w:val="0"/>
                    <w:jc w:val="center"/>
                    <w:rPr>
                      <w:color w:val="auto"/>
                      <w:sz w:val="21"/>
                      <w:szCs w:val="21"/>
                    </w:rPr>
                  </w:pPr>
                  <w:r>
                    <w:rPr>
                      <w:rFonts w:hint="eastAsia"/>
                      <w:color w:val="auto"/>
                      <w:sz w:val="21"/>
                      <w:szCs w:val="21"/>
                    </w:rPr>
                    <w:t>覆膜砂</w:t>
                  </w:r>
                </w:p>
              </w:tc>
              <w:tc>
                <w:tcPr>
                  <w:tcW w:w="370" w:type="pct"/>
                  <w:vAlign w:val="center"/>
                </w:tcPr>
                <w:p w14:paraId="7137CA3B">
                  <w:pPr>
                    <w:jc w:val="center"/>
                    <w:rPr>
                      <w:color w:val="auto"/>
                      <w:kern w:val="0"/>
                      <w:sz w:val="21"/>
                      <w:szCs w:val="21"/>
                    </w:rPr>
                  </w:pPr>
                  <w:r>
                    <w:rPr>
                      <w:rFonts w:hint="eastAsia"/>
                      <w:color w:val="auto"/>
                      <w:kern w:val="0"/>
                      <w:sz w:val="21"/>
                      <w:szCs w:val="21"/>
                    </w:rPr>
                    <w:t xml:space="preserve"> --</w:t>
                  </w:r>
                </w:p>
              </w:tc>
              <w:tc>
                <w:tcPr>
                  <w:tcW w:w="471" w:type="pct"/>
                  <w:vAlign w:val="center"/>
                </w:tcPr>
                <w:p w14:paraId="7EC13C7D">
                  <w:pPr>
                    <w:jc w:val="center"/>
                    <w:rPr>
                      <w:rFonts w:hint="default"/>
                      <w:color w:val="auto"/>
                      <w:sz w:val="21"/>
                      <w:szCs w:val="21"/>
                      <w:lang w:val="en-US"/>
                    </w:rPr>
                  </w:pPr>
                  <w:r>
                    <w:rPr>
                      <w:rFonts w:hint="eastAsia"/>
                      <w:color w:val="auto"/>
                      <w:sz w:val="21"/>
                      <w:szCs w:val="21"/>
                      <w:lang w:val="en-US" w:eastAsia="zh-CN"/>
                    </w:rPr>
                    <w:t>SW59</w:t>
                  </w:r>
                </w:p>
              </w:tc>
              <w:tc>
                <w:tcPr>
                  <w:tcW w:w="513" w:type="pct"/>
                  <w:vAlign w:val="center"/>
                </w:tcPr>
                <w:p w14:paraId="75502A2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900-001-S59</w:t>
                  </w:r>
                </w:p>
              </w:tc>
              <w:tc>
                <w:tcPr>
                  <w:tcW w:w="921" w:type="dxa"/>
                  <w:vAlign w:val="center"/>
                </w:tcPr>
                <w:p w14:paraId="7B986066">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947.92</w:t>
                  </w:r>
                </w:p>
              </w:tc>
              <w:tc>
                <w:tcPr>
                  <w:tcW w:w="352" w:type="pct"/>
                  <w:vMerge w:val="continue"/>
                  <w:vAlign w:val="center"/>
                </w:tcPr>
                <w:p w14:paraId="1FF06E84">
                  <w:pPr>
                    <w:jc w:val="center"/>
                    <w:rPr>
                      <w:rFonts w:hint="eastAsia" w:ascii="宋体" w:hAnsi="宋体" w:cs="宋体"/>
                      <w:color w:val="auto"/>
                      <w:kern w:val="0"/>
                      <w:sz w:val="21"/>
                      <w:szCs w:val="21"/>
                    </w:rPr>
                  </w:pPr>
                </w:p>
              </w:tc>
              <w:tc>
                <w:tcPr>
                  <w:tcW w:w="423" w:type="pct"/>
                  <w:vAlign w:val="center"/>
                </w:tcPr>
                <w:p w14:paraId="40650D8A">
                  <w:pPr>
                    <w:jc w:val="center"/>
                    <w:rPr>
                      <w:rFonts w:ascii="宋体" w:hAnsi="宋体" w:cs="宋体"/>
                      <w:color w:val="auto"/>
                      <w:kern w:val="0"/>
                      <w:sz w:val="21"/>
                      <w:szCs w:val="21"/>
                    </w:rPr>
                  </w:pPr>
                  <w:r>
                    <w:rPr>
                      <w:rFonts w:hint="eastAsia" w:ascii="宋体" w:hAnsi="宋体" w:cs="宋体"/>
                      <w:color w:val="auto"/>
                      <w:kern w:val="0"/>
                      <w:sz w:val="21"/>
                      <w:szCs w:val="21"/>
                    </w:rPr>
                    <w:t>供货商回收</w:t>
                  </w:r>
                </w:p>
              </w:tc>
              <w:tc>
                <w:tcPr>
                  <w:tcW w:w="423" w:type="pct"/>
                  <w:vAlign w:val="center"/>
                </w:tcPr>
                <w:p w14:paraId="1743A632">
                  <w:pPr>
                    <w:autoSpaceDE w:val="0"/>
                    <w:autoSpaceDN w:val="0"/>
                    <w:adjustRightInd w:val="0"/>
                    <w:snapToGrid w:val="0"/>
                    <w:jc w:val="center"/>
                    <w:rPr>
                      <w:rFonts w:hint="default" w:ascii="宋体" w:hAnsi="宋体" w:cs="宋体"/>
                      <w:color w:val="auto"/>
                      <w:kern w:val="0"/>
                      <w:sz w:val="21"/>
                      <w:szCs w:val="21"/>
                      <w:lang w:val="en-US"/>
                    </w:rPr>
                  </w:pPr>
                  <w:r>
                    <w:rPr>
                      <w:rFonts w:hint="eastAsia"/>
                      <w:color w:val="auto"/>
                      <w:sz w:val="21"/>
                      <w:szCs w:val="21"/>
                      <w:lang w:val="en-US" w:eastAsia="zh-CN"/>
                    </w:rPr>
                    <w:t>947.92</w:t>
                  </w:r>
                </w:p>
              </w:tc>
            </w:tr>
            <w:tr w14:paraId="355222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670A934A">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371" w:type="pct"/>
                  <w:vAlign w:val="center"/>
                </w:tcPr>
                <w:p w14:paraId="48230A5F">
                  <w:pPr>
                    <w:autoSpaceDE w:val="0"/>
                    <w:autoSpaceDN w:val="0"/>
                    <w:adjustRightInd w:val="0"/>
                    <w:snapToGrid w:val="0"/>
                    <w:jc w:val="center"/>
                    <w:rPr>
                      <w:rFonts w:hint="eastAsia"/>
                      <w:color w:val="auto"/>
                      <w:sz w:val="21"/>
                      <w:szCs w:val="21"/>
                    </w:rPr>
                  </w:pPr>
                  <w:r>
                    <w:rPr>
                      <w:rFonts w:hint="eastAsia"/>
                      <w:color w:val="auto"/>
                      <w:sz w:val="21"/>
                      <w:szCs w:val="21"/>
                    </w:rPr>
                    <w:t>废布袋</w:t>
                  </w:r>
                </w:p>
              </w:tc>
              <w:tc>
                <w:tcPr>
                  <w:tcW w:w="380" w:type="pct"/>
                  <w:vAlign w:val="center"/>
                </w:tcPr>
                <w:p w14:paraId="4EE415EB">
                  <w:pPr>
                    <w:autoSpaceDE w:val="0"/>
                    <w:autoSpaceDN w:val="0"/>
                    <w:adjustRightInd w:val="0"/>
                    <w:snapToGrid w:val="0"/>
                    <w:jc w:val="center"/>
                    <w:rPr>
                      <w:rFonts w:hint="eastAsia"/>
                      <w:color w:val="auto"/>
                      <w:sz w:val="21"/>
                      <w:szCs w:val="21"/>
                    </w:rPr>
                  </w:pPr>
                  <w:r>
                    <w:rPr>
                      <w:rFonts w:hint="eastAsia"/>
                      <w:color w:val="auto"/>
                      <w:sz w:val="21"/>
                      <w:szCs w:val="21"/>
                    </w:rPr>
                    <w:t>废气处理</w:t>
                  </w:r>
                </w:p>
              </w:tc>
              <w:tc>
                <w:tcPr>
                  <w:tcW w:w="237" w:type="pct"/>
                  <w:vAlign w:val="center"/>
                </w:tcPr>
                <w:p w14:paraId="08B47FD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6A11D00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343" w:type="pct"/>
                  <w:vAlign w:val="center"/>
                </w:tcPr>
                <w:p w14:paraId="060AF2E2">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261" w:type="pct"/>
                  <w:vAlign w:val="center"/>
                </w:tcPr>
                <w:p w14:paraId="4293BC55">
                  <w:pPr>
                    <w:autoSpaceDE w:val="0"/>
                    <w:autoSpaceDN w:val="0"/>
                    <w:adjustRightInd w:val="0"/>
                    <w:snapToGrid w:val="0"/>
                    <w:jc w:val="center"/>
                    <w:rPr>
                      <w:rFonts w:hint="eastAsia"/>
                      <w:color w:val="auto"/>
                      <w:sz w:val="21"/>
                      <w:szCs w:val="21"/>
                    </w:rPr>
                  </w:pPr>
                  <w:r>
                    <w:rPr>
                      <w:rFonts w:hint="eastAsia"/>
                      <w:color w:val="auto"/>
                      <w:sz w:val="21"/>
                      <w:szCs w:val="21"/>
                    </w:rPr>
                    <w:t>固</w:t>
                  </w:r>
                </w:p>
              </w:tc>
              <w:tc>
                <w:tcPr>
                  <w:tcW w:w="339" w:type="pct"/>
                  <w:vAlign w:val="center"/>
                </w:tcPr>
                <w:p w14:paraId="446D8616">
                  <w:pPr>
                    <w:autoSpaceDE w:val="0"/>
                    <w:autoSpaceDN w:val="0"/>
                    <w:adjustRightInd w:val="0"/>
                    <w:snapToGrid w:val="0"/>
                    <w:jc w:val="center"/>
                    <w:rPr>
                      <w:rFonts w:hint="default"/>
                      <w:color w:val="auto"/>
                      <w:sz w:val="21"/>
                      <w:szCs w:val="21"/>
                      <w:lang w:val="en-US"/>
                    </w:rPr>
                  </w:pPr>
                  <w:r>
                    <w:rPr>
                      <w:rFonts w:hint="eastAsia"/>
                      <w:color w:val="auto"/>
                      <w:sz w:val="21"/>
                      <w:szCs w:val="21"/>
                    </w:rPr>
                    <w:t>织物等</w:t>
                  </w:r>
                </w:p>
              </w:tc>
              <w:tc>
                <w:tcPr>
                  <w:tcW w:w="370" w:type="pct"/>
                  <w:vAlign w:val="center"/>
                </w:tcPr>
                <w:p w14:paraId="7ED76AE9">
                  <w:pPr>
                    <w:jc w:val="center"/>
                    <w:rPr>
                      <w:rFonts w:hint="eastAsia"/>
                      <w:color w:val="auto"/>
                      <w:kern w:val="0"/>
                      <w:sz w:val="21"/>
                      <w:szCs w:val="21"/>
                    </w:rPr>
                  </w:pPr>
                  <w:r>
                    <w:rPr>
                      <w:rFonts w:hint="eastAsia"/>
                      <w:color w:val="auto"/>
                      <w:kern w:val="0"/>
                      <w:sz w:val="21"/>
                      <w:szCs w:val="21"/>
                    </w:rPr>
                    <w:t xml:space="preserve"> --</w:t>
                  </w:r>
                </w:p>
              </w:tc>
              <w:tc>
                <w:tcPr>
                  <w:tcW w:w="471" w:type="pct"/>
                  <w:vAlign w:val="center"/>
                </w:tcPr>
                <w:p w14:paraId="7D0A545C">
                  <w:pPr>
                    <w:jc w:val="center"/>
                    <w:rPr>
                      <w:rFonts w:hint="eastAsia"/>
                      <w:color w:val="auto"/>
                      <w:sz w:val="21"/>
                      <w:szCs w:val="21"/>
                      <w:lang w:val="en-US" w:eastAsia="zh-CN"/>
                    </w:rPr>
                  </w:pPr>
                  <w:r>
                    <w:rPr>
                      <w:rFonts w:hint="eastAsia"/>
                      <w:color w:val="auto"/>
                      <w:sz w:val="21"/>
                      <w:szCs w:val="21"/>
                      <w:lang w:val="en-US" w:eastAsia="zh-CN"/>
                    </w:rPr>
                    <w:t>SW59</w:t>
                  </w:r>
                </w:p>
              </w:tc>
              <w:tc>
                <w:tcPr>
                  <w:tcW w:w="513" w:type="pct"/>
                  <w:vAlign w:val="center"/>
                </w:tcPr>
                <w:p w14:paraId="664204FB">
                  <w:pPr>
                    <w:widowControl/>
                    <w:jc w:val="center"/>
                    <w:rPr>
                      <w:rFonts w:hint="eastAsia"/>
                      <w:color w:val="auto"/>
                      <w:kern w:val="0"/>
                      <w:sz w:val="21"/>
                      <w:szCs w:val="21"/>
                      <w:lang w:val="en-US" w:eastAsia="zh-CN"/>
                    </w:rPr>
                  </w:pPr>
                  <w:r>
                    <w:rPr>
                      <w:rFonts w:hint="eastAsia"/>
                      <w:color w:val="auto"/>
                      <w:kern w:val="0"/>
                      <w:sz w:val="21"/>
                      <w:szCs w:val="21"/>
                      <w:lang w:val="en-US" w:eastAsia="zh-CN"/>
                    </w:rPr>
                    <w:t>900-009-S59</w:t>
                  </w:r>
                </w:p>
              </w:tc>
              <w:tc>
                <w:tcPr>
                  <w:tcW w:w="921" w:type="dxa"/>
                  <w:vAlign w:val="center"/>
                </w:tcPr>
                <w:p w14:paraId="272BFD5E">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0.2312</w:t>
                  </w:r>
                </w:p>
              </w:tc>
              <w:tc>
                <w:tcPr>
                  <w:tcW w:w="352" w:type="pct"/>
                  <w:vMerge w:val="continue"/>
                  <w:vAlign w:val="center"/>
                </w:tcPr>
                <w:p w14:paraId="1593DB30">
                  <w:pPr>
                    <w:jc w:val="center"/>
                    <w:rPr>
                      <w:rFonts w:hint="eastAsia" w:ascii="宋体" w:hAnsi="宋体" w:cs="宋体"/>
                      <w:color w:val="auto"/>
                      <w:kern w:val="0"/>
                      <w:sz w:val="21"/>
                      <w:szCs w:val="21"/>
                    </w:rPr>
                  </w:pPr>
                </w:p>
              </w:tc>
              <w:tc>
                <w:tcPr>
                  <w:tcW w:w="423" w:type="pct"/>
                  <w:vAlign w:val="center"/>
                </w:tcPr>
                <w:p w14:paraId="2CB8E603">
                  <w:pPr>
                    <w:jc w:val="center"/>
                    <w:rPr>
                      <w:rFonts w:hint="eastAsia" w:ascii="宋体" w:hAnsi="宋体" w:cs="宋体"/>
                      <w:color w:val="auto"/>
                      <w:kern w:val="0"/>
                      <w:sz w:val="21"/>
                      <w:szCs w:val="21"/>
                    </w:rPr>
                  </w:pPr>
                  <w:r>
                    <w:rPr>
                      <w:rFonts w:hint="eastAsia" w:ascii="宋体" w:hAnsi="宋体" w:cs="宋体"/>
                      <w:color w:val="auto"/>
                      <w:kern w:val="0"/>
                      <w:sz w:val="21"/>
                      <w:szCs w:val="21"/>
                    </w:rPr>
                    <w:t>收集外售</w:t>
                  </w:r>
                </w:p>
              </w:tc>
              <w:tc>
                <w:tcPr>
                  <w:tcW w:w="423" w:type="pct"/>
                  <w:vAlign w:val="center"/>
                </w:tcPr>
                <w:p w14:paraId="76EEB30C">
                  <w:pPr>
                    <w:autoSpaceDE w:val="0"/>
                    <w:autoSpaceDN w:val="0"/>
                    <w:adjustRightInd w:val="0"/>
                    <w:snapToGrid w:val="0"/>
                    <w:jc w:val="center"/>
                    <w:rPr>
                      <w:rFonts w:hint="default" w:ascii="宋体" w:hAnsi="宋体" w:cs="宋体"/>
                      <w:color w:val="auto"/>
                      <w:kern w:val="0"/>
                      <w:sz w:val="21"/>
                      <w:szCs w:val="21"/>
                      <w:lang w:val="en-US"/>
                    </w:rPr>
                  </w:pPr>
                  <w:r>
                    <w:rPr>
                      <w:rFonts w:hint="eastAsia"/>
                      <w:color w:val="auto"/>
                      <w:sz w:val="21"/>
                      <w:szCs w:val="21"/>
                      <w:lang w:val="en-US" w:eastAsia="zh-CN"/>
                    </w:rPr>
                    <w:t>0.2312</w:t>
                  </w:r>
                </w:p>
              </w:tc>
            </w:tr>
            <w:tr w14:paraId="571240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45B8B171">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371" w:type="pct"/>
                  <w:vAlign w:val="center"/>
                </w:tcPr>
                <w:p w14:paraId="5154D590">
                  <w:pPr>
                    <w:autoSpaceDE w:val="0"/>
                    <w:autoSpaceDN w:val="0"/>
                    <w:adjustRightInd w:val="0"/>
                    <w:snapToGrid w:val="0"/>
                    <w:jc w:val="center"/>
                    <w:rPr>
                      <w:color w:val="auto"/>
                      <w:sz w:val="21"/>
                      <w:szCs w:val="21"/>
                    </w:rPr>
                  </w:pPr>
                  <w:r>
                    <w:rPr>
                      <w:rFonts w:hint="eastAsia"/>
                      <w:color w:val="auto"/>
                      <w:sz w:val="21"/>
                      <w:szCs w:val="21"/>
                      <w:lang w:val="en-US" w:eastAsia="zh-CN"/>
                    </w:rPr>
                    <w:t>炉</w:t>
                  </w:r>
                  <w:r>
                    <w:rPr>
                      <w:rFonts w:hint="eastAsia"/>
                      <w:color w:val="auto"/>
                      <w:sz w:val="21"/>
                      <w:szCs w:val="21"/>
                    </w:rPr>
                    <w:t>渣</w:t>
                  </w:r>
                </w:p>
              </w:tc>
              <w:tc>
                <w:tcPr>
                  <w:tcW w:w="380" w:type="pct"/>
                  <w:vAlign w:val="center"/>
                </w:tcPr>
                <w:p w14:paraId="7D527444">
                  <w:pPr>
                    <w:autoSpaceDE w:val="0"/>
                    <w:autoSpaceDN w:val="0"/>
                    <w:adjustRightInd w:val="0"/>
                    <w:snapToGrid w:val="0"/>
                    <w:jc w:val="center"/>
                    <w:rPr>
                      <w:color w:val="auto"/>
                      <w:sz w:val="21"/>
                      <w:szCs w:val="21"/>
                    </w:rPr>
                  </w:pPr>
                  <w:r>
                    <w:rPr>
                      <w:rFonts w:hint="eastAsia"/>
                      <w:color w:val="auto"/>
                      <w:sz w:val="21"/>
                      <w:szCs w:val="21"/>
                    </w:rPr>
                    <w:t>熔融</w:t>
                  </w:r>
                </w:p>
              </w:tc>
              <w:tc>
                <w:tcPr>
                  <w:tcW w:w="237" w:type="pct"/>
                  <w:vAlign w:val="center"/>
                </w:tcPr>
                <w:p w14:paraId="526AA50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14168D3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626F07A1">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炉渣</w:t>
                  </w:r>
                </w:p>
              </w:tc>
              <w:tc>
                <w:tcPr>
                  <w:tcW w:w="261" w:type="pct"/>
                  <w:vAlign w:val="center"/>
                </w:tcPr>
                <w:p w14:paraId="4F393468">
                  <w:pPr>
                    <w:autoSpaceDE w:val="0"/>
                    <w:autoSpaceDN w:val="0"/>
                    <w:adjustRightInd w:val="0"/>
                    <w:snapToGrid w:val="0"/>
                    <w:jc w:val="center"/>
                    <w:rPr>
                      <w:color w:val="auto"/>
                      <w:sz w:val="21"/>
                      <w:szCs w:val="21"/>
                    </w:rPr>
                  </w:pPr>
                  <w:r>
                    <w:rPr>
                      <w:rFonts w:hint="eastAsia"/>
                      <w:color w:val="auto"/>
                      <w:sz w:val="21"/>
                      <w:szCs w:val="21"/>
                    </w:rPr>
                    <w:t>固</w:t>
                  </w:r>
                </w:p>
              </w:tc>
              <w:tc>
                <w:tcPr>
                  <w:tcW w:w="339" w:type="pct"/>
                  <w:vAlign w:val="center"/>
                </w:tcPr>
                <w:p w14:paraId="366AFF5C">
                  <w:pPr>
                    <w:autoSpaceDE w:val="0"/>
                    <w:autoSpaceDN w:val="0"/>
                    <w:adjustRightInd w:val="0"/>
                    <w:snapToGrid w:val="0"/>
                    <w:jc w:val="center"/>
                    <w:rPr>
                      <w:color w:val="auto"/>
                      <w:sz w:val="21"/>
                      <w:szCs w:val="21"/>
                    </w:rPr>
                  </w:pPr>
                  <w:r>
                    <w:rPr>
                      <w:rFonts w:hint="eastAsia"/>
                      <w:color w:val="auto"/>
                      <w:sz w:val="21"/>
                      <w:szCs w:val="21"/>
                      <w:lang w:val="en-US" w:eastAsia="zh-CN"/>
                    </w:rPr>
                    <w:t>铝渣</w:t>
                  </w:r>
                </w:p>
              </w:tc>
              <w:tc>
                <w:tcPr>
                  <w:tcW w:w="370" w:type="pct"/>
                  <w:vAlign w:val="center"/>
                </w:tcPr>
                <w:p w14:paraId="010FD4C0">
                  <w:pPr>
                    <w:autoSpaceDE w:val="0"/>
                    <w:autoSpaceDN w:val="0"/>
                    <w:snapToGrid w:val="0"/>
                    <w:jc w:val="center"/>
                    <w:rPr>
                      <w:color w:val="auto"/>
                      <w:kern w:val="0"/>
                      <w:sz w:val="21"/>
                      <w:szCs w:val="21"/>
                    </w:rPr>
                  </w:pPr>
                  <w:r>
                    <w:rPr>
                      <w:rFonts w:hint="eastAsia"/>
                      <w:color w:val="auto"/>
                      <w:sz w:val="21"/>
                      <w:szCs w:val="21"/>
                    </w:rPr>
                    <w:t>R</w:t>
                  </w:r>
                </w:p>
              </w:tc>
              <w:tc>
                <w:tcPr>
                  <w:tcW w:w="471" w:type="pct"/>
                  <w:vAlign w:val="center"/>
                </w:tcPr>
                <w:p w14:paraId="17FBD6EB">
                  <w:pPr>
                    <w:autoSpaceDE w:val="0"/>
                    <w:autoSpaceDN w:val="0"/>
                    <w:snapToGrid w:val="0"/>
                    <w:jc w:val="center"/>
                    <w:rPr>
                      <w:color w:val="auto"/>
                      <w:sz w:val="21"/>
                      <w:szCs w:val="21"/>
                    </w:rPr>
                  </w:pPr>
                  <w:r>
                    <w:rPr>
                      <w:rFonts w:hint="eastAsia"/>
                      <w:color w:val="auto"/>
                      <w:sz w:val="21"/>
                      <w:szCs w:val="21"/>
                    </w:rPr>
                    <w:t>HW48</w:t>
                  </w:r>
                </w:p>
              </w:tc>
              <w:tc>
                <w:tcPr>
                  <w:tcW w:w="513" w:type="pct"/>
                  <w:vAlign w:val="center"/>
                </w:tcPr>
                <w:p w14:paraId="3AFD9CCD">
                  <w:pPr>
                    <w:jc w:val="center"/>
                    <w:rPr>
                      <w:color w:val="auto"/>
                      <w:kern w:val="0"/>
                      <w:sz w:val="21"/>
                      <w:szCs w:val="21"/>
                    </w:rPr>
                  </w:pPr>
                  <w:r>
                    <w:rPr>
                      <w:rFonts w:hint="eastAsia"/>
                      <w:color w:val="auto"/>
                      <w:sz w:val="21"/>
                      <w:szCs w:val="21"/>
                    </w:rPr>
                    <w:t>321-026-48</w:t>
                  </w:r>
                </w:p>
              </w:tc>
              <w:tc>
                <w:tcPr>
                  <w:tcW w:w="921" w:type="dxa"/>
                  <w:vAlign w:val="center"/>
                </w:tcPr>
                <w:p w14:paraId="6D49E0A1">
                  <w:pPr>
                    <w:autoSpaceDE w:val="0"/>
                    <w:autoSpaceDN w:val="0"/>
                    <w:adjustRightInd w:val="0"/>
                    <w:snapToGrid w:val="0"/>
                    <w:jc w:val="center"/>
                    <w:rPr>
                      <w:color w:val="auto"/>
                      <w:sz w:val="21"/>
                      <w:szCs w:val="21"/>
                    </w:rPr>
                  </w:pPr>
                  <w:r>
                    <w:rPr>
                      <w:rFonts w:hint="eastAsia"/>
                      <w:color w:val="auto"/>
                      <w:sz w:val="21"/>
                      <w:szCs w:val="21"/>
                      <w:lang w:val="en-US" w:eastAsia="zh-CN"/>
                    </w:rPr>
                    <w:t>3</w:t>
                  </w:r>
                </w:p>
              </w:tc>
              <w:tc>
                <w:tcPr>
                  <w:tcW w:w="352" w:type="pct"/>
                  <w:vMerge w:val="restart"/>
                  <w:vAlign w:val="center"/>
                </w:tcPr>
                <w:p w14:paraId="2E3A855F">
                  <w:pPr>
                    <w:jc w:val="center"/>
                    <w:rPr>
                      <w:rFonts w:hint="eastAsia" w:ascii="宋体" w:hAnsi="宋体" w:cs="宋体"/>
                      <w:color w:val="auto"/>
                      <w:kern w:val="0"/>
                      <w:sz w:val="21"/>
                      <w:szCs w:val="21"/>
                    </w:rPr>
                  </w:pPr>
                  <w:r>
                    <w:rPr>
                      <w:rFonts w:hint="eastAsia"/>
                      <w:color w:val="auto"/>
                      <w:spacing w:val="4"/>
                      <w:kern w:val="18"/>
                      <w:sz w:val="21"/>
                      <w:szCs w:val="21"/>
                    </w:rPr>
                    <w:t>危废仓库贮存</w:t>
                  </w:r>
                </w:p>
              </w:tc>
              <w:tc>
                <w:tcPr>
                  <w:tcW w:w="423" w:type="pct"/>
                  <w:vAlign w:val="center"/>
                </w:tcPr>
                <w:p w14:paraId="728AE037">
                  <w:pPr>
                    <w:jc w:val="center"/>
                    <w:rPr>
                      <w:rFonts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0E2B7E8D">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lang w:val="en-US" w:eastAsia="zh-CN"/>
                    </w:rPr>
                    <w:t>3</w:t>
                  </w:r>
                </w:p>
              </w:tc>
            </w:tr>
            <w:tr w14:paraId="1FE214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5316AA8E">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w:t>
                  </w:r>
                </w:p>
              </w:tc>
              <w:tc>
                <w:tcPr>
                  <w:tcW w:w="371" w:type="pct"/>
                  <w:vAlign w:val="center"/>
                </w:tcPr>
                <w:p w14:paraId="0E7270DB">
                  <w:pPr>
                    <w:autoSpaceDE w:val="0"/>
                    <w:autoSpaceDN w:val="0"/>
                    <w:adjustRightInd w:val="0"/>
                    <w:snapToGrid w:val="0"/>
                    <w:jc w:val="center"/>
                    <w:rPr>
                      <w:color w:val="auto"/>
                      <w:sz w:val="21"/>
                      <w:szCs w:val="21"/>
                    </w:rPr>
                  </w:pPr>
                  <w:r>
                    <w:rPr>
                      <w:rFonts w:hint="eastAsia"/>
                      <w:color w:val="auto"/>
                      <w:sz w:val="21"/>
                      <w:szCs w:val="21"/>
                    </w:rPr>
                    <w:t>废油</w:t>
                  </w:r>
                </w:p>
              </w:tc>
              <w:tc>
                <w:tcPr>
                  <w:tcW w:w="380" w:type="pct"/>
                  <w:vAlign w:val="center"/>
                </w:tcPr>
                <w:p w14:paraId="760D5A82">
                  <w:pPr>
                    <w:autoSpaceDE w:val="0"/>
                    <w:autoSpaceDN w:val="0"/>
                    <w:adjustRightInd w:val="0"/>
                    <w:snapToGrid w:val="0"/>
                    <w:jc w:val="center"/>
                    <w:rPr>
                      <w:color w:val="auto"/>
                      <w:sz w:val="21"/>
                      <w:szCs w:val="21"/>
                    </w:rPr>
                  </w:pPr>
                  <w:r>
                    <w:rPr>
                      <w:rFonts w:hint="eastAsia"/>
                      <w:color w:val="auto"/>
                      <w:sz w:val="21"/>
                      <w:szCs w:val="21"/>
                    </w:rPr>
                    <w:t>设备保养</w:t>
                  </w:r>
                </w:p>
              </w:tc>
              <w:tc>
                <w:tcPr>
                  <w:tcW w:w="237" w:type="pct"/>
                  <w:vAlign w:val="center"/>
                </w:tcPr>
                <w:p w14:paraId="2BC98FD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71632D4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689685F5">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油</w:t>
                  </w:r>
                </w:p>
              </w:tc>
              <w:tc>
                <w:tcPr>
                  <w:tcW w:w="261" w:type="pct"/>
                  <w:vAlign w:val="center"/>
                </w:tcPr>
                <w:p w14:paraId="4299DDD7">
                  <w:pPr>
                    <w:autoSpaceDE w:val="0"/>
                    <w:autoSpaceDN w:val="0"/>
                    <w:adjustRightInd w:val="0"/>
                    <w:snapToGrid w:val="0"/>
                    <w:jc w:val="center"/>
                    <w:rPr>
                      <w:color w:val="auto"/>
                      <w:sz w:val="21"/>
                      <w:szCs w:val="21"/>
                    </w:rPr>
                  </w:pPr>
                  <w:r>
                    <w:rPr>
                      <w:rFonts w:hint="eastAsia"/>
                      <w:color w:val="auto"/>
                      <w:sz w:val="21"/>
                      <w:szCs w:val="21"/>
                    </w:rPr>
                    <w:t>液</w:t>
                  </w:r>
                </w:p>
              </w:tc>
              <w:tc>
                <w:tcPr>
                  <w:tcW w:w="339" w:type="pct"/>
                  <w:vAlign w:val="center"/>
                </w:tcPr>
                <w:p w14:paraId="3ACF9470">
                  <w:pPr>
                    <w:autoSpaceDE w:val="0"/>
                    <w:autoSpaceDN w:val="0"/>
                    <w:adjustRightInd w:val="0"/>
                    <w:snapToGrid w:val="0"/>
                    <w:jc w:val="center"/>
                    <w:rPr>
                      <w:color w:val="auto"/>
                      <w:sz w:val="21"/>
                      <w:szCs w:val="21"/>
                    </w:rPr>
                  </w:pPr>
                  <w:r>
                    <w:rPr>
                      <w:rFonts w:hint="eastAsia"/>
                      <w:color w:val="auto"/>
                      <w:sz w:val="21"/>
                      <w:szCs w:val="21"/>
                    </w:rPr>
                    <w:t>油</w:t>
                  </w:r>
                  <w:r>
                    <w:rPr>
                      <w:rFonts w:hint="eastAsia"/>
                      <w:color w:val="auto"/>
                      <w:sz w:val="21"/>
                      <w:szCs w:val="21"/>
                      <w:lang w:val="en-US" w:eastAsia="zh-CN"/>
                    </w:rPr>
                    <w:t>类</w:t>
                  </w:r>
                </w:p>
              </w:tc>
              <w:tc>
                <w:tcPr>
                  <w:tcW w:w="370" w:type="pct"/>
                  <w:vAlign w:val="center"/>
                </w:tcPr>
                <w:p w14:paraId="15A252BC">
                  <w:pPr>
                    <w:autoSpaceDE w:val="0"/>
                    <w:autoSpaceDN w:val="0"/>
                    <w:snapToGrid w:val="0"/>
                    <w:jc w:val="center"/>
                    <w:rPr>
                      <w:color w:val="auto"/>
                      <w:sz w:val="21"/>
                      <w:szCs w:val="21"/>
                    </w:rPr>
                  </w:pPr>
                  <w:r>
                    <w:rPr>
                      <w:color w:val="auto"/>
                      <w:kern w:val="0"/>
                      <w:sz w:val="21"/>
                      <w:szCs w:val="21"/>
                    </w:rPr>
                    <w:t>T</w:t>
                  </w:r>
                  <w:r>
                    <w:rPr>
                      <w:rFonts w:hint="eastAsia" w:hAnsi="宋体"/>
                      <w:color w:val="auto"/>
                      <w:kern w:val="0"/>
                      <w:sz w:val="21"/>
                      <w:szCs w:val="21"/>
                    </w:rPr>
                    <w:t>/</w:t>
                  </w:r>
                  <w:r>
                    <w:rPr>
                      <w:color w:val="auto"/>
                      <w:kern w:val="0"/>
                      <w:sz w:val="21"/>
                      <w:szCs w:val="21"/>
                    </w:rPr>
                    <w:t>I</w:t>
                  </w:r>
                </w:p>
              </w:tc>
              <w:tc>
                <w:tcPr>
                  <w:tcW w:w="471" w:type="pct"/>
                  <w:vAlign w:val="center"/>
                </w:tcPr>
                <w:p w14:paraId="0F39E9D7">
                  <w:pPr>
                    <w:jc w:val="center"/>
                    <w:rPr>
                      <w:color w:val="auto"/>
                      <w:sz w:val="21"/>
                      <w:szCs w:val="21"/>
                    </w:rPr>
                  </w:pPr>
                  <w:r>
                    <w:rPr>
                      <w:rFonts w:hint="eastAsia"/>
                      <w:color w:val="auto"/>
                      <w:sz w:val="21"/>
                      <w:szCs w:val="21"/>
                    </w:rPr>
                    <w:t>HW08</w:t>
                  </w:r>
                </w:p>
              </w:tc>
              <w:tc>
                <w:tcPr>
                  <w:tcW w:w="513" w:type="pct"/>
                  <w:vAlign w:val="center"/>
                </w:tcPr>
                <w:p w14:paraId="6F74DFBD">
                  <w:pPr>
                    <w:jc w:val="center"/>
                    <w:rPr>
                      <w:color w:val="auto"/>
                      <w:sz w:val="21"/>
                      <w:szCs w:val="21"/>
                    </w:rPr>
                  </w:pPr>
                  <w:r>
                    <w:rPr>
                      <w:rFonts w:hint="eastAsia"/>
                      <w:color w:val="auto"/>
                      <w:sz w:val="21"/>
                      <w:szCs w:val="21"/>
                    </w:rPr>
                    <w:t>900-21</w:t>
                  </w:r>
                  <w:r>
                    <w:rPr>
                      <w:rFonts w:hint="eastAsia"/>
                      <w:color w:val="auto"/>
                      <w:sz w:val="21"/>
                      <w:szCs w:val="21"/>
                      <w:lang w:val="en-US" w:eastAsia="zh-CN"/>
                    </w:rPr>
                    <w:t>4</w:t>
                  </w:r>
                  <w:r>
                    <w:rPr>
                      <w:rFonts w:hint="eastAsia"/>
                      <w:color w:val="auto"/>
                      <w:sz w:val="21"/>
                      <w:szCs w:val="21"/>
                    </w:rPr>
                    <w:t>-08</w:t>
                  </w:r>
                </w:p>
              </w:tc>
              <w:tc>
                <w:tcPr>
                  <w:tcW w:w="921" w:type="dxa"/>
                  <w:vAlign w:val="center"/>
                </w:tcPr>
                <w:p w14:paraId="00ABCD7F">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rPr>
                    <w:t>0.5</w:t>
                  </w:r>
                </w:p>
              </w:tc>
              <w:tc>
                <w:tcPr>
                  <w:tcW w:w="352" w:type="pct"/>
                  <w:vMerge w:val="continue"/>
                  <w:vAlign w:val="center"/>
                </w:tcPr>
                <w:p w14:paraId="79DDF93B">
                  <w:pPr>
                    <w:jc w:val="center"/>
                    <w:rPr>
                      <w:rFonts w:hint="eastAsia" w:ascii="宋体" w:hAnsi="宋体" w:cs="宋体"/>
                      <w:color w:val="auto"/>
                      <w:kern w:val="0"/>
                      <w:sz w:val="21"/>
                      <w:szCs w:val="21"/>
                    </w:rPr>
                  </w:pPr>
                </w:p>
              </w:tc>
              <w:tc>
                <w:tcPr>
                  <w:tcW w:w="423" w:type="pct"/>
                  <w:vAlign w:val="center"/>
                </w:tcPr>
                <w:p w14:paraId="32F8E1FC">
                  <w:pPr>
                    <w:jc w:val="center"/>
                    <w:rPr>
                      <w:rFonts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16E38F05">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rPr>
                    <w:t>0.5</w:t>
                  </w:r>
                </w:p>
              </w:tc>
            </w:tr>
            <w:tr w14:paraId="7E6211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27" w:hRule="atLeast"/>
              </w:trPr>
              <w:tc>
                <w:tcPr>
                  <w:tcW w:w="161" w:type="pct"/>
                  <w:vAlign w:val="center"/>
                </w:tcPr>
                <w:p w14:paraId="17190B42">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7</w:t>
                  </w:r>
                </w:p>
              </w:tc>
              <w:tc>
                <w:tcPr>
                  <w:tcW w:w="371" w:type="pct"/>
                  <w:vAlign w:val="center"/>
                </w:tcPr>
                <w:p w14:paraId="59539702">
                  <w:pPr>
                    <w:autoSpaceDE w:val="0"/>
                    <w:autoSpaceDN w:val="0"/>
                    <w:adjustRightInd w:val="0"/>
                    <w:snapToGrid w:val="0"/>
                    <w:jc w:val="center"/>
                    <w:rPr>
                      <w:rFonts w:hint="default" w:eastAsia="宋体"/>
                      <w:color w:val="auto"/>
                      <w:sz w:val="21"/>
                      <w:szCs w:val="21"/>
                      <w:lang w:val="en-US" w:eastAsia="zh-CN"/>
                    </w:rPr>
                  </w:pPr>
                  <w:r>
                    <w:rPr>
                      <w:rFonts w:hint="eastAsia"/>
                      <w:color w:val="auto"/>
                      <w:szCs w:val="21"/>
                      <w:lang w:val="en-US" w:eastAsia="zh-CN"/>
                    </w:rPr>
                    <w:t>熔融、打磨工序收集尘</w:t>
                  </w:r>
                </w:p>
              </w:tc>
              <w:tc>
                <w:tcPr>
                  <w:tcW w:w="380" w:type="pct"/>
                  <w:vAlign w:val="center"/>
                </w:tcPr>
                <w:p w14:paraId="5CB8A344">
                  <w:pPr>
                    <w:autoSpaceDE w:val="0"/>
                    <w:autoSpaceDN w:val="0"/>
                    <w:adjustRightInd w:val="0"/>
                    <w:snapToGrid w:val="0"/>
                    <w:jc w:val="center"/>
                    <w:rPr>
                      <w:rFonts w:hint="eastAsia"/>
                      <w:color w:val="auto"/>
                      <w:sz w:val="21"/>
                      <w:szCs w:val="21"/>
                    </w:rPr>
                  </w:pPr>
                  <w:r>
                    <w:rPr>
                      <w:rFonts w:hint="eastAsia"/>
                      <w:color w:val="auto"/>
                      <w:sz w:val="21"/>
                      <w:szCs w:val="21"/>
                    </w:rPr>
                    <w:t>废气</w:t>
                  </w:r>
                </w:p>
                <w:p w14:paraId="5F25F6A8">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rPr>
                    <w:t>处理</w:t>
                  </w:r>
                </w:p>
              </w:tc>
              <w:tc>
                <w:tcPr>
                  <w:tcW w:w="237" w:type="pct"/>
                  <w:vAlign w:val="center"/>
                </w:tcPr>
                <w:p w14:paraId="2B1C228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6D793E9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661D8AFC">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铝屑</w:t>
                  </w:r>
                </w:p>
              </w:tc>
              <w:tc>
                <w:tcPr>
                  <w:tcW w:w="261" w:type="pct"/>
                  <w:vAlign w:val="center"/>
                </w:tcPr>
                <w:p w14:paraId="141E65AE">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固</w:t>
                  </w:r>
                </w:p>
              </w:tc>
              <w:tc>
                <w:tcPr>
                  <w:tcW w:w="339" w:type="pct"/>
                  <w:vAlign w:val="center"/>
                </w:tcPr>
                <w:p w14:paraId="5DD38127">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rPr>
                    <w:t>铝</w:t>
                  </w:r>
                  <w:r>
                    <w:rPr>
                      <w:rFonts w:hint="eastAsia"/>
                      <w:color w:val="auto"/>
                      <w:sz w:val="21"/>
                      <w:szCs w:val="21"/>
                      <w:lang w:val="en-US" w:eastAsia="zh-CN"/>
                    </w:rPr>
                    <w:t>屑</w:t>
                  </w:r>
                </w:p>
              </w:tc>
              <w:tc>
                <w:tcPr>
                  <w:tcW w:w="370" w:type="pct"/>
                  <w:vAlign w:val="center"/>
                </w:tcPr>
                <w:p w14:paraId="599B4DF0">
                  <w:pPr>
                    <w:autoSpaceDE w:val="0"/>
                    <w:autoSpaceDN w:val="0"/>
                    <w:snapToGrid w:val="0"/>
                    <w:jc w:val="center"/>
                    <w:rPr>
                      <w:rFonts w:hint="eastAsia"/>
                      <w:color w:val="auto"/>
                      <w:sz w:val="21"/>
                      <w:szCs w:val="21"/>
                    </w:rPr>
                  </w:pPr>
                  <w:r>
                    <w:rPr>
                      <w:color w:val="auto"/>
                      <w:kern w:val="0"/>
                      <w:sz w:val="21"/>
                      <w:szCs w:val="21"/>
                    </w:rPr>
                    <w:t>T</w:t>
                  </w:r>
                  <w:r>
                    <w:rPr>
                      <w:rFonts w:hint="eastAsia" w:hAnsi="宋体"/>
                      <w:color w:val="auto"/>
                      <w:kern w:val="0"/>
                      <w:sz w:val="21"/>
                      <w:szCs w:val="21"/>
                    </w:rPr>
                    <w:t>/R</w:t>
                  </w:r>
                </w:p>
              </w:tc>
              <w:tc>
                <w:tcPr>
                  <w:tcW w:w="471" w:type="pct"/>
                  <w:vAlign w:val="center"/>
                </w:tcPr>
                <w:p w14:paraId="1FC44D00">
                  <w:pPr>
                    <w:autoSpaceDE w:val="0"/>
                    <w:autoSpaceDN w:val="0"/>
                    <w:snapToGrid w:val="0"/>
                    <w:jc w:val="center"/>
                    <w:rPr>
                      <w:rFonts w:hint="default"/>
                      <w:color w:val="auto"/>
                      <w:sz w:val="21"/>
                      <w:szCs w:val="21"/>
                      <w:lang w:val="en-US" w:eastAsia="zh-CN"/>
                    </w:rPr>
                  </w:pPr>
                  <w:r>
                    <w:rPr>
                      <w:rFonts w:hint="eastAsia"/>
                      <w:color w:val="auto"/>
                      <w:sz w:val="21"/>
                      <w:szCs w:val="21"/>
                    </w:rPr>
                    <w:t>HW48</w:t>
                  </w:r>
                </w:p>
              </w:tc>
              <w:tc>
                <w:tcPr>
                  <w:tcW w:w="513" w:type="pct"/>
                  <w:vAlign w:val="center"/>
                </w:tcPr>
                <w:p w14:paraId="20215012">
                  <w:pPr>
                    <w:jc w:val="center"/>
                    <w:rPr>
                      <w:rFonts w:hint="default"/>
                      <w:color w:val="auto"/>
                      <w:kern w:val="0"/>
                      <w:sz w:val="21"/>
                      <w:szCs w:val="21"/>
                      <w:lang w:val="en-US" w:eastAsia="zh-CN"/>
                    </w:rPr>
                  </w:pPr>
                  <w:r>
                    <w:rPr>
                      <w:rFonts w:hint="eastAsia"/>
                      <w:color w:val="auto"/>
                      <w:sz w:val="21"/>
                      <w:szCs w:val="21"/>
                    </w:rPr>
                    <w:t>321-034-48</w:t>
                  </w:r>
                </w:p>
              </w:tc>
              <w:tc>
                <w:tcPr>
                  <w:tcW w:w="921" w:type="dxa"/>
                  <w:vAlign w:val="center"/>
                </w:tcPr>
                <w:p w14:paraId="5EA2631E">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7.569</w:t>
                  </w:r>
                </w:p>
              </w:tc>
              <w:tc>
                <w:tcPr>
                  <w:tcW w:w="352" w:type="pct"/>
                  <w:vMerge w:val="continue"/>
                  <w:vAlign w:val="center"/>
                </w:tcPr>
                <w:p w14:paraId="06330DB5">
                  <w:pPr>
                    <w:jc w:val="center"/>
                    <w:rPr>
                      <w:rFonts w:hint="eastAsia" w:ascii="宋体" w:hAnsi="宋体" w:cs="宋体"/>
                      <w:color w:val="auto"/>
                      <w:kern w:val="0"/>
                      <w:sz w:val="21"/>
                      <w:szCs w:val="21"/>
                    </w:rPr>
                  </w:pPr>
                </w:p>
              </w:tc>
              <w:tc>
                <w:tcPr>
                  <w:tcW w:w="423" w:type="pct"/>
                  <w:vAlign w:val="center"/>
                </w:tcPr>
                <w:p w14:paraId="5ACFEB6A">
                  <w:pPr>
                    <w:jc w:val="center"/>
                    <w:rPr>
                      <w:rFonts w:hint="eastAsia"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26CC429F">
                  <w:pPr>
                    <w:autoSpaceDE w:val="0"/>
                    <w:autoSpaceDN w:val="0"/>
                    <w:adjustRightInd w:val="0"/>
                    <w:snapToGrid w:val="0"/>
                    <w:jc w:val="center"/>
                    <w:rPr>
                      <w:rFonts w:hint="default" w:ascii="宋体" w:hAnsi="宋体" w:cs="宋体"/>
                      <w:color w:val="auto"/>
                      <w:kern w:val="0"/>
                      <w:sz w:val="21"/>
                      <w:szCs w:val="21"/>
                      <w:lang w:val="en-US"/>
                    </w:rPr>
                  </w:pPr>
                  <w:r>
                    <w:rPr>
                      <w:rFonts w:hint="eastAsia"/>
                      <w:color w:val="auto"/>
                      <w:sz w:val="21"/>
                      <w:szCs w:val="21"/>
                      <w:lang w:val="en-US" w:eastAsia="zh-CN"/>
                    </w:rPr>
                    <w:t>7.569</w:t>
                  </w:r>
                </w:p>
              </w:tc>
            </w:tr>
            <w:tr w14:paraId="1DA668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38C188B3">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w:t>
                  </w:r>
                </w:p>
              </w:tc>
              <w:tc>
                <w:tcPr>
                  <w:tcW w:w="371" w:type="pct"/>
                  <w:vAlign w:val="center"/>
                </w:tcPr>
                <w:p w14:paraId="3598463E">
                  <w:pPr>
                    <w:autoSpaceDE w:val="0"/>
                    <w:autoSpaceDN w:val="0"/>
                    <w:adjustRightInd w:val="0"/>
                    <w:snapToGrid w:val="0"/>
                    <w:jc w:val="center"/>
                    <w:rPr>
                      <w:color w:val="auto"/>
                      <w:sz w:val="21"/>
                      <w:szCs w:val="21"/>
                    </w:rPr>
                  </w:pPr>
                  <w:r>
                    <w:rPr>
                      <w:rFonts w:hint="eastAsia"/>
                      <w:color w:val="auto"/>
                      <w:sz w:val="21"/>
                      <w:szCs w:val="21"/>
                    </w:rPr>
                    <w:t>废活性炭</w:t>
                  </w:r>
                </w:p>
              </w:tc>
              <w:tc>
                <w:tcPr>
                  <w:tcW w:w="380" w:type="pct"/>
                  <w:vAlign w:val="center"/>
                </w:tcPr>
                <w:p w14:paraId="028B63FD">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rPr>
                    <w:t>废气处理</w:t>
                  </w:r>
                </w:p>
              </w:tc>
              <w:tc>
                <w:tcPr>
                  <w:tcW w:w="237" w:type="pct"/>
                  <w:vAlign w:val="center"/>
                </w:tcPr>
                <w:p w14:paraId="67DBBE9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1CF2131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0CC4D5C7">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废活性炭、有机废气</w:t>
                  </w:r>
                </w:p>
              </w:tc>
              <w:tc>
                <w:tcPr>
                  <w:tcW w:w="261" w:type="pct"/>
                  <w:vAlign w:val="center"/>
                </w:tcPr>
                <w:p w14:paraId="24DC920E">
                  <w:pPr>
                    <w:autoSpaceDE w:val="0"/>
                    <w:autoSpaceDN w:val="0"/>
                    <w:adjustRightInd w:val="0"/>
                    <w:snapToGrid w:val="0"/>
                    <w:jc w:val="center"/>
                    <w:rPr>
                      <w:color w:val="auto"/>
                      <w:sz w:val="21"/>
                      <w:szCs w:val="21"/>
                    </w:rPr>
                  </w:pPr>
                  <w:r>
                    <w:rPr>
                      <w:rFonts w:hint="eastAsia"/>
                      <w:color w:val="auto"/>
                      <w:sz w:val="21"/>
                      <w:szCs w:val="21"/>
                    </w:rPr>
                    <w:t>固</w:t>
                  </w:r>
                </w:p>
              </w:tc>
              <w:tc>
                <w:tcPr>
                  <w:tcW w:w="339" w:type="pct"/>
                  <w:vAlign w:val="center"/>
                </w:tcPr>
                <w:p w14:paraId="54DCCA22">
                  <w:pPr>
                    <w:autoSpaceDE w:val="0"/>
                    <w:autoSpaceDN w:val="0"/>
                    <w:adjustRightInd w:val="0"/>
                    <w:snapToGrid w:val="0"/>
                    <w:jc w:val="center"/>
                    <w:rPr>
                      <w:color w:val="auto"/>
                      <w:sz w:val="21"/>
                      <w:szCs w:val="21"/>
                    </w:rPr>
                  </w:pPr>
                  <w:r>
                    <w:rPr>
                      <w:rFonts w:hint="eastAsia"/>
                      <w:color w:val="auto"/>
                      <w:sz w:val="21"/>
                      <w:szCs w:val="21"/>
                    </w:rPr>
                    <w:t>活性炭、有机废气</w:t>
                  </w:r>
                </w:p>
              </w:tc>
              <w:tc>
                <w:tcPr>
                  <w:tcW w:w="370" w:type="pct"/>
                  <w:vAlign w:val="center"/>
                </w:tcPr>
                <w:p w14:paraId="547D0B9E">
                  <w:pPr>
                    <w:autoSpaceDE w:val="0"/>
                    <w:autoSpaceDN w:val="0"/>
                    <w:snapToGrid w:val="0"/>
                    <w:jc w:val="center"/>
                    <w:rPr>
                      <w:color w:val="auto"/>
                      <w:sz w:val="21"/>
                      <w:szCs w:val="21"/>
                    </w:rPr>
                  </w:pPr>
                  <w:r>
                    <w:rPr>
                      <w:color w:val="auto"/>
                      <w:sz w:val="21"/>
                      <w:szCs w:val="21"/>
                    </w:rPr>
                    <w:t>T</w:t>
                  </w:r>
                </w:p>
              </w:tc>
              <w:tc>
                <w:tcPr>
                  <w:tcW w:w="471" w:type="pct"/>
                  <w:vAlign w:val="center"/>
                </w:tcPr>
                <w:p w14:paraId="019FE34F">
                  <w:pPr>
                    <w:autoSpaceDE w:val="0"/>
                    <w:autoSpaceDN w:val="0"/>
                    <w:snapToGrid w:val="0"/>
                    <w:jc w:val="center"/>
                    <w:rPr>
                      <w:color w:val="auto"/>
                      <w:sz w:val="21"/>
                      <w:szCs w:val="21"/>
                    </w:rPr>
                  </w:pPr>
                  <w:r>
                    <w:rPr>
                      <w:color w:val="auto"/>
                      <w:sz w:val="21"/>
                      <w:szCs w:val="21"/>
                    </w:rPr>
                    <w:t>HW49</w:t>
                  </w:r>
                </w:p>
              </w:tc>
              <w:tc>
                <w:tcPr>
                  <w:tcW w:w="513" w:type="pct"/>
                  <w:vAlign w:val="center"/>
                </w:tcPr>
                <w:p w14:paraId="37F71503">
                  <w:pPr>
                    <w:jc w:val="center"/>
                    <w:rPr>
                      <w:color w:val="auto"/>
                      <w:sz w:val="21"/>
                      <w:szCs w:val="21"/>
                    </w:rPr>
                  </w:pPr>
                  <w:r>
                    <w:rPr>
                      <w:color w:val="auto"/>
                      <w:sz w:val="21"/>
                      <w:szCs w:val="21"/>
                    </w:rPr>
                    <w:t>900-039-49</w:t>
                  </w:r>
                </w:p>
              </w:tc>
              <w:tc>
                <w:tcPr>
                  <w:tcW w:w="921" w:type="dxa"/>
                  <w:vAlign w:val="center"/>
                </w:tcPr>
                <w:p w14:paraId="04CA7E17">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31.5741</w:t>
                  </w:r>
                </w:p>
              </w:tc>
              <w:tc>
                <w:tcPr>
                  <w:tcW w:w="352" w:type="pct"/>
                  <w:vMerge w:val="continue"/>
                  <w:vAlign w:val="center"/>
                </w:tcPr>
                <w:p w14:paraId="0DC02396">
                  <w:pPr>
                    <w:widowControl/>
                    <w:jc w:val="center"/>
                    <w:rPr>
                      <w:rFonts w:hint="eastAsia" w:ascii="宋体" w:hAnsi="宋体" w:cs="宋体"/>
                      <w:color w:val="auto"/>
                      <w:kern w:val="0"/>
                      <w:sz w:val="21"/>
                      <w:szCs w:val="21"/>
                    </w:rPr>
                  </w:pPr>
                </w:p>
              </w:tc>
              <w:tc>
                <w:tcPr>
                  <w:tcW w:w="423" w:type="pct"/>
                  <w:vAlign w:val="center"/>
                </w:tcPr>
                <w:p w14:paraId="42EAB1F6">
                  <w:pPr>
                    <w:widowControl/>
                    <w:jc w:val="center"/>
                    <w:rPr>
                      <w:rFonts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13FF8A79">
                  <w:pPr>
                    <w:autoSpaceDE w:val="0"/>
                    <w:autoSpaceDN w:val="0"/>
                    <w:adjustRightInd w:val="0"/>
                    <w:snapToGrid w:val="0"/>
                    <w:jc w:val="center"/>
                    <w:rPr>
                      <w:rFonts w:hint="default" w:ascii="宋体" w:hAnsi="宋体" w:cs="宋体"/>
                      <w:color w:val="auto"/>
                      <w:kern w:val="0"/>
                      <w:sz w:val="21"/>
                      <w:szCs w:val="21"/>
                      <w:lang w:val="en-US"/>
                    </w:rPr>
                  </w:pPr>
                  <w:r>
                    <w:rPr>
                      <w:rFonts w:hint="eastAsia"/>
                      <w:color w:val="auto"/>
                      <w:sz w:val="21"/>
                      <w:szCs w:val="21"/>
                      <w:lang w:val="en-US" w:eastAsia="zh-CN"/>
                    </w:rPr>
                    <w:t>31.5741</w:t>
                  </w:r>
                </w:p>
              </w:tc>
            </w:tr>
            <w:tr w14:paraId="527270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202DAF67">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371" w:type="pct"/>
                  <w:vAlign w:val="center"/>
                </w:tcPr>
                <w:p w14:paraId="5744300C">
                  <w:pPr>
                    <w:autoSpaceDE w:val="0"/>
                    <w:autoSpaceDN w:val="0"/>
                    <w:adjustRightInd w:val="0"/>
                    <w:snapToGrid w:val="0"/>
                    <w:jc w:val="center"/>
                    <w:rPr>
                      <w:color w:val="auto"/>
                      <w:sz w:val="21"/>
                      <w:szCs w:val="21"/>
                    </w:rPr>
                  </w:pPr>
                  <w:r>
                    <w:rPr>
                      <w:rFonts w:hint="eastAsia"/>
                      <w:color w:val="auto"/>
                      <w:sz w:val="21"/>
                      <w:szCs w:val="21"/>
                    </w:rPr>
                    <w:t>废包装桶</w:t>
                  </w:r>
                </w:p>
              </w:tc>
              <w:tc>
                <w:tcPr>
                  <w:tcW w:w="380" w:type="pct"/>
                  <w:vAlign w:val="center"/>
                </w:tcPr>
                <w:p w14:paraId="10369ED6">
                  <w:pPr>
                    <w:autoSpaceDE w:val="0"/>
                    <w:autoSpaceDN w:val="0"/>
                    <w:adjustRightInd w:val="0"/>
                    <w:snapToGrid w:val="0"/>
                    <w:jc w:val="center"/>
                    <w:rPr>
                      <w:color w:val="auto"/>
                      <w:sz w:val="21"/>
                      <w:szCs w:val="21"/>
                    </w:rPr>
                  </w:pPr>
                  <w:r>
                    <w:rPr>
                      <w:rFonts w:hint="eastAsia"/>
                      <w:color w:val="auto"/>
                      <w:sz w:val="21"/>
                      <w:szCs w:val="21"/>
                    </w:rPr>
                    <w:t>原料包装</w:t>
                  </w:r>
                </w:p>
              </w:tc>
              <w:tc>
                <w:tcPr>
                  <w:tcW w:w="237" w:type="pct"/>
                  <w:vAlign w:val="center"/>
                </w:tcPr>
                <w:p w14:paraId="4875388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02CC2FB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204CF7CD">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占有污染物的废包装桶</w:t>
                  </w:r>
                </w:p>
              </w:tc>
              <w:tc>
                <w:tcPr>
                  <w:tcW w:w="261" w:type="pct"/>
                  <w:vAlign w:val="center"/>
                </w:tcPr>
                <w:p w14:paraId="28847C66">
                  <w:pPr>
                    <w:autoSpaceDE w:val="0"/>
                    <w:autoSpaceDN w:val="0"/>
                    <w:adjustRightInd w:val="0"/>
                    <w:snapToGrid w:val="0"/>
                    <w:jc w:val="center"/>
                    <w:rPr>
                      <w:color w:val="auto"/>
                      <w:sz w:val="21"/>
                      <w:szCs w:val="21"/>
                    </w:rPr>
                  </w:pPr>
                  <w:r>
                    <w:rPr>
                      <w:rFonts w:hint="eastAsia"/>
                      <w:color w:val="auto"/>
                      <w:sz w:val="21"/>
                      <w:szCs w:val="21"/>
                    </w:rPr>
                    <w:t>固</w:t>
                  </w:r>
                </w:p>
              </w:tc>
              <w:tc>
                <w:tcPr>
                  <w:tcW w:w="339" w:type="pct"/>
                  <w:vAlign w:val="center"/>
                </w:tcPr>
                <w:p w14:paraId="03DF75E5">
                  <w:pPr>
                    <w:autoSpaceDE w:val="0"/>
                    <w:autoSpaceDN w:val="0"/>
                    <w:adjustRightInd w:val="0"/>
                    <w:snapToGrid w:val="0"/>
                    <w:jc w:val="center"/>
                    <w:rPr>
                      <w:color w:val="auto"/>
                      <w:sz w:val="21"/>
                      <w:szCs w:val="21"/>
                    </w:rPr>
                  </w:pPr>
                  <w:r>
                    <w:rPr>
                      <w:rFonts w:hint="eastAsia"/>
                      <w:color w:val="auto"/>
                      <w:sz w:val="21"/>
                      <w:szCs w:val="21"/>
                    </w:rPr>
                    <w:t>包装桶、沾染的物料</w:t>
                  </w:r>
                </w:p>
              </w:tc>
              <w:tc>
                <w:tcPr>
                  <w:tcW w:w="370" w:type="pct"/>
                  <w:vAlign w:val="center"/>
                </w:tcPr>
                <w:p w14:paraId="6AADD536">
                  <w:pPr>
                    <w:autoSpaceDE w:val="0"/>
                    <w:autoSpaceDN w:val="0"/>
                    <w:snapToGrid w:val="0"/>
                    <w:jc w:val="center"/>
                    <w:rPr>
                      <w:color w:val="auto"/>
                      <w:sz w:val="21"/>
                      <w:szCs w:val="21"/>
                    </w:rPr>
                  </w:pPr>
                  <w:r>
                    <w:rPr>
                      <w:rFonts w:hint="eastAsia"/>
                      <w:color w:val="auto"/>
                      <w:sz w:val="21"/>
                      <w:szCs w:val="21"/>
                    </w:rPr>
                    <w:t>T/In</w:t>
                  </w:r>
                </w:p>
              </w:tc>
              <w:tc>
                <w:tcPr>
                  <w:tcW w:w="471" w:type="pct"/>
                  <w:vAlign w:val="center"/>
                </w:tcPr>
                <w:p w14:paraId="7E047866">
                  <w:pPr>
                    <w:autoSpaceDE w:val="0"/>
                    <w:autoSpaceDN w:val="0"/>
                    <w:snapToGrid w:val="0"/>
                    <w:jc w:val="center"/>
                    <w:rPr>
                      <w:color w:val="auto"/>
                      <w:sz w:val="21"/>
                      <w:szCs w:val="21"/>
                    </w:rPr>
                  </w:pPr>
                  <w:r>
                    <w:rPr>
                      <w:rFonts w:hint="eastAsia"/>
                      <w:color w:val="auto"/>
                      <w:sz w:val="21"/>
                      <w:szCs w:val="21"/>
                    </w:rPr>
                    <w:t>HW49</w:t>
                  </w:r>
                </w:p>
              </w:tc>
              <w:tc>
                <w:tcPr>
                  <w:tcW w:w="513" w:type="pct"/>
                  <w:vAlign w:val="center"/>
                </w:tcPr>
                <w:p w14:paraId="3B5581F4">
                  <w:pPr>
                    <w:jc w:val="center"/>
                    <w:rPr>
                      <w:color w:val="auto"/>
                      <w:sz w:val="21"/>
                      <w:szCs w:val="21"/>
                    </w:rPr>
                  </w:pPr>
                  <w:r>
                    <w:rPr>
                      <w:rFonts w:hint="eastAsia"/>
                      <w:color w:val="auto"/>
                      <w:sz w:val="21"/>
                      <w:szCs w:val="21"/>
                    </w:rPr>
                    <w:t>900-041-49</w:t>
                  </w:r>
                </w:p>
              </w:tc>
              <w:tc>
                <w:tcPr>
                  <w:tcW w:w="921" w:type="dxa"/>
                  <w:vAlign w:val="center"/>
                </w:tcPr>
                <w:p w14:paraId="3025798B">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0.164</w:t>
                  </w:r>
                </w:p>
              </w:tc>
              <w:tc>
                <w:tcPr>
                  <w:tcW w:w="352" w:type="pct"/>
                  <w:vMerge w:val="continue"/>
                  <w:vAlign w:val="center"/>
                </w:tcPr>
                <w:p w14:paraId="3403BD47">
                  <w:pPr>
                    <w:widowControl/>
                    <w:jc w:val="center"/>
                    <w:rPr>
                      <w:rFonts w:hint="eastAsia" w:ascii="宋体" w:hAnsi="宋体" w:cs="宋体"/>
                      <w:color w:val="auto"/>
                      <w:kern w:val="0"/>
                      <w:sz w:val="21"/>
                      <w:szCs w:val="21"/>
                    </w:rPr>
                  </w:pPr>
                </w:p>
              </w:tc>
              <w:tc>
                <w:tcPr>
                  <w:tcW w:w="423" w:type="pct"/>
                  <w:vAlign w:val="center"/>
                </w:tcPr>
                <w:p w14:paraId="6DEE8AA7">
                  <w:pPr>
                    <w:widowControl/>
                    <w:jc w:val="center"/>
                    <w:rPr>
                      <w:rFonts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5421D2CA">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lang w:val="en-US" w:eastAsia="zh-CN"/>
                    </w:rPr>
                    <w:t>0.164</w:t>
                  </w:r>
                </w:p>
              </w:tc>
            </w:tr>
            <w:tr w14:paraId="35A6A2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5E77D340">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371" w:type="pct"/>
                  <w:vAlign w:val="center"/>
                </w:tcPr>
                <w:p w14:paraId="14C8239C">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沾染危废的废布袋</w:t>
                  </w:r>
                </w:p>
              </w:tc>
              <w:tc>
                <w:tcPr>
                  <w:tcW w:w="380" w:type="pct"/>
                  <w:vAlign w:val="center"/>
                </w:tcPr>
                <w:p w14:paraId="5D4BC8EF">
                  <w:pPr>
                    <w:autoSpaceDE w:val="0"/>
                    <w:autoSpaceDN w:val="0"/>
                    <w:adjustRightInd w:val="0"/>
                    <w:snapToGrid w:val="0"/>
                    <w:jc w:val="center"/>
                    <w:rPr>
                      <w:rFonts w:hint="eastAsia"/>
                      <w:color w:val="auto"/>
                      <w:sz w:val="21"/>
                      <w:szCs w:val="21"/>
                    </w:rPr>
                  </w:pPr>
                  <w:r>
                    <w:rPr>
                      <w:rFonts w:hint="eastAsia"/>
                      <w:color w:val="auto"/>
                      <w:sz w:val="21"/>
                      <w:szCs w:val="21"/>
                      <w:lang w:val="en-US" w:eastAsia="zh-CN"/>
                    </w:rPr>
                    <w:t>废气处理</w:t>
                  </w:r>
                </w:p>
              </w:tc>
              <w:tc>
                <w:tcPr>
                  <w:tcW w:w="237" w:type="pct"/>
                  <w:vAlign w:val="center"/>
                </w:tcPr>
                <w:p w14:paraId="172879F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217A085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5CDF25CF">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沾染危废的废布袋</w:t>
                  </w:r>
                </w:p>
              </w:tc>
              <w:tc>
                <w:tcPr>
                  <w:tcW w:w="261" w:type="pct"/>
                  <w:vAlign w:val="center"/>
                </w:tcPr>
                <w:p w14:paraId="2622E63D">
                  <w:pPr>
                    <w:autoSpaceDE w:val="0"/>
                    <w:autoSpaceDN w:val="0"/>
                    <w:adjustRightInd w:val="0"/>
                    <w:snapToGrid w:val="0"/>
                    <w:jc w:val="center"/>
                    <w:rPr>
                      <w:rFonts w:hint="eastAsia"/>
                      <w:color w:val="auto"/>
                      <w:sz w:val="21"/>
                      <w:szCs w:val="21"/>
                    </w:rPr>
                  </w:pPr>
                  <w:r>
                    <w:rPr>
                      <w:rFonts w:hint="eastAsia"/>
                      <w:color w:val="auto"/>
                      <w:sz w:val="21"/>
                      <w:szCs w:val="21"/>
                      <w:lang w:val="en-US" w:eastAsia="zh-CN"/>
                    </w:rPr>
                    <w:t>固</w:t>
                  </w:r>
                </w:p>
              </w:tc>
              <w:tc>
                <w:tcPr>
                  <w:tcW w:w="339" w:type="pct"/>
                  <w:vAlign w:val="center"/>
                </w:tcPr>
                <w:p w14:paraId="7D846ED9">
                  <w:pPr>
                    <w:autoSpaceDE w:val="0"/>
                    <w:autoSpaceDN w:val="0"/>
                    <w:adjustRightInd w:val="0"/>
                    <w:snapToGrid w:val="0"/>
                    <w:jc w:val="center"/>
                    <w:rPr>
                      <w:rFonts w:hint="eastAsia"/>
                      <w:color w:val="auto"/>
                      <w:sz w:val="21"/>
                      <w:szCs w:val="21"/>
                    </w:rPr>
                  </w:pPr>
                  <w:r>
                    <w:rPr>
                      <w:rFonts w:hint="eastAsia"/>
                      <w:color w:val="auto"/>
                      <w:sz w:val="21"/>
                      <w:szCs w:val="21"/>
                    </w:rPr>
                    <w:t>织物</w:t>
                  </w:r>
                  <w:r>
                    <w:rPr>
                      <w:rFonts w:hint="eastAsia"/>
                      <w:color w:val="auto"/>
                      <w:sz w:val="21"/>
                      <w:szCs w:val="21"/>
                      <w:lang w:eastAsia="zh-CN"/>
                    </w:rPr>
                    <w:t>、</w:t>
                  </w:r>
                  <w:r>
                    <w:rPr>
                      <w:rFonts w:hint="eastAsia"/>
                      <w:color w:val="auto"/>
                      <w:sz w:val="21"/>
                      <w:szCs w:val="21"/>
                    </w:rPr>
                    <w:t>沾染的物料</w:t>
                  </w:r>
                </w:p>
              </w:tc>
              <w:tc>
                <w:tcPr>
                  <w:tcW w:w="370" w:type="pct"/>
                  <w:vAlign w:val="center"/>
                </w:tcPr>
                <w:p w14:paraId="2080636A">
                  <w:pPr>
                    <w:autoSpaceDE w:val="0"/>
                    <w:autoSpaceDN w:val="0"/>
                    <w:snapToGrid w:val="0"/>
                    <w:jc w:val="center"/>
                    <w:rPr>
                      <w:color w:val="auto"/>
                      <w:kern w:val="0"/>
                      <w:sz w:val="21"/>
                      <w:szCs w:val="21"/>
                    </w:rPr>
                  </w:pPr>
                  <w:r>
                    <w:rPr>
                      <w:rFonts w:hint="eastAsia"/>
                      <w:color w:val="auto"/>
                      <w:sz w:val="21"/>
                      <w:szCs w:val="21"/>
                    </w:rPr>
                    <w:t>T/In</w:t>
                  </w:r>
                </w:p>
              </w:tc>
              <w:tc>
                <w:tcPr>
                  <w:tcW w:w="471" w:type="pct"/>
                  <w:vAlign w:val="center"/>
                </w:tcPr>
                <w:p w14:paraId="6CC90B40">
                  <w:pPr>
                    <w:autoSpaceDE w:val="0"/>
                    <w:autoSpaceDN w:val="0"/>
                    <w:snapToGrid w:val="0"/>
                    <w:jc w:val="center"/>
                    <w:rPr>
                      <w:rFonts w:hint="eastAsia"/>
                      <w:color w:val="auto"/>
                      <w:sz w:val="21"/>
                      <w:szCs w:val="21"/>
                    </w:rPr>
                  </w:pPr>
                  <w:r>
                    <w:rPr>
                      <w:rFonts w:hint="eastAsia"/>
                      <w:color w:val="auto"/>
                      <w:sz w:val="21"/>
                      <w:szCs w:val="21"/>
                    </w:rPr>
                    <w:t>HW49</w:t>
                  </w:r>
                </w:p>
              </w:tc>
              <w:tc>
                <w:tcPr>
                  <w:tcW w:w="513" w:type="pct"/>
                  <w:vAlign w:val="center"/>
                </w:tcPr>
                <w:p w14:paraId="23845C37">
                  <w:pPr>
                    <w:jc w:val="center"/>
                    <w:rPr>
                      <w:rFonts w:hint="eastAsia"/>
                      <w:color w:val="auto"/>
                      <w:sz w:val="21"/>
                      <w:szCs w:val="21"/>
                    </w:rPr>
                  </w:pPr>
                  <w:r>
                    <w:rPr>
                      <w:rFonts w:hint="eastAsia"/>
                      <w:color w:val="auto"/>
                      <w:sz w:val="21"/>
                      <w:szCs w:val="21"/>
                    </w:rPr>
                    <w:t>900-041-49</w:t>
                  </w:r>
                </w:p>
              </w:tc>
              <w:tc>
                <w:tcPr>
                  <w:tcW w:w="921" w:type="dxa"/>
                  <w:vAlign w:val="center"/>
                </w:tcPr>
                <w:p w14:paraId="35841845">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0.1496</w:t>
                  </w:r>
                </w:p>
              </w:tc>
              <w:tc>
                <w:tcPr>
                  <w:tcW w:w="352" w:type="pct"/>
                  <w:vMerge w:val="continue"/>
                  <w:vAlign w:val="center"/>
                </w:tcPr>
                <w:p w14:paraId="6D4EAF81">
                  <w:pPr>
                    <w:widowControl/>
                    <w:jc w:val="center"/>
                    <w:rPr>
                      <w:rFonts w:hint="eastAsia" w:ascii="宋体" w:hAnsi="宋体" w:cs="宋体"/>
                      <w:color w:val="auto"/>
                      <w:kern w:val="0"/>
                      <w:sz w:val="21"/>
                      <w:szCs w:val="21"/>
                    </w:rPr>
                  </w:pPr>
                </w:p>
              </w:tc>
              <w:tc>
                <w:tcPr>
                  <w:tcW w:w="423" w:type="pct"/>
                  <w:vAlign w:val="center"/>
                </w:tcPr>
                <w:p w14:paraId="4B61750B">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70F1D3C7">
                  <w:pPr>
                    <w:autoSpaceDE w:val="0"/>
                    <w:autoSpaceDN w:val="0"/>
                    <w:adjustRightInd w:val="0"/>
                    <w:snapToGrid w:val="0"/>
                    <w:jc w:val="center"/>
                    <w:rPr>
                      <w:rFonts w:hint="default" w:ascii="宋体" w:hAnsi="宋体" w:cs="宋体"/>
                      <w:color w:val="auto"/>
                      <w:kern w:val="0"/>
                      <w:sz w:val="21"/>
                      <w:szCs w:val="21"/>
                      <w:lang w:val="en-US"/>
                    </w:rPr>
                  </w:pPr>
                  <w:r>
                    <w:rPr>
                      <w:rFonts w:hint="eastAsia"/>
                      <w:color w:val="auto"/>
                      <w:sz w:val="21"/>
                      <w:szCs w:val="21"/>
                      <w:lang w:val="en-US" w:eastAsia="zh-CN"/>
                    </w:rPr>
                    <w:t>0.1496</w:t>
                  </w:r>
                </w:p>
              </w:tc>
            </w:tr>
            <w:tr w14:paraId="4BC9BA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75CA62A5">
                  <w:pPr>
                    <w:autoSpaceDE w:val="0"/>
                    <w:autoSpaceDN w:val="0"/>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371" w:type="pct"/>
                  <w:vAlign w:val="center"/>
                </w:tcPr>
                <w:p w14:paraId="7C3A8296">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含油铝屑</w:t>
                  </w:r>
                </w:p>
              </w:tc>
              <w:tc>
                <w:tcPr>
                  <w:tcW w:w="380" w:type="pct"/>
                  <w:vAlign w:val="center"/>
                </w:tcPr>
                <w:p w14:paraId="6CB0FD67">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机加工</w:t>
                  </w:r>
                </w:p>
              </w:tc>
              <w:tc>
                <w:tcPr>
                  <w:tcW w:w="237" w:type="pct"/>
                  <w:vAlign w:val="center"/>
                </w:tcPr>
                <w:p w14:paraId="187FA59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0C360F7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6F3CE558">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油、铝屑</w:t>
                  </w:r>
                </w:p>
              </w:tc>
              <w:tc>
                <w:tcPr>
                  <w:tcW w:w="261" w:type="pct"/>
                  <w:vAlign w:val="center"/>
                </w:tcPr>
                <w:p w14:paraId="1331EB30">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半固</w:t>
                  </w:r>
                </w:p>
              </w:tc>
              <w:tc>
                <w:tcPr>
                  <w:tcW w:w="339" w:type="pct"/>
                  <w:vAlign w:val="center"/>
                </w:tcPr>
                <w:p w14:paraId="40167650">
                  <w:pPr>
                    <w:autoSpaceDE w:val="0"/>
                    <w:autoSpaceDN w:val="0"/>
                    <w:adjustRightInd w:val="0"/>
                    <w:snapToGrid w:val="0"/>
                    <w:jc w:val="center"/>
                    <w:rPr>
                      <w:rFonts w:hint="eastAsia"/>
                      <w:color w:val="auto"/>
                      <w:sz w:val="21"/>
                      <w:szCs w:val="21"/>
                    </w:rPr>
                  </w:pPr>
                  <w:r>
                    <w:rPr>
                      <w:rFonts w:hint="eastAsia"/>
                      <w:color w:val="auto"/>
                      <w:sz w:val="21"/>
                      <w:szCs w:val="21"/>
                      <w:lang w:val="en-US" w:eastAsia="zh-CN"/>
                    </w:rPr>
                    <w:t>切削液、屑</w:t>
                  </w:r>
                </w:p>
              </w:tc>
              <w:tc>
                <w:tcPr>
                  <w:tcW w:w="370" w:type="pct"/>
                  <w:vAlign w:val="center"/>
                </w:tcPr>
                <w:p w14:paraId="12558BD7">
                  <w:pPr>
                    <w:autoSpaceDE w:val="0"/>
                    <w:autoSpaceDN w:val="0"/>
                    <w:snapToGrid w:val="0"/>
                    <w:jc w:val="center"/>
                    <w:rPr>
                      <w:color w:val="auto"/>
                      <w:kern w:val="0"/>
                      <w:sz w:val="21"/>
                      <w:szCs w:val="21"/>
                    </w:rPr>
                  </w:pPr>
                  <w:r>
                    <w:rPr>
                      <w:color w:val="auto"/>
                      <w:sz w:val="21"/>
                      <w:szCs w:val="21"/>
                    </w:rPr>
                    <w:t>T</w:t>
                  </w:r>
                </w:p>
              </w:tc>
              <w:tc>
                <w:tcPr>
                  <w:tcW w:w="471" w:type="pct"/>
                  <w:vAlign w:val="center"/>
                </w:tcPr>
                <w:p w14:paraId="1D689F5D">
                  <w:pPr>
                    <w:autoSpaceDE w:val="0"/>
                    <w:autoSpaceDN w:val="0"/>
                    <w:snapToGrid w:val="0"/>
                    <w:jc w:val="center"/>
                    <w:rPr>
                      <w:rFonts w:hint="eastAsia"/>
                      <w:color w:val="auto"/>
                      <w:sz w:val="21"/>
                      <w:szCs w:val="21"/>
                    </w:rPr>
                  </w:pPr>
                  <w:r>
                    <w:rPr>
                      <w:rFonts w:hint="eastAsia" w:ascii="Times New Roman" w:hAnsi="Times New Roman" w:eastAsia="宋体" w:cs="Times New Roman"/>
                      <w:color w:val="auto"/>
                      <w:sz w:val="21"/>
                      <w:szCs w:val="21"/>
                      <w:lang w:val="en-US" w:eastAsia="zh-CN"/>
                    </w:rPr>
                    <w:t>HW09</w:t>
                  </w:r>
                </w:p>
              </w:tc>
              <w:tc>
                <w:tcPr>
                  <w:tcW w:w="513" w:type="pct"/>
                  <w:vAlign w:val="center"/>
                </w:tcPr>
                <w:p w14:paraId="7D8A3FDE">
                  <w:pPr>
                    <w:jc w:val="center"/>
                    <w:rPr>
                      <w:rFonts w:hint="eastAsia"/>
                      <w:color w:val="auto"/>
                      <w:sz w:val="21"/>
                      <w:szCs w:val="21"/>
                    </w:rPr>
                  </w:pPr>
                  <w:r>
                    <w:rPr>
                      <w:rFonts w:hint="eastAsia" w:ascii="Times New Roman" w:hAnsi="Times New Roman" w:eastAsia="宋体" w:cs="Times New Roman"/>
                      <w:color w:val="auto"/>
                      <w:sz w:val="21"/>
                      <w:szCs w:val="21"/>
                      <w:lang w:val="en-US" w:eastAsia="zh-CN"/>
                    </w:rPr>
                    <w:t>900-006-09</w:t>
                  </w:r>
                </w:p>
              </w:tc>
              <w:tc>
                <w:tcPr>
                  <w:tcW w:w="921" w:type="dxa"/>
                  <w:vAlign w:val="center"/>
                </w:tcPr>
                <w:p w14:paraId="07D7D5AD">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0.5</w:t>
                  </w:r>
                </w:p>
              </w:tc>
              <w:tc>
                <w:tcPr>
                  <w:tcW w:w="352" w:type="pct"/>
                  <w:vMerge w:val="continue"/>
                  <w:vAlign w:val="center"/>
                </w:tcPr>
                <w:p w14:paraId="3AD80AA1">
                  <w:pPr>
                    <w:widowControl/>
                    <w:jc w:val="center"/>
                    <w:rPr>
                      <w:rFonts w:hint="eastAsia" w:ascii="宋体" w:hAnsi="宋体" w:cs="宋体"/>
                      <w:color w:val="auto"/>
                      <w:kern w:val="0"/>
                      <w:sz w:val="21"/>
                      <w:szCs w:val="21"/>
                    </w:rPr>
                  </w:pPr>
                </w:p>
              </w:tc>
              <w:tc>
                <w:tcPr>
                  <w:tcW w:w="423" w:type="pct"/>
                  <w:vAlign w:val="center"/>
                </w:tcPr>
                <w:p w14:paraId="30E7ABAE">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5A4E7EBD">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lang w:val="en-US" w:eastAsia="zh-CN"/>
                    </w:rPr>
                    <w:t>0.5</w:t>
                  </w:r>
                </w:p>
              </w:tc>
            </w:tr>
            <w:tr w14:paraId="5A4E20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7C9ABF41">
                  <w:pPr>
                    <w:autoSpaceDE w:val="0"/>
                    <w:autoSpaceDN w:val="0"/>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371" w:type="pct"/>
                  <w:vAlign w:val="center"/>
                </w:tcPr>
                <w:p w14:paraId="41C39AB3">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废液</w:t>
                  </w:r>
                </w:p>
              </w:tc>
              <w:tc>
                <w:tcPr>
                  <w:tcW w:w="380" w:type="pct"/>
                  <w:vAlign w:val="center"/>
                </w:tcPr>
                <w:p w14:paraId="0D8B75CE">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冷却、清洗</w:t>
                  </w:r>
                </w:p>
              </w:tc>
              <w:tc>
                <w:tcPr>
                  <w:tcW w:w="237" w:type="pct"/>
                  <w:vAlign w:val="center"/>
                </w:tcPr>
                <w:p w14:paraId="4BC1F21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2B7EA08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596C763D">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水、油</w:t>
                  </w:r>
                </w:p>
              </w:tc>
              <w:tc>
                <w:tcPr>
                  <w:tcW w:w="261" w:type="pct"/>
                  <w:vAlign w:val="center"/>
                </w:tcPr>
                <w:p w14:paraId="477A2104">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液</w:t>
                  </w:r>
                </w:p>
              </w:tc>
              <w:tc>
                <w:tcPr>
                  <w:tcW w:w="339" w:type="pct"/>
                  <w:vAlign w:val="center"/>
                </w:tcPr>
                <w:p w14:paraId="7A3F0BA6">
                  <w:pPr>
                    <w:autoSpaceDE w:val="0"/>
                    <w:autoSpaceDN w:val="0"/>
                    <w:adjustRightInd w:val="0"/>
                    <w:snapToGrid w:val="0"/>
                    <w:jc w:val="center"/>
                    <w:rPr>
                      <w:rFonts w:hint="eastAsia"/>
                      <w:color w:val="auto"/>
                      <w:sz w:val="21"/>
                      <w:szCs w:val="21"/>
                    </w:rPr>
                  </w:pPr>
                  <w:r>
                    <w:rPr>
                      <w:rFonts w:hint="eastAsia"/>
                      <w:color w:val="auto"/>
                      <w:sz w:val="21"/>
                      <w:szCs w:val="21"/>
                      <w:lang w:val="en-US" w:eastAsia="zh-CN"/>
                    </w:rPr>
                    <w:t>水、油类</w:t>
                  </w:r>
                </w:p>
              </w:tc>
              <w:tc>
                <w:tcPr>
                  <w:tcW w:w="370" w:type="pct"/>
                  <w:vAlign w:val="center"/>
                </w:tcPr>
                <w:p w14:paraId="26241F7B">
                  <w:pPr>
                    <w:autoSpaceDE w:val="0"/>
                    <w:autoSpaceDN w:val="0"/>
                    <w:snapToGrid w:val="0"/>
                    <w:jc w:val="center"/>
                    <w:rPr>
                      <w:color w:val="auto"/>
                      <w:kern w:val="0"/>
                      <w:sz w:val="21"/>
                      <w:szCs w:val="21"/>
                    </w:rPr>
                  </w:pPr>
                  <w:r>
                    <w:rPr>
                      <w:rFonts w:hint="eastAsia"/>
                      <w:color w:val="auto"/>
                      <w:sz w:val="21"/>
                      <w:szCs w:val="21"/>
                      <w:lang w:val="en-US" w:eastAsia="zh-CN"/>
                    </w:rPr>
                    <w:t>T</w:t>
                  </w:r>
                </w:p>
              </w:tc>
              <w:tc>
                <w:tcPr>
                  <w:tcW w:w="471" w:type="pct"/>
                  <w:vAlign w:val="center"/>
                </w:tcPr>
                <w:p w14:paraId="3A4A0FA3">
                  <w:pPr>
                    <w:jc w:val="center"/>
                    <w:rPr>
                      <w:rFonts w:hint="default"/>
                      <w:color w:val="auto"/>
                      <w:sz w:val="21"/>
                      <w:szCs w:val="21"/>
                      <w:lang w:val="en-US"/>
                    </w:rPr>
                  </w:pPr>
                  <w:r>
                    <w:rPr>
                      <w:rFonts w:hint="eastAsia"/>
                      <w:color w:val="auto"/>
                      <w:sz w:val="21"/>
                      <w:szCs w:val="21"/>
                      <w:lang w:val="en-US" w:eastAsia="zh-CN"/>
                    </w:rPr>
                    <w:t>HW09</w:t>
                  </w:r>
                </w:p>
              </w:tc>
              <w:tc>
                <w:tcPr>
                  <w:tcW w:w="513" w:type="pct"/>
                  <w:vAlign w:val="center"/>
                </w:tcPr>
                <w:p w14:paraId="2374E325">
                  <w:pPr>
                    <w:jc w:val="center"/>
                    <w:rPr>
                      <w:rFonts w:hint="eastAsia"/>
                      <w:color w:val="auto"/>
                      <w:sz w:val="21"/>
                      <w:szCs w:val="21"/>
                    </w:rPr>
                  </w:pPr>
                  <w:r>
                    <w:rPr>
                      <w:rFonts w:hint="eastAsia" w:ascii="Times New Roman" w:hAnsi="Times New Roman" w:eastAsia="宋体" w:cs="Times New Roman"/>
                      <w:color w:val="auto"/>
                      <w:szCs w:val="21"/>
                      <w:lang w:val="en-US" w:eastAsia="zh-CN"/>
                    </w:rPr>
                    <w:t>900-006-09</w:t>
                  </w:r>
                </w:p>
              </w:tc>
              <w:tc>
                <w:tcPr>
                  <w:tcW w:w="921" w:type="dxa"/>
                  <w:vAlign w:val="center"/>
                </w:tcPr>
                <w:p w14:paraId="0CCDE0C2">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10.9</w:t>
                  </w:r>
                </w:p>
              </w:tc>
              <w:tc>
                <w:tcPr>
                  <w:tcW w:w="352" w:type="pct"/>
                  <w:vMerge w:val="continue"/>
                  <w:vAlign w:val="center"/>
                </w:tcPr>
                <w:p w14:paraId="4F7907D0">
                  <w:pPr>
                    <w:widowControl/>
                    <w:jc w:val="center"/>
                    <w:rPr>
                      <w:rFonts w:hint="eastAsia" w:ascii="宋体" w:hAnsi="宋体" w:cs="宋体"/>
                      <w:color w:val="auto"/>
                      <w:kern w:val="0"/>
                      <w:sz w:val="21"/>
                      <w:szCs w:val="21"/>
                    </w:rPr>
                  </w:pPr>
                </w:p>
              </w:tc>
              <w:tc>
                <w:tcPr>
                  <w:tcW w:w="423" w:type="pct"/>
                  <w:vAlign w:val="center"/>
                </w:tcPr>
                <w:p w14:paraId="5A725E36">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1D777384">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lang w:val="en-US" w:eastAsia="zh-CN"/>
                    </w:rPr>
                    <w:t>10.9</w:t>
                  </w:r>
                </w:p>
              </w:tc>
            </w:tr>
            <w:tr w14:paraId="35DCEE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9" w:hRule="atLeast"/>
              </w:trPr>
              <w:tc>
                <w:tcPr>
                  <w:tcW w:w="161" w:type="pct"/>
                  <w:vAlign w:val="center"/>
                </w:tcPr>
                <w:p w14:paraId="55B2E430">
                  <w:pPr>
                    <w:autoSpaceDE w:val="0"/>
                    <w:autoSpaceDN w:val="0"/>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371" w:type="pct"/>
                  <w:vAlign w:val="center"/>
                </w:tcPr>
                <w:p w14:paraId="4B4F88A3">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废切削液</w:t>
                  </w:r>
                </w:p>
              </w:tc>
              <w:tc>
                <w:tcPr>
                  <w:tcW w:w="380" w:type="pct"/>
                  <w:vAlign w:val="center"/>
                </w:tcPr>
                <w:p w14:paraId="42823BC4">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机加工</w:t>
                  </w:r>
                </w:p>
              </w:tc>
              <w:tc>
                <w:tcPr>
                  <w:tcW w:w="237" w:type="pct"/>
                  <w:vAlign w:val="center"/>
                </w:tcPr>
                <w:p w14:paraId="47A7A19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18234A5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343" w:type="pct"/>
                  <w:vAlign w:val="center"/>
                </w:tcPr>
                <w:p w14:paraId="6DD34E8A">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废切削液</w:t>
                  </w:r>
                </w:p>
              </w:tc>
              <w:tc>
                <w:tcPr>
                  <w:tcW w:w="261" w:type="pct"/>
                  <w:vAlign w:val="center"/>
                </w:tcPr>
                <w:p w14:paraId="713CD216">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液</w:t>
                  </w:r>
                </w:p>
              </w:tc>
              <w:tc>
                <w:tcPr>
                  <w:tcW w:w="339" w:type="pct"/>
                  <w:vAlign w:val="center"/>
                </w:tcPr>
                <w:p w14:paraId="43D22467">
                  <w:pPr>
                    <w:autoSpaceDE w:val="0"/>
                    <w:autoSpaceDN w:val="0"/>
                    <w:adjustRightInd w:val="0"/>
                    <w:snapToGrid w:val="0"/>
                    <w:jc w:val="center"/>
                    <w:rPr>
                      <w:rFonts w:hint="eastAsia"/>
                      <w:color w:val="auto"/>
                      <w:sz w:val="21"/>
                      <w:szCs w:val="21"/>
                    </w:rPr>
                  </w:pPr>
                  <w:r>
                    <w:rPr>
                      <w:rFonts w:hint="eastAsia"/>
                      <w:color w:val="auto"/>
                      <w:sz w:val="21"/>
                      <w:szCs w:val="21"/>
                      <w:lang w:val="en-US" w:eastAsia="zh-CN"/>
                    </w:rPr>
                    <w:t>切削液</w:t>
                  </w:r>
                </w:p>
              </w:tc>
              <w:tc>
                <w:tcPr>
                  <w:tcW w:w="370" w:type="pct"/>
                  <w:vAlign w:val="center"/>
                </w:tcPr>
                <w:p w14:paraId="34772C3C">
                  <w:pPr>
                    <w:autoSpaceDE w:val="0"/>
                    <w:autoSpaceDN w:val="0"/>
                    <w:snapToGrid w:val="0"/>
                    <w:jc w:val="center"/>
                    <w:rPr>
                      <w:color w:val="auto"/>
                      <w:kern w:val="0"/>
                      <w:sz w:val="21"/>
                      <w:szCs w:val="21"/>
                    </w:rPr>
                  </w:pPr>
                  <w:r>
                    <w:rPr>
                      <w:color w:val="auto"/>
                      <w:sz w:val="21"/>
                      <w:szCs w:val="21"/>
                    </w:rPr>
                    <w:t>T</w:t>
                  </w:r>
                </w:p>
              </w:tc>
              <w:tc>
                <w:tcPr>
                  <w:tcW w:w="471" w:type="pct"/>
                  <w:vAlign w:val="center"/>
                </w:tcPr>
                <w:p w14:paraId="7CDA3B52">
                  <w:pPr>
                    <w:autoSpaceDE w:val="0"/>
                    <w:autoSpaceDN w:val="0"/>
                    <w:snapToGrid w:val="0"/>
                    <w:jc w:val="center"/>
                    <w:rPr>
                      <w:rFonts w:hint="eastAsia"/>
                      <w:color w:val="auto"/>
                      <w:sz w:val="21"/>
                      <w:szCs w:val="21"/>
                    </w:rPr>
                  </w:pPr>
                  <w:r>
                    <w:rPr>
                      <w:rFonts w:hint="eastAsia" w:ascii="Times New Roman" w:hAnsi="Times New Roman" w:eastAsia="宋体" w:cs="Times New Roman"/>
                      <w:color w:val="auto"/>
                      <w:sz w:val="21"/>
                      <w:szCs w:val="21"/>
                      <w:lang w:val="en-US" w:eastAsia="zh-CN"/>
                    </w:rPr>
                    <w:t>HW09</w:t>
                  </w:r>
                </w:p>
              </w:tc>
              <w:tc>
                <w:tcPr>
                  <w:tcW w:w="513" w:type="pct"/>
                  <w:vAlign w:val="center"/>
                </w:tcPr>
                <w:p w14:paraId="40F3D37D">
                  <w:pPr>
                    <w:jc w:val="center"/>
                    <w:rPr>
                      <w:rFonts w:hint="eastAsia"/>
                      <w:color w:val="auto"/>
                      <w:sz w:val="21"/>
                      <w:szCs w:val="21"/>
                    </w:rPr>
                  </w:pPr>
                  <w:r>
                    <w:rPr>
                      <w:rFonts w:hint="eastAsia" w:ascii="Times New Roman" w:hAnsi="Times New Roman" w:eastAsia="宋体" w:cs="Times New Roman"/>
                      <w:color w:val="auto"/>
                      <w:sz w:val="21"/>
                      <w:szCs w:val="21"/>
                      <w:lang w:val="en-US" w:eastAsia="zh-CN"/>
                    </w:rPr>
                    <w:t>900-00</w:t>
                  </w:r>
                  <w:r>
                    <w:rPr>
                      <w:rFonts w:hint="eastAsia"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-09</w:t>
                  </w:r>
                </w:p>
              </w:tc>
              <w:tc>
                <w:tcPr>
                  <w:tcW w:w="921" w:type="dxa"/>
                  <w:vAlign w:val="center"/>
                </w:tcPr>
                <w:p w14:paraId="3FAC9327">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1.5</w:t>
                  </w:r>
                </w:p>
              </w:tc>
              <w:tc>
                <w:tcPr>
                  <w:tcW w:w="352" w:type="pct"/>
                  <w:vMerge w:val="continue"/>
                  <w:vAlign w:val="center"/>
                </w:tcPr>
                <w:p w14:paraId="015D53A2">
                  <w:pPr>
                    <w:widowControl/>
                    <w:jc w:val="center"/>
                    <w:rPr>
                      <w:rFonts w:hint="eastAsia" w:ascii="宋体" w:hAnsi="宋体" w:cs="宋体"/>
                      <w:color w:val="auto"/>
                      <w:kern w:val="0"/>
                      <w:sz w:val="21"/>
                      <w:szCs w:val="21"/>
                    </w:rPr>
                  </w:pPr>
                </w:p>
              </w:tc>
              <w:tc>
                <w:tcPr>
                  <w:tcW w:w="423" w:type="pct"/>
                  <w:vAlign w:val="center"/>
                </w:tcPr>
                <w:p w14:paraId="7B25D196">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委托有资质单位处置</w:t>
                  </w:r>
                </w:p>
              </w:tc>
              <w:tc>
                <w:tcPr>
                  <w:tcW w:w="423" w:type="pct"/>
                  <w:vAlign w:val="center"/>
                </w:tcPr>
                <w:p w14:paraId="04A36C60">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lang w:val="en-US" w:eastAsia="zh-CN"/>
                    </w:rPr>
                    <w:t>1.5</w:t>
                  </w:r>
                </w:p>
              </w:tc>
            </w:tr>
            <w:tr w14:paraId="445CED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9" w:hRule="atLeast"/>
              </w:trPr>
              <w:tc>
                <w:tcPr>
                  <w:tcW w:w="161" w:type="pct"/>
                  <w:vAlign w:val="center"/>
                </w:tcPr>
                <w:p w14:paraId="208F75E5">
                  <w:pPr>
                    <w:autoSpaceDE w:val="0"/>
                    <w:autoSpaceDN w:val="0"/>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371" w:type="pct"/>
                  <w:vAlign w:val="center"/>
                </w:tcPr>
                <w:p w14:paraId="48A5B007">
                  <w:pPr>
                    <w:autoSpaceDE w:val="0"/>
                    <w:autoSpaceDN w:val="0"/>
                    <w:adjustRightInd w:val="0"/>
                    <w:snapToGrid w:val="0"/>
                    <w:jc w:val="center"/>
                    <w:rPr>
                      <w:rFonts w:hint="eastAsia"/>
                      <w:color w:val="auto"/>
                      <w:sz w:val="21"/>
                      <w:szCs w:val="21"/>
                      <w:lang w:val="en-US" w:eastAsia="zh-CN"/>
                    </w:rPr>
                  </w:pPr>
                  <w:r>
                    <w:rPr>
                      <w:rFonts w:hint="eastAsia" w:hAnsi="宋体"/>
                      <w:color w:val="auto"/>
                      <w:sz w:val="21"/>
                      <w:szCs w:val="21"/>
                    </w:rPr>
                    <w:t>生活垃圾</w:t>
                  </w:r>
                </w:p>
              </w:tc>
              <w:tc>
                <w:tcPr>
                  <w:tcW w:w="380" w:type="pct"/>
                  <w:vAlign w:val="center"/>
                </w:tcPr>
                <w:p w14:paraId="5E020369">
                  <w:pPr>
                    <w:autoSpaceDE w:val="0"/>
                    <w:autoSpaceDN w:val="0"/>
                    <w:adjustRightInd w:val="0"/>
                    <w:snapToGrid w:val="0"/>
                    <w:jc w:val="center"/>
                    <w:rPr>
                      <w:rFonts w:hint="eastAsia"/>
                      <w:color w:val="auto"/>
                      <w:sz w:val="21"/>
                      <w:szCs w:val="21"/>
                      <w:lang w:val="en-US" w:eastAsia="zh-CN"/>
                    </w:rPr>
                  </w:pPr>
                  <w:r>
                    <w:rPr>
                      <w:rFonts w:hint="eastAsia"/>
                      <w:color w:val="auto"/>
                      <w:sz w:val="21"/>
                      <w:szCs w:val="21"/>
                    </w:rPr>
                    <w:t>办公生活</w:t>
                  </w:r>
                </w:p>
              </w:tc>
              <w:tc>
                <w:tcPr>
                  <w:tcW w:w="237" w:type="pct"/>
                  <w:vAlign w:val="center"/>
                </w:tcPr>
                <w:p w14:paraId="69DE6DA7">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343" w:type="pct"/>
                  <w:vAlign w:val="center"/>
                </w:tcPr>
                <w:p w14:paraId="17EA099C">
                  <w:pPr>
                    <w:autoSpaceDE w:val="0"/>
                    <w:autoSpaceDN w:val="0"/>
                    <w:adjustRightInd w:val="0"/>
                    <w:snapToGrid w:val="0"/>
                    <w:jc w:val="center"/>
                    <w:rPr>
                      <w:rFonts w:hint="eastAsia"/>
                      <w:color w:val="auto"/>
                      <w:sz w:val="21"/>
                      <w:szCs w:val="21"/>
                    </w:rPr>
                  </w:pPr>
                  <w:r>
                    <w:rPr>
                      <w:rFonts w:hint="eastAsia"/>
                      <w:color w:val="auto"/>
                      <w:sz w:val="21"/>
                      <w:szCs w:val="21"/>
                    </w:rPr>
                    <w:t>瓜皮纸屑等</w:t>
                  </w:r>
                </w:p>
              </w:tc>
              <w:tc>
                <w:tcPr>
                  <w:tcW w:w="261" w:type="pct"/>
                  <w:vAlign w:val="center"/>
                </w:tcPr>
                <w:p w14:paraId="02233EFD">
                  <w:pPr>
                    <w:autoSpaceDE w:val="0"/>
                    <w:autoSpaceDN w:val="0"/>
                    <w:adjustRightInd w:val="0"/>
                    <w:snapToGrid w:val="0"/>
                    <w:jc w:val="center"/>
                    <w:rPr>
                      <w:rFonts w:hint="eastAsia"/>
                      <w:color w:val="auto"/>
                      <w:sz w:val="21"/>
                      <w:szCs w:val="21"/>
                      <w:lang w:val="en-US" w:eastAsia="zh-CN"/>
                    </w:rPr>
                  </w:pPr>
                  <w:r>
                    <w:rPr>
                      <w:rFonts w:hint="eastAsia"/>
                      <w:color w:val="auto"/>
                      <w:sz w:val="21"/>
                      <w:szCs w:val="21"/>
                    </w:rPr>
                    <w:t>/</w:t>
                  </w:r>
                </w:p>
              </w:tc>
              <w:tc>
                <w:tcPr>
                  <w:tcW w:w="339" w:type="pct"/>
                  <w:vAlign w:val="center"/>
                </w:tcPr>
                <w:p w14:paraId="55B020F9">
                  <w:pPr>
                    <w:autoSpaceDE w:val="0"/>
                    <w:autoSpaceDN w:val="0"/>
                    <w:adjustRightInd w:val="0"/>
                    <w:snapToGrid w:val="0"/>
                    <w:jc w:val="center"/>
                    <w:rPr>
                      <w:rFonts w:hint="eastAsia"/>
                      <w:color w:val="auto"/>
                      <w:sz w:val="21"/>
                      <w:szCs w:val="21"/>
                    </w:rPr>
                  </w:pPr>
                  <w:r>
                    <w:rPr>
                      <w:rFonts w:hint="eastAsia"/>
                      <w:color w:val="auto"/>
                      <w:sz w:val="21"/>
                      <w:szCs w:val="21"/>
                    </w:rPr>
                    <w:t>/</w:t>
                  </w:r>
                </w:p>
              </w:tc>
              <w:tc>
                <w:tcPr>
                  <w:tcW w:w="370" w:type="pct"/>
                  <w:vAlign w:val="center"/>
                </w:tcPr>
                <w:p w14:paraId="23347606">
                  <w:pPr>
                    <w:autoSpaceDE w:val="0"/>
                    <w:autoSpaceDN w:val="0"/>
                    <w:snapToGrid w:val="0"/>
                    <w:jc w:val="center"/>
                    <w:rPr>
                      <w:color w:val="auto"/>
                      <w:kern w:val="0"/>
                      <w:sz w:val="21"/>
                      <w:szCs w:val="21"/>
                    </w:rPr>
                  </w:pPr>
                  <w:r>
                    <w:rPr>
                      <w:rFonts w:hint="eastAsia"/>
                      <w:color w:val="auto"/>
                      <w:sz w:val="21"/>
                      <w:szCs w:val="21"/>
                    </w:rPr>
                    <w:t>R</w:t>
                  </w:r>
                </w:p>
              </w:tc>
              <w:tc>
                <w:tcPr>
                  <w:tcW w:w="471" w:type="pct"/>
                  <w:vAlign w:val="center"/>
                </w:tcPr>
                <w:p w14:paraId="63A4AA5F">
                  <w:pPr>
                    <w:autoSpaceDE w:val="0"/>
                    <w:autoSpaceDN w:val="0"/>
                    <w:snapToGrid w:val="0"/>
                    <w:jc w:val="center"/>
                    <w:rPr>
                      <w:rFonts w:hint="eastAsia"/>
                      <w:color w:val="auto"/>
                      <w:sz w:val="21"/>
                      <w:szCs w:val="21"/>
                    </w:rPr>
                  </w:pPr>
                  <w:r>
                    <w:rPr>
                      <w:rFonts w:hint="eastAsia"/>
                      <w:color w:val="auto"/>
                      <w:sz w:val="21"/>
                      <w:szCs w:val="21"/>
                    </w:rPr>
                    <w:t>HW48</w:t>
                  </w:r>
                </w:p>
              </w:tc>
              <w:tc>
                <w:tcPr>
                  <w:tcW w:w="513" w:type="pct"/>
                  <w:vAlign w:val="center"/>
                </w:tcPr>
                <w:p w14:paraId="2F7E3B2C">
                  <w:pPr>
                    <w:jc w:val="center"/>
                    <w:rPr>
                      <w:rFonts w:hint="eastAsia"/>
                      <w:color w:val="auto"/>
                      <w:sz w:val="21"/>
                      <w:szCs w:val="21"/>
                    </w:rPr>
                  </w:pPr>
                  <w:r>
                    <w:rPr>
                      <w:rFonts w:hint="eastAsia"/>
                      <w:color w:val="auto"/>
                      <w:sz w:val="21"/>
                      <w:szCs w:val="21"/>
                    </w:rPr>
                    <w:t>321-026-48</w:t>
                  </w:r>
                </w:p>
              </w:tc>
              <w:tc>
                <w:tcPr>
                  <w:tcW w:w="921" w:type="dxa"/>
                  <w:vAlign w:val="center"/>
                </w:tcPr>
                <w:p w14:paraId="3310C50E">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3</w:t>
                  </w:r>
                </w:p>
              </w:tc>
              <w:tc>
                <w:tcPr>
                  <w:tcW w:w="352" w:type="pct"/>
                  <w:vAlign w:val="center"/>
                </w:tcPr>
                <w:p w14:paraId="50285502">
                  <w:pPr>
                    <w:widowControl/>
                    <w:jc w:val="center"/>
                    <w:rPr>
                      <w:rFonts w:hint="eastAsia" w:ascii="宋体" w:hAnsi="宋体" w:cs="宋体"/>
                      <w:color w:val="auto"/>
                      <w:kern w:val="0"/>
                      <w:sz w:val="21"/>
                      <w:szCs w:val="21"/>
                    </w:rPr>
                  </w:pPr>
                  <w:r>
                    <w:rPr>
                      <w:rFonts w:hint="eastAsia"/>
                      <w:color w:val="auto"/>
                      <w:spacing w:val="4"/>
                      <w:kern w:val="18"/>
                      <w:sz w:val="21"/>
                      <w:szCs w:val="21"/>
                    </w:rPr>
                    <w:t>垃圾桶贮存</w:t>
                  </w:r>
                </w:p>
              </w:tc>
              <w:tc>
                <w:tcPr>
                  <w:tcW w:w="423" w:type="pct"/>
                  <w:vAlign w:val="center"/>
                </w:tcPr>
                <w:p w14:paraId="06BCF5EA">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环卫清运</w:t>
                  </w:r>
                </w:p>
              </w:tc>
              <w:tc>
                <w:tcPr>
                  <w:tcW w:w="423" w:type="pct"/>
                  <w:vAlign w:val="center"/>
                </w:tcPr>
                <w:p w14:paraId="2883D2AD">
                  <w:pPr>
                    <w:autoSpaceDE w:val="0"/>
                    <w:autoSpaceDN w:val="0"/>
                    <w:adjustRightInd w:val="0"/>
                    <w:snapToGrid w:val="0"/>
                    <w:jc w:val="center"/>
                    <w:rPr>
                      <w:rFonts w:hint="eastAsia" w:ascii="宋体" w:hAnsi="宋体" w:cs="宋体"/>
                      <w:color w:val="auto"/>
                      <w:kern w:val="0"/>
                      <w:sz w:val="21"/>
                      <w:szCs w:val="21"/>
                    </w:rPr>
                  </w:pPr>
                  <w:r>
                    <w:rPr>
                      <w:rFonts w:hint="eastAsia"/>
                      <w:color w:val="auto"/>
                      <w:sz w:val="21"/>
                      <w:szCs w:val="21"/>
                      <w:lang w:val="en-US" w:eastAsia="zh-CN"/>
                    </w:rPr>
                    <w:t>3</w:t>
                  </w:r>
                </w:p>
              </w:tc>
            </w:tr>
          </w:tbl>
          <w:p w14:paraId="2282A58F">
            <w:pPr>
              <w:autoSpaceDE w:val="0"/>
              <w:autoSpaceDN w:val="0"/>
              <w:adjustRightInd w:val="0"/>
              <w:snapToGrid w:val="0"/>
              <w:jc w:val="center"/>
              <w:rPr>
                <w:b/>
                <w:color w:val="auto"/>
              </w:rPr>
            </w:pPr>
            <w:r>
              <w:rPr>
                <w:b/>
                <w:color w:val="auto"/>
              </w:rPr>
              <w:t>表</w:t>
            </w:r>
            <w:r>
              <w:rPr>
                <w:rFonts w:hint="eastAsia"/>
                <w:b/>
                <w:color w:val="auto"/>
              </w:rPr>
              <w:t>4-</w:t>
            </w:r>
            <w:r>
              <w:rPr>
                <w:rFonts w:hint="eastAsia"/>
                <w:b/>
                <w:color w:val="auto"/>
                <w:lang w:val="en-US" w:eastAsia="zh-CN"/>
              </w:rPr>
              <w:t xml:space="preserve">7 </w:t>
            </w:r>
            <w:r>
              <w:rPr>
                <w:rFonts w:hint="eastAsia"/>
                <w:b/>
                <w:color w:val="auto"/>
              </w:rPr>
              <w:t>项目危险废物产生</w:t>
            </w:r>
            <w:r>
              <w:rPr>
                <w:b/>
                <w:color w:val="auto"/>
              </w:rPr>
              <w:t>情况</w:t>
            </w:r>
            <w:r>
              <w:rPr>
                <w:rFonts w:hint="eastAsia"/>
                <w:b/>
                <w:color w:val="auto"/>
              </w:rPr>
              <w:t>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93"/>
              <w:gridCol w:w="1068"/>
              <w:gridCol w:w="2003"/>
              <w:gridCol w:w="990"/>
              <w:gridCol w:w="1707"/>
              <w:gridCol w:w="1135"/>
              <w:gridCol w:w="1273"/>
              <w:gridCol w:w="1598"/>
              <w:gridCol w:w="1495"/>
              <w:gridCol w:w="1154"/>
            </w:tblGrid>
            <w:tr w14:paraId="0833A8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0" w:type="pct"/>
                  <w:vAlign w:val="center"/>
                </w:tcPr>
                <w:p w14:paraId="3CB1D66A">
                  <w:pPr>
                    <w:widowControl/>
                    <w:jc w:val="center"/>
                    <w:rPr>
                      <w:b/>
                      <w:bCs/>
                      <w:color w:val="auto"/>
                      <w:kern w:val="0"/>
                      <w:szCs w:val="21"/>
                    </w:rPr>
                  </w:pPr>
                  <w:r>
                    <w:rPr>
                      <w:rFonts w:hAnsi="宋体"/>
                      <w:b/>
                      <w:bCs/>
                      <w:color w:val="auto"/>
                      <w:kern w:val="0"/>
                      <w:szCs w:val="21"/>
                    </w:rPr>
                    <w:t>序号</w:t>
                  </w:r>
                </w:p>
              </w:tc>
              <w:tc>
                <w:tcPr>
                  <w:tcW w:w="404" w:type="pct"/>
                  <w:vAlign w:val="center"/>
                </w:tcPr>
                <w:p w14:paraId="72199370">
                  <w:pPr>
                    <w:widowControl/>
                    <w:jc w:val="center"/>
                    <w:rPr>
                      <w:b/>
                      <w:bCs/>
                      <w:color w:val="auto"/>
                      <w:kern w:val="0"/>
                      <w:szCs w:val="21"/>
                    </w:rPr>
                  </w:pPr>
                  <w:r>
                    <w:rPr>
                      <w:rFonts w:hAnsi="宋体"/>
                      <w:b/>
                      <w:bCs/>
                      <w:color w:val="auto"/>
                      <w:kern w:val="0"/>
                      <w:szCs w:val="21"/>
                    </w:rPr>
                    <w:t>固废名称</w:t>
                  </w:r>
                </w:p>
              </w:tc>
              <w:tc>
                <w:tcPr>
                  <w:tcW w:w="757" w:type="pct"/>
                  <w:vAlign w:val="center"/>
                </w:tcPr>
                <w:p w14:paraId="3D63E2FD">
                  <w:pPr>
                    <w:widowControl/>
                    <w:jc w:val="center"/>
                    <w:rPr>
                      <w:b/>
                      <w:bCs/>
                      <w:color w:val="auto"/>
                      <w:kern w:val="0"/>
                      <w:szCs w:val="21"/>
                    </w:rPr>
                  </w:pPr>
                  <w:r>
                    <w:rPr>
                      <w:rFonts w:hAnsi="宋体"/>
                      <w:b/>
                      <w:bCs/>
                      <w:color w:val="auto"/>
                      <w:kern w:val="0"/>
                      <w:szCs w:val="21"/>
                    </w:rPr>
                    <w:t>产生工序及装置</w:t>
                  </w:r>
                </w:p>
              </w:tc>
              <w:tc>
                <w:tcPr>
                  <w:tcW w:w="374" w:type="pct"/>
                  <w:vAlign w:val="center"/>
                </w:tcPr>
                <w:p w14:paraId="01AE529D">
                  <w:pPr>
                    <w:widowControl/>
                    <w:jc w:val="center"/>
                    <w:rPr>
                      <w:b/>
                      <w:bCs/>
                      <w:color w:val="auto"/>
                      <w:kern w:val="0"/>
                      <w:szCs w:val="21"/>
                    </w:rPr>
                  </w:pPr>
                  <w:r>
                    <w:rPr>
                      <w:rFonts w:hAnsi="宋体"/>
                      <w:b/>
                      <w:bCs/>
                      <w:color w:val="auto"/>
                      <w:kern w:val="0"/>
                      <w:szCs w:val="21"/>
                    </w:rPr>
                    <w:t>形态</w:t>
                  </w:r>
                </w:p>
              </w:tc>
              <w:tc>
                <w:tcPr>
                  <w:tcW w:w="645" w:type="pct"/>
                  <w:vAlign w:val="center"/>
                </w:tcPr>
                <w:p w14:paraId="51E65805">
                  <w:pPr>
                    <w:widowControl/>
                    <w:jc w:val="center"/>
                    <w:rPr>
                      <w:b/>
                      <w:bCs/>
                      <w:color w:val="auto"/>
                      <w:kern w:val="0"/>
                      <w:szCs w:val="21"/>
                    </w:rPr>
                  </w:pPr>
                  <w:r>
                    <w:rPr>
                      <w:rFonts w:hAnsi="宋体"/>
                      <w:b/>
                      <w:bCs/>
                      <w:color w:val="auto"/>
                      <w:kern w:val="0"/>
                      <w:szCs w:val="21"/>
                    </w:rPr>
                    <w:t>主要成分</w:t>
                  </w:r>
                </w:p>
              </w:tc>
              <w:tc>
                <w:tcPr>
                  <w:tcW w:w="429" w:type="pct"/>
                  <w:vAlign w:val="center"/>
                </w:tcPr>
                <w:p w14:paraId="1F2C4DC7">
                  <w:pPr>
                    <w:widowControl/>
                    <w:jc w:val="center"/>
                    <w:rPr>
                      <w:b/>
                      <w:bCs/>
                      <w:color w:val="auto"/>
                      <w:kern w:val="0"/>
                      <w:szCs w:val="21"/>
                    </w:rPr>
                  </w:pPr>
                  <w:r>
                    <w:rPr>
                      <w:rFonts w:hAnsi="宋体"/>
                      <w:b/>
                      <w:bCs/>
                      <w:color w:val="auto"/>
                      <w:kern w:val="0"/>
                      <w:szCs w:val="21"/>
                    </w:rPr>
                    <w:t>危险特性</w:t>
                  </w:r>
                </w:p>
              </w:tc>
              <w:tc>
                <w:tcPr>
                  <w:tcW w:w="481" w:type="pct"/>
                  <w:vAlign w:val="center"/>
                </w:tcPr>
                <w:p w14:paraId="523D94F9">
                  <w:pPr>
                    <w:widowControl/>
                    <w:jc w:val="center"/>
                    <w:rPr>
                      <w:b/>
                      <w:bCs/>
                      <w:color w:val="auto"/>
                      <w:kern w:val="0"/>
                      <w:szCs w:val="21"/>
                    </w:rPr>
                  </w:pPr>
                  <w:r>
                    <w:rPr>
                      <w:rFonts w:hAnsi="宋体"/>
                      <w:b/>
                      <w:bCs/>
                      <w:color w:val="auto"/>
                      <w:kern w:val="0"/>
                      <w:szCs w:val="21"/>
                    </w:rPr>
                    <w:t>废物类别</w:t>
                  </w:r>
                </w:p>
              </w:tc>
              <w:tc>
                <w:tcPr>
                  <w:tcW w:w="604" w:type="pct"/>
                  <w:vAlign w:val="center"/>
                </w:tcPr>
                <w:p w14:paraId="2FCD0B40">
                  <w:pPr>
                    <w:widowControl/>
                    <w:jc w:val="center"/>
                    <w:rPr>
                      <w:b/>
                      <w:bCs/>
                      <w:color w:val="auto"/>
                      <w:kern w:val="0"/>
                      <w:szCs w:val="21"/>
                    </w:rPr>
                  </w:pPr>
                  <w:r>
                    <w:rPr>
                      <w:rFonts w:hAnsi="宋体"/>
                      <w:b/>
                      <w:bCs/>
                      <w:color w:val="auto"/>
                      <w:kern w:val="0"/>
                      <w:szCs w:val="21"/>
                    </w:rPr>
                    <w:t>废物代码</w:t>
                  </w:r>
                </w:p>
              </w:tc>
              <w:tc>
                <w:tcPr>
                  <w:tcW w:w="565" w:type="pct"/>
                  <w:vAlign w:val="center"/>
                </w:tcPr>
                <w:p w14:paraId="31CBDABA">
                  <w:pPr>
                    <w:widowControl/>
                    <w:jc w:val="center"/>
                    <w:rPr>
                      <w:b/>
                      <w:bCs/>
                      <w:color w:val="auto"/>
                      <w:kern w:val="0"/>
                      <w:szCs w:val="21"/>
                    </w:rPr>
                  </w:pPr>
                  <w:r>
                    <w:rPr>
                      <w:rFonts w:hAnsi="宋体"/>
                      <w:b/>
                      <w:bCs/>
                      <w:color w:val="auto"/>
                      <w:kern w:val="0"/>
                      <w:szCs w:val="21"/>
                    </w:rPr>
                    <w:t>估算产生量</w:t>
                  </w:r>
                  <w:r>
                    <w:rPr>
                      <w:b/>
                      <w:bCs/>
                      <w:color w:val="auto"/>
                      <w:kern w:val="0"/>
                      <w:szCs w:val="21"/>
                    </w:rPr>
                    <w:t>t/a</w:t>
                  </w:r>
                </w:p>
              </w:tc>
              <w:tc>
                <w:tcPr>
                  <w:tcW w:w="436" w:type="pct"/>
                  <w:vAlign w:val="center"/>
                </w:tcPr>
                <w:p w14:paraId="536274D7">
                  <w:pPr>
                    <w:widowControl/>
                    <w:jc w:val="center"/>
                    <w:rPr>
                      <w:b/>
                      <w:bCs/>
                      <w:color w:val="auto"/>
                      <w:kern w:val="0"/>
                      <w:szCs w:val="21"/>
                    </w:rPr>
                  </w:pPr>
                  <w:r>
                    <w:rPr>
                      <w:rFonts w:hAnsi="宋体"/>
                      <w:b/>
                      <w:bCs/>
                      <w:color w:val="auto"/>
                      <w:kern w:val="0"/>
                      <w:szCs w:val="21"/>
                    </w:rPr>
                    <w:t>产废周期</w:t>
                  </w:r>
                </w:p>
              </w:tc>
            </w:tr>
            <w:tr w14:paraId="384B30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5" w:hRule="atLeast"/>
              </w:trPr>
              <w:tc>
                <w:tcPr>
                  <w:tcW w:w="300" w:type="pct"/>
                  <w:vAlign w:val="center"/>
                </w:tcPr>
                <w:p w14:paraId="31B77F55">
                  <w:pPr>
                    <w:autoSpaceDE w:val="0"/>
                    <w:autoSpaceDN w:val="0"/>
                    <w:adjustRightInd w:val="0"/>
                    <w:snapToGrid w:val="0"/>
                    <w:jc w:val="center"/>
                    <w:rPr>
                      <w:color w:val="auto"/>
                      <w:szCs w:val="21"/>
                    </w:rPr>
                  </w:pPr>
                  <w:r>
                    <w:rPr>
                      <w:color w:val="auto"/>
                      <w:szCs w:val="21"/>
                    </w:rPr>
                    <w:t>1</w:t>
                  </w:r>
                </w:p>
              </w:tc>
              <w:tc>
                <w:tcPr>
                  <w:tcW w:w="404" w:type="pct"/>
                  <w:vAlign w:val="center"/>
                </w:tcPr>
                <w:p w14:paraId="3D5B28F4">
                  <w:pPr>
                    <w:autoSpaceDE w:val="0"/>
                    <w:autoSpaceDN w:val="0"/>
                    <w:adjustRightInd w:val="0"/>
                    <w:snapToGrid w:val="0"/>
                    <w:jc w:val="center"/>
                    <w:rPr>
                      <w:rFonts w:hAnsi="宋体"/>
                      <w:color w:val="auto"/>
                      <w:szCs w:val="21"/>
                    </w:rPr>
                  </w:pPr>
                  <w:r>
                    <w:rPr>
                      <w:rFonts w:hint="eastAsia"/>
                      <w:color w:val="auto"/>
                      <w:szCs w:val="21"/>
                      <w:lang w:val="en-US" w:eastAsia="zh-CN"/>
                    </w:rPr>
                    <w:t>炉</w:t>
                  </w:r>
                  <w:r>
                    <w:rPr>
                      <w:rFonts w:hint="eastAsia"/>
                      <w:color w:val="auto"/>
                      <w:szCs w:val="21"/>
                    </w:rPr>
                    <w:t>渣</w:t>
                  </w:r>
                </w:p>
              </w:tc>
              <w:tc>
                <w:tcPr>
                  <w:tcW w:w="757" w:type="pct"/>
                  <w:vAlign w:val="center"/>
                </w:tcPr>
                <w:p w14:paraId="683A0BF6">
                  <w:pPr>
                    <w:autoSpaceDE w:val="0"/>
                    <w:autoSpaceDN w:val="0"/>
                    <w:adjustRightInd w:val="0"/>
                    <w:snapToGrid w:val="0"/>
                    <w:jc w:val="center"/>
                    <w:rPr>
                      <w:color w:val="auto"/>
                      <w:szCs w:val="21"/>
                    </w:rPr>
                  </w:pPr>
                  <w:r>
                    <w:rPr>
                      <w:rFonts w:hint="eastAsia"/>
                      <w:color w:val="auto"/>
                      <w:szCs w:val="21"/>
                    </w:rPr>
                    <w:t>熔化炉</w:t>
                  </w:r>
                </w:p>
              </w:tc>
              <w:tc>
                <w:tcPr>
                  <w:tcW w:w="374" w:type="pct"/>
                  <w:vAlign w:val="center"/>
                </w:tcPr>
                <w:p w14:paraId="6BCF87C5">
                  <w:pPr>
                    <w:autoSpaceDE w:val="0"/>
                    <w:autoSpaceDN w:val="0"/>
                    <w:adjustRightInd w:val="0"/>
                    <w:snapToGrid w:val="0"/>
                    <w:jc w:val="center"/>
                    <w:rPr>
                      <w:color w:val="auto"/>
                      <w:szCs w:val="21"/>
                    </w:rPr>
                  </w:pPr>
                  <w:r>
                    <w:rPr>
                      <w:rFonts w:hint="eastAsia"/>
                      <w:color w:val="auto"/>
                      <w:szCs w:val="21"/>
                    </w:rPr>
                    <w:t>固</w:t>
                  </w:r>
                </w:p>
              </w:tc>
              <w:tc>
                <w:tcPr>
                  <w:tcW w:w="645" w:type="pct"/>
                  <w:vAlign w:val="center"/>
                </w:tcPr>
                <w:p w14:paraId="33D5CFAB">
                  <w:pPr>
                    <w:autoSpaceDE w:val="0"/>
                    <w:autoSpaceDN w:val="0"/>
                    <w:adjustRightInd w:val="0"/>
                    <w:snapToGrid w:val="0"/>
                    <w:jc w:val="center"/>
                    <w:rPr>
                      <w:color w:val="auto"/>
                      <w:szCs w:val="21"/>
                    </w:rPr>
                  </w:pPr>
                  <w:r>
                    <w:rPr>
                      <w:rFonts w:hint="eastAsia"/>
                      <w:color w:val="auto"/>
                      <w:szCs w:val="21"/>
                    </w:rPr>
                    <w:t>铝</w:t>
                  </w:r>
                </w:p>
              </w:tc>
              <w:tc>
                <w:tcPr>
                  <w:tcW w:w="429" w:type="pct"/>
                  <w:vAlign w:val="center"/>
                </w:tcPr>
                <w:p w14:paraId="46EBBD75">
                  <w:pPr>
                    <w:autoSpaceDE w:val="0"/>
                    <w:autoSpaceDN w:val="0"/>
                    <w:snapToGrid w:val="0"/>
                    <w:jc w:val="center"/>
                    <w:rPr>
                      <w:color w:val="auto"/>
                      <w:kern w:val="0"/>
                      <w:szCs w:val="21"/>
                    </w:rPr>
                  </w:pPr>
                  <w:r>
                    <w:rPr>
                      <w:rFonts w:hint="eastAsia"/>
                      <w:color w:val="auto"/>
                      <w:szCs w:val="21"/>
                    </w:rPr>
                    <w:t>R</w:t>
                  </w:r>
                </w:p>
              </w:tc>
              <w:tc>
                <w:tcPr>
                  <w:tcW w:w="481" w:type="pct"/>
                  <w:vAlign w:val="center"/>
                </w:tcPr>
                <w:p w14:paraId="2178B888">
                  <w:pPr>
                    <w:autoSpaceDE w:val="0"/>
                    <w:autoSpaceDN w:val="0"/>
                    <w:snapToGrid w:val="0"/>
                    <w:jc w:val="center"/>
                    <w:rPr>
                      <w:color w:val="auto"/>
                      <w:szCs w:val="21"/>
                    </w:rPr>
                  </w:pPr>
                  <w:r>
                    <w:rPr>
                      <w:rFonts w:hint="eastAsia"/>
                      <w:color w:val="auto"/>
                      <w:szCs w:val="21"/>
                    </w:rPr>
                    <w:t>HW48</w:t>
                  </w:r>
                </w:p>
              </w:tc>
              <w:tc>
                <w:tcPr>
                  <w:tcW w:w="604" w:type="pct"/>
                  <w:vAlign w:val="center"/>
                </w:tcPr>
                <w:p w14:paraId="25521383">
                  <w:pPr>
                    <w:jc w:val="center"/>
                    <w:rPr>
                      <w:color w:val="auto"/>
                      <w:szCs w:val="21"/>
                    </w:rPr>
                  </w:pPr>
                  <w:r>
                    <w:rPr>
                      <w:rFonts w:hint="eastAsia"/>
                      <w:color w:val="auto"/>
                      <w:szCs w:val="21"/>
                    </w:rPr>
                    <w:t>321-026-48</w:t>
                  </w:r>
                </w:p>
              </w:tc>
              <w:tc>
                <w:tcPr>
                  <w:tcW w:w="565" w:type="pct"/>
                  <w:vAlign w:val="center"/>
                </w:tcPr>
                <w:p w14:paraId="3294398D">
                  <w:pPr>
                    <w:autoSpaceDE w:val="0"/>
                    <w:autoSpaceDN w:val="0"/>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436" w:type="pct"/>
                  <w:vAlign w:val="center"/>
                </w:tcPr>
                <w:p w14:paraId="74A4AD70">
                  <w:pPr>
                    <w:widowControl/>
                    <w:jc w:val="center"/>
                    <w:rPr>
                      <w:rFonts w:hint="eastAsia" w:hAnsi="宋体" w:eastAsia="宋体"/>
                      <w:color w:val="auto"/>
                      <w:kern w:val="0"/>
                      <w:szCs w:val="21"/>
                      <w:lang w:eastAsia="zh-CN"/>
                    </w:rPr>
                  </w:pPr>
                  <w:r>
                    <w:rPr>
                      <w:rFonts w:hint="eastAsia" w:hAnsi="宋体"/>
                      <w:color w:val="auto"/>
                      <w:kern w:val="0"/>
                      <w:szCs w:val="21"/>
                    </w:rPr>
                    <w:t>每</w:t>
                  </w:r>
                  <w:r>
                    <w:rPr>
                      <w:rFonts w:hint="eastAsia" w:hAnsi="宋体"/>
                      <w:color w:val="auto"/>
                      <w:kern w:val="0"/>
                      <w:szCs w:val="21"/>
                      <w:lang w:val="en-US" w:eastAsia="zh-CN"/>
                    </w:rPr>
                    <w:t>1天</w:t>
                  </w:r>
                </w:p>
              </w:tc>
            </w:tr>
            <w:tr w14:paraId="6E8036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5" w:hRule="atLeast"/>
              </w:trPr>
              <w:tc>
                <w:tcPr>
                  <w:tcW w:w="300" w:type="pct"/>
                  <w:vAlign w:val="center"/>
                </w:tcPr>
                <w:p w14:paraId="2C23ABAC">
                  <w:pPr>
                    <w:autoSpaceDE w:val="0"/>
                    <w:autoSpaceDN w:val="0"/>
                    <w:adjustRightInd w:val="0"/>
                    <w:snapToGrid w:val="0"/>
                    <w:jc w:val="center"/>
                    <w:rPr>
                      <w:color w:val="auto"/>
                      <w:szCs w:val="21"/>
                    </w:rPr>
                  </w:pPr>
                  <w:r>
                    <w:rPr>
                      <w:color w:val="auto"/>
                      <w:szCs w:val="21"/>
                    </w:rPr>
                    <w:t>2</w:t>
                  </w:r>
                </w:p>
              </w:tc>
              <w:tc>
                <w:tcPr>
                  <w:tcW w:w="404" w:type="pct"/>
                  <w:vAlign w:val="center"/>
                </w:tcPr>
                <w:p w14:paraId="565169F4">
                  <w:pPr>
                    <w:autoSpaceDE w:val="0"/>
                    <w:autoSpaceDN w:val="0"/>
                    <w:adjustRightInd w:val="0"/>
                    <w:snapToGrid w:val="0"/>
                    <w:jc w:val="center"/>
                    <w:rPr>
                      <w:rFonts w:hAnsi="宋体"/>
                      <w:color w:val="auto"/>
                      <w:szCs w:val="21"/>
                    </w:rPr>
                  </w:pPr>
                  <w:r>
                    <w:rPr>
                      <w:rFonts w:hint="eastAsia" w:hAnsi="宋体"/>
                      <w:color w:val="auto"/>
                      <w:szCs w:val="21"/>
                    </w:rPr>
                    <w:t>废油</w:t>
                  </w:r>
                </w:p>
              </w:tc>
              <w:tc>
                <w:tcPr>
                  <w:tcW w:w="757" w:type="pct"/>
                  <w:vAlign w:val="center"/>
                </w:tcPr>
                <w:p w14:paraId="7EFF8EB3">
                  <w:pPr>
                    <w:autoSpaceDE w:val="0"/>
                    <w:autoSpaceDN w:val="0"/>
                    <w:adjustRightInd w:val="0"/>
                    <w:snapToGrid w:val="0"/>
                    <w:jc w:val="center"/>
                    <w:rPr>
                      <w:rFonts w:hint="default" w:eastAsia="宋体"/>
                      <w:color w:val="auto"/>
                      <w:szCs w:val="21"/>
                      <w:lang w:val="en-US" w:eastAsia="zh-CN"/>
                    </w:rPr>
                  </w:pPr>
                  <w:r>
                    <w:rPr>
                      <w:rFonts w:hint="eastAsia"/>
                      <w:color w:val="auto"/>
                      <w:szCs w:val="21"/>
                    </w:rPr>
                    <w:t>设备保养</w:t>
                  </w:r>
                </w:p>
              </w:tc>
              <w:tc>
                <w:tcPr>
                  <w:tcW w:w="374" w:type="pct"/>
                  <w:vAlign w:val="center"/>
                </w:tcPr>
                <w:p w14:paraId="5E82DDB1">
                  <w:pPr>
                    <w:autoSpaceDE w:val="0"/>
                    <w:autoSpaceDN w:val="0"/>
                    <w:adjustRightInd w:val="0"/>
                    <w:snapToGrid w:val="0"/>
                    <w:jc w:val="center"/>
                    <w:rPr>
                      <w:color w:val="auto"/>
                      <w:szCs w:val="21"/>
                    </w:rPr>
                  </w:pPr>
                  <w:r>
                    <w:rPr>
                      <w:rFonts w:hint="eastAsia"/>
                      <w:color w:val="auto"/>
                      <w:szCs w:val="21"/>
                    </w:rPr>
                    <w:t>液</w:t>
                  </w:r>
                </w:p>
              </w:tc>
              <w:tc>
                <w:tcPr>
                  <w:tcW w:w="645" w:type="pct"/>
                  <w:vAlign w:val="center"/>
                </w:tcPr>
                <w:p w14:paraId="5F106CEB">
                  <w:pPr>
                    <w:autoSpaceDE w:val="0"/>
                    <w:autoSpaceDN w:val="0"/>
                    <w:adjustRightInd w:val="0"/>
                    <w:snapToGrid w:val="0"/>
                    <w:jc w:val="center"/>
                    <w:rPr>
                      <w:color w:val="auto"/>
                      <w:szCs w:val="21"/>
                    </w:rPr>
                  </w:pPr>
                  <w:r>
                    <w:rPr>
                      <w:rFonts w:hint="eastAsia"/>
                      <w:color w:val="auto"/>
                      <w:szCs w:val="21"/>
                    </w:rPr>
                    <w:t>油类</w:t>
                  </w:r>
                </w:p>
              </w:tc>
              <w:tc>
                <w:tcPr>
                  <w:tcW w:w="429" w:type="pct"/>
                  <w:vAlign w:val="center"/>
                </w:tcPr>
                <w:p w14:paraId="2C26711B">
                  <w:pPr>
                    <w:autoSpaceDE w:val="0"/>
                    <w:autoSpaceDN w:val="0"/>
                    <w:snapToGrid w:val="0"/>
                    <w:jc w:val="center"/>
                    <w:rPr>
                      <w:color w:val="auto"/>
                      <w:szCs w:val="21"/>
                    </w:rPr>
                  </w:pPr>
                  <w:r>
                    <w:rPr>
                      <w:color w:val="auto"/>
                      <w:kern w:val="0"/>
                      <w:szCs w:val="21"/>
                    </w:rPr>
                    <w:t>T</w:t>
                  </w:r>
                  <w:r>
                    <w:rPr>
                      <w:rFonts w:hint="eastAsia" w:hAnsi="宋体"/>
                      <w:color w:val="auto"/>
                      <w:kern w:val="0"/>
                      <w:szCs w:val="21"/>
                    </w:rPr>
                    <w:t>/</w:t>
                  </w:r>
                  <w:r>
                    <w:rPr>
                      <w:color w:val="auto"/>
                      <w:kern w:val="0"/>
                      <w:szCs w:val="21"/>
                    </w:rPr>
                    <w:t>I</w:t>
                  </w:r>
                </w:p>
              </w:tc>
              <w:tc>
                <w:tcPr>
                  <w:tcW w:w="481" w:type="pct"/>
                  <w:vAlign w:val="center"/>
                </w:tcPr>
                <w:p w14:paraId="356419D9">
                  <w:pPr>
                    <w:jc w:val="center"/>
                    <w:rPr>
                      <w:color w:val="auto"/>
                      <w:szCs w:val="21"/>
                    </w:rPr>
                  </w:pPr>
                  <w:r>
                    <w:rPr>
                      <w:rFonts w:hint="eastAsia"/>
                      <w:color w:val="auto"/>
                      <w:szCs w:val="21"/>
                    </w:rPr>
                    <w:t>HW08</w:t>
                  </w:r>
                </w:p>
              </w:tc>
              <w:tc>
                <w:tcPr>
                  <w:tcW w:w="604" w:type="pct"/>
                  <w:vAlign w:val="center"/>
                </w:tcPr>
                <w:p w14:paraId="5775BD5C">
                  <w:pPr>
                    <w:jc w:val="center"/>
                    <w:rPr>
                      <w:color w:val="auto"/>
                      <w:szCs w:val="21"/>
                    </w:rPr>
                  </w:pPr>
                  <w:r>
                    <w:rPr>
                      <w:rFonts w:hint="eastAsia"/>
                      <w:color w:val="auto"/>
                      <w:szCs w:val="21"/>
                    </w:rPr>
                    <w:t>900-21</w:t>
                  </w:r>
                  <w:r>
                    <w:rPr>
                      <w:rFonts w:hint="eastAsia"/>
                      <w:color w:val="auto"/>
                      <w:szCs w:val="21"/>
                      <w:lang w:val="en-US" w:eastAsia="zh-CN"/>
                    </w:rPr>
                    <w:t>4</w:t>
                  </w:r>
                  <w:r>
                    <w:rPr>
                      <w:rFonts w:hint="eastAsia"/>
                      <w:color w:val="auto"/>
                      <w:szCs w:val="21"/>
                    </w:rPr>
                    <w:t>-08</w:t>
                  </w:r>
                </w:p>
              </w:tc>
              <w:tc>
                <w:tcPr>
                  <w:tcW w:w="565" w:type="pct"/>
                  <w:vAlign w:val="center"/>
                </w:tcPr>
                <w:p w14:paraId="1B757A57">
                  <w:pPr>
                    <w:autoSpaceDE w:val="0"/>
                    <w:autoSpaceDN w:val="0"/>
                    <w:adjustRightInd w:val="0"/>
                    <w:snapToGrid w:val="0"/>
                    <w:jc w:val="center"/>
                    <w:rPr>
                      <w:rFonts w:hint="default" w:eastAsia="宋体"/>
                      <w:color w:val="auto"/>
                      <w:szCs w:val="21"/>
                      <w:lang w:val="en-US" w:eastAsia="zh-CN"/>
                    </w:rPr>
                  </w:pPr>
                  <w:r>
                    <w:rPr>
                      <w:rFonts w:hint="eastAsia"/>
                      <w:color w:val="auto"/>
                      <w:szCs w:val="21"/>
                    </w:rPr>
                    <w:t>0.5</w:t>
                  </w:r>
                </w:p>
              </w:tc>
              <w:tc>
                <w:tcPr>
                  <w:tcW w:w="436" w:type="pct"/>
                  <w:vAlign w:val="center"/>
                </w:tcPr>
                <w:p w14:paraId="306BF26F">
                  <w:pPr>
                    <w:widowControl/>
                    <w:jc w:val="center"/>
                    <w:rPr>
                      <w:rFonts w:hAnsi="宋体"/>
                      <w:color w:val="auto"/>
                      <w:kern w:val="0"/>
                      <w:szCs w:val="21"/>
                    </w:rPr>
                  </w:pPr>
                  <w:r>
                    <w:rPr>
                      <w:rFonts w:hint="eastAsia" w:hAnsi="宋体"/>
                      <w:color w:val="auto"/>
                      <w:kern w:val="0"/>
                      <w:szCs w:val="21"/>
                    </w:rPr>
                    <w:t>每</w:t>
                  </w:r>
                  <w:r>
                    <w:rPr>
                      <w:rFonts w:hint="eastAsia" w:hAnsi="宋体"/>
                      <w:color w:val="auto"/>
                      <w:kern w:val="0"/>
                      <w:szCs w:val="21"/>
                      <w:lang w:val="en-US" w:eastAsia="zh-CN"/>
                    </w:rPr>
                    <w:t>1</w:t>
                  </w:r>
                  <w:r>
                    <w:rPr>
                      <w:rFonts w:hint="eastAsia" w:hAnsi="宋体"/>
                      <w:color w:val="auto"/>
                      <w:kern w:val="0"/>
                      <w:szCs w:val="21"/>
                    </w:rPr>
                    <w:t>季度</w:t>
                  </w:r>
                </w:p>
              </w:tc>
            </w:tr>
            <w:tr w14:paraId="43123A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0" w:hRule="atLeast"/>
              </w:trPr>
              <w:tc>
                <w:tcPr>
                  <w:tcW w:w="300" w:type="pct"/>
                  <w:vAlign w:val="center"/>
                </w:tcPr>
                <w:p w14:paraId="560F1BDE">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3</w:t>
                  </w:r>
                </w:p>
              </w:tc>
              <w:tc>
                <w:tcPr>
                  <w:tcW w:w="404" w:type="pct"/>
                  <w:vAlign w:val="center"/>
                </w:tcPr>
                <w:p w14:paraId="556482CE">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熔融、打磨工序收集尘</w:t>
                  </w:r>
                </w:p>
              </w:tc>
              <w:tc>
                <w:tcPr>
                  <w:tcW w:w="757" w:type="pct"/>
                  <w:vAlign w:val="center"/>
                </w:tcPr>
                <w:p w14:paraId="13044C20">
                  <w:pPr>
                    <w:autoSpaceDE w:val="0"/>
                    <w:autoSpaceDN w:val="0"/>
                    <w:adjustRightInd w:val="0"/>
                    <w:snapToGrid w:val="0"/>
                    <w:jc w:val="center"/>
                    <w:rPr>
                      <w:rFonts w:hint="eastAsia"/>
                      <w:color w:val="auto"/>
                      <w:szCs w:val="21"/>
                    </w:rPr>
                  </w:pPr>
                  <w:r>
                    <w:rPr>
                      <w:rFonts w:hint="eastAsia"/>
                      <w:color w:val="auto"/>
                      <w:szCs w:val="21"/>
                    </w:rPr>
                    <w:t>废气处理</w:t>
                  </w:r>
                </w:p>
              </w:tc>
              <w:tc>
                <w:tcPr>
                  <w:tcW w:w="374" w:type="pct"/>
                  <w:vAlign w:val="center"/>
                </w:tcPr>
                <w:p w14:paraId="25E486F2">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固</w:t>
                  </w:r>
                </w:p>
              </w:tc>
              <w:tc>
                <w:tcPr>
                  <w:tcW w:w="645" w:type="pct"/>
                  <w:vAlign w:val="center"/>
                </w:tcPr>
                <w:p w14:paraId="3005280B">
                  <w:pPr>
                    <w:autoSpaceDE w:val="0"/>
                    <w:autoSpaceDN w:val="0"/>
                    <w:adjustRightInd w:val="0"/>
                    <w:snapToGrid w:val="0"/>
                    <w:jc w:val="center"/>
                    <w:rPr>
                      <w:rFonts w:hint="eastAsia"/>
                      <w:color w:val="auto"/>
                      <w:szCs w:val="21"/>
                    </w:rPr>
                  </w:pPr>
                  <w:r>
                    <w:rPr>
                      <w:rFonts w:hint="eastAsia"/>
                      <w:color w:val="auto"/>
                      <w:szCs w:val="21"/>
                      <w:lang w:val="en-US" w:eastAsia="zh-CN"/>
                    </w:rPr>
                    <w:t>铝屑</w:t>
                  </w:r>
                </w:p>
              </w:tc>
              <w:tc>
                <w:tcPr>
                  <w:tcW w:w="429" w:type="pct"/>
                  <w:vAlign w:val="center"/>
                </w:tcPr>
                <w:p w14:paraId="47C5E631">
                  <w:pPr>
                    <w:autoSpaceDE w:val="0"/>
                    <w:autoSpaceDN w:val="0"/>
                    <w:snapToGrid w:val="0"/>
                    <w:jc w:val="center"/>
                    <w:rPr>
                      <w:color w:val="auto"/>
                      <w:kern w:val="0"/>
                      <w:szCs w:val="21"/>
                    </w:rPr>
                  </w:pPr>
                  <w:r>
                    <w:rPr>
                      <w:color w:val="auto"/>
                      <w:kern w:val="0"/>
                      <w:szCs w:val="21"/>
                    </w:rPr>
                    <w:t>T</w:t>
                  </w:r>
                  <w:r>
                    <w:rPr>
                      <w:rFonts w:hint="eastAsia" w:hAnsi="宋体"/>
                      <w:color w:val="auto"/>
                      <w:kern w:val="0"/>
                      <w:szCs w:val="21"/>
                    </w:rPr>
                    <w:t>/R</w:t>
                  </w:r>
                </w:p>
              </w:tc>
              <w:tc>
                <w:tcPr>
                  <w:tcW w:w="481" w:type="pct"/>
                  <w:vAlign w:val="center"/>
                </w:tcPr>
                <w:p w14:paraId="08851E5E">
                  <w:pPr>
                    <w:autoSpaceDE w:val="0"/>
                    <w:autoSpaceDN w:val="0"/>
                    <w:snapToGrid w:val="0"/>
                    <w:jc w:val="center"/>
                    <w:rPr>
                      <w:rFonts w:hint="eastAsia"/>
                      <w:color w:val="auto"/>
                      <w:szCs w:val="21"/>
                    </w:rPr>
                  </w:pPr>
                  <w:r>
                    <w:rPr>
                      <w:rFonts w:hint="eastAsia"/>
                      <w:color w:val="auto"/>
                      <w:szCs w:val="21"/>
                    </w:rPr>
                    <w:t>HW48</w:t>
                  </w:r>
                </w:p>
              </w:tc>
              <w:tc>
                <w:tcPr>
                  <w:tcW w:w="604" w:type="pct"/>
                  <w:vAlign w:val="center"/>
                </w:tcPr>
                <w:p w14:paraId="04D3F629">
                  <w:pPr>
                    <w:jc w:val="center"/>
                    <w:rPr>
                      <w:rFonts w:hint="eastAsia"/>
                      <w:color w:val="auto"/>
                      <w:szCs w:val="21"/>
                    </w:rPr>
                  </w:pPr>
                  <w:r>
                    <w:rPr>
                      <w:rFonts w:hint="eastAsia"/>
                      <w:color w:val="auto"/>
                      <w:szCs w:val="21"/>
                    </w:rPr>
                    <w:t>321-034-48</w:t>
                  </w:r>
                </w:p>
              </w:tc>
              <w:tc>
                <w:tcPr>
                  <w:tcW w:w="565" w:type="pct"/>
                  <w:vAlign w:val="center"/>
                </w:tcPr>
                <w:p w14:paraId="0BBDB199">
                  <w:pPr>
                    <w:autoSpaceDE w:val="0"/>
                    <w:autoSpaceDN w:val="0"/>
                    <w:adjustRightInd w:val="0"/>
                    <w:snapToGrid w:val="0"/>
                    <w:jc w:val="center"/>
                    <w:rPr>
                      <w:rFonts w:hint="default"/>
                      <w:color w:val="auto"/>
                      <w:szCs w:val="21"/>
                      <w:lang w:val="en-US" w:eastAsia="zh-CN"/>
                    </w:rPr>
                  </w:pPr>
                  <w:r>
                    <w:rPr>
                      <w:rFonts w:hint="eastAsia"/>
                      <w:color w:val="auto"/>
                      <w:sz w:val="21"/>
                      <w:szCs w:val="21"/>
                      <w:lang w:val="en-US" w:eastAsia="zh-CN"/>
                    </w:rPr>
                    <w:t>7.569</w:t>
                  </w:r>
                </w:p>
              </w:tc>
              <w:tc>
                <w:tcPr>
                  <w:tcW w:w="436" w:type="pct"/>
                  <w:vAlign w:val="center"/>
                </w:tcPr>
                <w:p w14:paraId="397CC728">
                  <w:pPr>
                    <w:widowControl/>
                    <w:jc w:val="center"/>
                    <w:rPr>
                      <w:rFonts w:hint="eastAsia" w:hAnsi="宋体"/>
                      <w:color w:val="auto"/>
                      <w:kern w:val="0"/>
                      <w:szCs w:val="21"/>
                    </w:rPr>
                  </w:pPr>
                  <w:r>
                    <w:rPr>
                      <w:rFonts w:hint="eastAsia" w:hAnsi="宋体"/>
                      <w:color w:val="auto"/>
                      <w:kern w:val="0"/>
                      <w:szCs w:val="21"/>
                    </w:rPr>
                    <w:t>每</w:t>
                  </w:r>
                  <w:r>
                    <w:rPr>
                      <w:rFonts w:hint="eastAsia" w:hAnsi="宋体"/>
                      <w:color w:val="auto"/>
                      <w:kern w:val="0"/>
                      <w:szCs w:val="21"/>
                      <w:lang w:val="en-US" w:eastAsia="zh-CN"/>
                    </w:rPr>
                    <w:t>1</w:t>
                  </w:r>
                  <w:r>
                    <w:rPr>
                      <w:rFonts w:hint="eastAsia" w:hAnsi="宋体"/>
                      <w:color w:val="auto"/>
                      <w:kern w:val="0"/>
                      <w:szCs w:val="21"/>
                    </w:rPr>
                    <w:t>天</w:t>
                  </w:r>
                </w:p>
              </w:tc>
            </w:tr>
            <w:tr w14:paraId="583C76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5" w:hRule="atLeast"/>
              </w:trPr>
              <w:tc>
                <w:tcPr>
                  <w:tcW w:w="300" w:type="pct"/>
                  <w:vAlign w:val="center"/>
                </w:tcPr>
                <w:p w14:paraId="0654642C">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4</w:t>
                  </w:r>
                </w:p>
              </w:tc>
              <w:tc>
                <w:tcPr>
                  <w:tcW w:w="404" w:type="pct"/>
                  <w:vAlign w:val="center"/>
                </w:tcPr>
                <w:p w14:paraId="572C5A04">
                  <w:pPr>
                    <w:autoSpaceDE w:val="0"/>
                    <w:autoSpaceDN w:val="0"/>
                    <w:adjustRightInd w:val="0"/>
                    <w:snapToGrid w:val="0"/>
                    <w:jc w:val="center"/>
                    <w:rPr>
                      <w:rFonts w:hAnsi="宋体"/>
                      <w:color w:val="auto"/>
                      <w:szCs w:val="21"/>
                    </w:rPr>
                  </w:pPr>
                  <w:r>
                    <w:rPr>
                      <w:rFonts w:hint="eastAsia"/>
                      <w:color w:val="auto"/>
                      <w:szCs w:val="21"/>
                    </w:rPr>
                    <w:t>废活性炭</w:t>
                  </w:r>
                </w:p>
              </w:tc>
              <w:tc>
                <w:tcPr>
                  <w:tcW w:w="757" w:type="pct"/>
                  <w:vAlign w:val="center"/>
                </w:tcPr>
                <w:p w14:paraId="442C407A">
                  <w:pPr>
                    <w:autoSpaceDE w:val="0"/>
                    <w:autoSpaceDN w:val="0"/>
                    <w:adjustRightInd w:val="0"/>
                    <w:snapToGrid w:val="0"/>
                    <w:jc w:val="center"/>
                    <w:rPr>
                      <w:color w:val="auto"/>
                      <w:szCs w:val="21"/>
                    </w:rPr>
                  </w:pPr>
                  <w:r>
                    <w:rPr>
                      <w:rFonts w:hint="eastAsia"/>
                      <w:color w:val="auto"/>
                      <w:szCs w:val="21"/>
                    </w:rPr>
                    <w:t>废气处理</w:t>
                  </w:r>
                </w:p>
              </w:tc>
              <w:tc>
                <w:tcPr>
                  <w:tcW w:w="374" w:type="pct"/>
                  <w:vAlign w:val="center"/>
                </w:tcPr>
                <w:p w14:paraId="22986FFF">
                  <w:pPr>
                    <w:autoSpaceDE w:val="0"/>
                    <w:autoSpaceDN w:val="0"/>
                    <w:adjustRightInd w:val="0"/>
                    <w:snapToGrid w:val="0"/>
                    <w:jc w:val="center"/>
                    <w:rPr>
                      <w:color w:val="auto"/>
                      <w:szCs w:val="21"/>
                    </w:rPr>
                  </w:pPr>
                  <w:r>
                    <w:rPr>
                      <w:rFonts w:hint="eastAsia"/>
                      <w:color w:val="auto"/>
                      <w:szCs w:val="21"/>
                    </w:rPr>
                    <w:t>固</w:t>
                  </w:r>
                </w:p>
              </w:tc>
              <w:tc>
                <w:tcPr>
                  <w:tcW w:w="645" w:type="pct"/>
                  <w:vAlign w:val="center"/>
                </w:tcPr>
                <w:p w14:paraId="258F889F">
                  <w:pPr>
                    <w:autoSpaceDE w:val="0"/>
                    <w:autoSpaceDN w:val="0"/>
                    <w:adjustRightInd w:val="0"/>
                    <w:snapToGrid w:val="0"/>
                    <w:jc w:val="center"/>
                    <w:rPr>
                      <w:color w:val="auto"/>
                      <w:szCs w:val="21"/>
                    </w:rPr>
                  </w:pPr>
                  <w:r>
                    <w:rPr>
                      <w:rFonts w:hint="eastAsia"/>
                      <w:color w:val="auto"/>
                      <w:szCs w:val="21"/>
                    </w:rPr>
                    <w:t>活性炭、有机物</w:t>
                  </w:r>
                </w:p>
              </w:tc>
              <w:tc>
                <w:tcPr>
                  <w:tcW w:w="429" w:type="pct"/>
                  <w:vAlign w:val="center"/>
                </w:tcPr>
                <w:p w14:paraId="1390C382">
                  <w:pPr>
                    <w:autoSpaceDE w:val="0"/>
                    <w:autoSpaceDN w:val="0"/>
                    <w:snapToGrid w:val="0"/>
                    <w:jc w:val="center"/>
                    <w:rPr>
                      <w:color w:val="auto"/>
                      <w:szCs w:val="21"/>
                    </w:rPr>
                  </w:pPr>
                  <w:r>
                    <w:rPr>
                      <w:color w:val="auto"/>
                      <w:szCs w:val="21"/>
                    </w:rPr>
                    <w:t>T</w:t>
                  </w:r>
                </w:p>
              </w:tc>
              <w:tc>
                <w:tcPr>
                  <w:tcW w:w="481" w:type="pct"/>
                  <w:vAlign w:val="center"/>
                </w:tcPr>
                <w:p w14:paraId="14E8404C">
                  <w:pPr>
                    <w:autoSpaceDE w:val="0"/>
                    <w:autoSpaceDN w:val="0"/>
                    <w:snapToGrid w:val="0"/>
                    <w:jc w:val="center"/>
                    <w:rPr>
                      <w:color w:val="auto"/>
                      <w:szCs w:val="21"/>
                    </w:rPr>
                  </w:pPr>
                  <w:r>
                    <w:rPr>
                      <w:color w:val="auto"/>
                      <w:szCs w:val="21"/>
                    </w:rPr>
                    <w:t>HW49</w:t>
                  </w:r>
                </w:p>
              </w:tc>
              <w:tc>
                <w:tcPr>
                  <w:tcW w:w="604" w:type="pct"/>
                  <w:vAlign w:val="center"/>
                </w:tcPr>
                <w:p w14:paraId="1A26D4D8">
                  <w:pPr>
                    <w:jc w:val="center"/>
                    <w:rPr>
                      <w:color w:val="auto"/>
                      <w:szCs w:val="21"/>
                    </w:rPr>
                  </w:pPr>
                  <w:r>
                    <w:rPr>
                      <w:color w:val="auto"/>
                      <w:szCs w:val="21"/>
                    </w:rPr>
                    <w:t>900-039-49</w:t>
                  </w:r>
                </w:p>
              </w:tc>
              <w:tc>
                <w:tcPr>
                  <w:tcW w:w="565" w:type="pct"/>
                  <w:vAlign w:val="center"/>
                </w:tcPr>
                <w:p w14:paraId="0E5C214E">
                  <w:pPr>
                    <w:autoSpaceDE w:val="0"/>
                    <w:autoSpaceDN w:val="0"/>
                    <w:adjustRightInd w:val="0"/>
                    <w:snapToGrid w:val="0"/>
                    <w:jc w:val="center"/>
                    <w:rPr>
                      <w:rFonts w:hint="default" w:eastAsia="宋体"/>
                      <w:color w:val="auto"/>
                      <w:szCs w:val="21"/>
                      <w:lang w:val="en-US" w:eastAsia="zh-CN"/>
                    </w:rPr>
                  </w:pPr>
                  <w:r>
                    <w:rPr>
                      <w:rFonts w:hint="eastAsia"/>
                      <w:color w:val="auto"/>
                      <w:sz w:val="21"/>
                      <w:szCs w:val="21"/>
                      <w:lang w:val="en-US" w:eastAsia="zh-CN"/>
                    </w:rPr>
                    <w:t>31.5741</w:t>
                  </w:r>
                </w:p>
              </w:tc>
              <w:tc>
                <w:tcPr>
                  <w:tcW w:w="436" w:type="pct"/>
                  <w:vAlign w:val="center"/>
                </w:tcPr>
                <w:p w14:paraId="401F999A">
                  <w:pPr>
                    <w:widowControl/>
                    <w:jc w:val="center"/>
                    <w:rPr>
                      <w:rFonts w:hint="eastAsia" w:hAnsi="宋体" w:eastAsia="宋体"/>
                      <w:color w:val="auto"/>
                      <w:kern w:val="0"/>
                      <w:szCs w:val="21"/>
                      <w:lang w:val="en-US" w:eastAsia="zh-CN"/>
                    </w:rPr>
                  </w:pPr>
                  <w:r>
                    <w:rPr>
                      <w:rFonts w:hint="eastAsia" w:hAnsi="宋体"/>
                      <w:color w:val="auto"/>
                      <w:kern w:val="0"/>
                      <w:szCs w:val="21"/>
                    </w:rPr>
                    <w:t>每</w:t>
                  </w:r>
                  <w:r>
                    <w:rPr>
                      <w:rFonts w:hint="eastAsia" w:hAnsi="宋体"/>
                      <w:color w:val="auto"/>
                      <w:kern w:val="0"/>
                      <w:szCs w:val="21"/>
                      <w:lang w:val="en-US" w:eastAsia="zh-CN"/>
                    </w:rPr>
                    <w:t>1季度</w:t>
                  </w:r>
                </w:p>
              </w:tc>
            </w:tr>
            <w:tr w14:paraId="7A6AB0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9" w:hRule="atLeast"/>
              </w:trPr>
              <w:tc>
                <w:tcPr>
                  <w:tcW w:w="300" w:type="pct"/>
                  <w:vAlign w:val="center"/>
                </w:tcPr>
                <w:p w14:paraId="73A49DEB">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5</w:t>
                  </w:r>
                </w:p>
              </w:tc>
              <w:tc>
                <w:tcPr>
                  <w:tcW w:w="404" w:type="pct"/>
                  <w:vAlign w:val="center"/>
                </w:tcPr>
                <w:p w14:paraId="7A1E30F4">
                  <w:pPr>
                    <w:autoSpaceDE w:val="0"/>
                    <w:autoSpaceDN w:val="0"/>
                    <w:adjustRightInd w:val="0"/>
                    <w:snapToGrid w:val="0"/>
                    <w:jc w:val="center"/>
                    <w:rPr>
                      <w:rFonts w:hAnsi="宋体"/>
                      <w:color w:val="auto"/>
                      <w:szCs w:val="21"/>
                    </w:rPr>
                  </w:pPr>
                  <w:r>
                    <w:rPr>
                      <w:rFonts w:hint="eastAsia"/>
                      <w:color w:val="auto"/>
                      <w:szCs w:val="21"/>
                    </w:rPr>
                    <w:t>废包装桶</w:t>
                  </w:r>
                </w:p>
              </w:tc>
              <w:tc>
                <w:tcPr>
                  <w:tcW w:w="757" w:type="pct"/>
                  <w:vAlign w:val="center"/>
                </w:tcPr>
                <w:p w14:paraId="24477994">
                  <w:pPr>
                    <w:autoSpaceDE w:val="0"/>
                    <w:autoSpaceDN w:val="0"/>
                    <w:adjustRightInd w:val="0"/>
                    <w:snapToGrid w:val="0"/>
                    <w:jc w:val="center"/>
                    <w:rPr>
                      <w:color w:val="auto"/>
                      <w:szCs w:val="21"/>
                    </w:rPr>
                  </w:pPr>
                  <w:r>
                    <w:rPr>
                      <w:rFonts w:hint="eastAsia"/>
                      <w:color w:val="auto"/>
                      <w:szCs w:val="21"/>
                    </w:rPr>
                    <w:t>原料包装拆包</w:t>
                  </w:r>
                </w:p>
              </w:tc>
              <w:tc>
                <w:tcPr>
                  <w:tcW w:w="374" w:type="pct"/>
                  <w:vAlign w:val="center"/>
                </w:tcPr>
                <w:p w14:paraId="2B76885B">
                  <w:pPr>
                    <w:autoSpaceDE w:val="0"/>
                    <w:autoSpaceDN w:val="0"/>
                    <w:adjustRightInd w:val="0"/>
                    <w:snapToGrid w:val="0"/>
                    <w:jc w:val="center"/>
                    <w:rPr>
                      <w:color w:val="auto"/>
                      <w:szCs w:val="21"/>
                    </w:rPr>
                  </w:pPr>
                  <w:r>
                    <w:rPr>
                      <w:rFonts w:hint="eastAsia"/>
                      <w:color w:val="auto"/>
                      <w:szCs w:val="21"/>
                    </w:rPr>
                    <w:t>固</w:t>
                  </w:r>
                </w:p>
              </w:tc>
              <w:tc>
                <w:tcPr>
                  <w:tcW w:w="645" w:type="pct"/>
                  <w:vAlign w:val="center"/>
                </w:tcPr>
                <w:p w14:paraId="5F418A59">
                  <w:pPr>
                    <w:autoSpaceDE w:val="0"/>
                    <w:autoSpaceDN w:val="0"/>
                    <w:adjustRightInd w:val="0"/>
                    <w:snapToGrid w:val="0"/>
                    <w:jc w:val="center"/>
                    <w:rPr>
                      <w:color w:val="auto"/>
                      <w:szCs w:val="21"/>
                    </w:rPr>
                  </w:pPr>
                  <w:r>
                    <w:rPr>
                      <w:rFonts w:hint="eastAsia"/>
                      <w:color w:val="auto"/>
                      <w:szCs w:val="21"/>
                    </w:rPr>
                    <w:t>包装桶、沾染的物料</w:t>
                  </w:r>
                </w:p>
              </w:tc>
              <w:tc>
                <w:tcPr>
                  <w:tcW w:w="429" w:type="pct"/>
                  <w:vAlign w:val="center"/>
                </w:tcPr>
                <w:p w14:paraId="11B19FD5">
                  <w:pPr>
                    <w:autoSpaceDE w:val="0"/>
                    <w:autoSpaceDN w:val="0"/>
                    <w:snapToGrid w:val="0"/>
                    <w:jc w:val="center"/>
                    <w:rPr>
                      <w:color w:val="auto"/>
                      <w:szCs w:val="21"/>
                    </w:rPr>
                  </w:pPr>
                  <w:r>
                    <w:rPr>
                      <w:rFonts w:hint="eastAsia"/>
                      <w:color w:val="auto"/>
                      <w:szCs w:val="21"/>
                    </w:rPr>
                    <w:t>T/In</w:t>
                  </w:r>
                </w:p>
              </w:tc>
              <w:tc>
                <w:tcPr>
                  <w:tcW w:w="481" w:type="pct"/>
                  <w:vAlign w:val="center"/>
                </w:tcPr>
                <w:p w14:paraId="123624CC">
                  <w:pPr>
                    <w:autoSpaceDE w:val="0"/>
                    <w:autoSpaceDN w:val="0"/>
                    <w:snapToGrid w:val="0"/>
                    <w:jc w:val="center"/>
                    <w:rPr>
                      <w:color w:val="auto"/>
                      <w:szCs w:val="21"/>
                    </w:rPr>
                  </w:pPr>
                  <w:r>
                    <w:rPr>
                      <w:rFonts w:hint="eastAsia"/>
                      <w:color w:val="auto"/>
                      <w:szCs w:val="21"/>
                    </w:rPr>
                    <w:t>HW49</w:t>
                  </w:r>
                </w:p>
              </w:tc>
              <w:tc>
                <w:tcPr>
                  <w:tcW w:w="604" w:type="pct"/>
                  <w:vAlign w:val="center"/>
                </w:tcPr>
                <w:p w14:paraId="0EE56F2B">
                  <w:pPr>
                    <w:jc w:val="center"/>
                    <w:rPr>
                      <w:color w:val="auto"/>
                      <w:szCs w:val="21"/>
                    </w:rPr>
                  </w:pPr>
                  <w:r>
                    <w:rPr>
                      <w:rFonts w:hint="eastAsia"/>
                      <w:color w:val="auto"/>
                      <w:szCs w:val="21"/>
                    </w:rPr>
                    <w:t>900-041-49</w:t>
                  </w:r>
                </w:p>
              </w:tc>
              <w:tc>
                <w:tcPr>
                  <w:tcW w:w="565" w:type="pct"/>
                  <w:vAlign w:val="center"/>
                </w:tcPr>
                <w:p w14:paraId="70FADFCF">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0.164</w:t>
                  </w:r>
                </w:p>
              </w:tc>
              <w:tc>
                <w:tcPr>
                  <w:tcW w:w="436" w:type="pct"/>
                  <w:vAlign w:val="center"/>
                </w:tcPr>
                <w:p w14:paraId="5EDB944F">
                  <w:pPr>
                    <w:widowControl/>
                    <w:jc w:val="center"/>
                    <w:rPr>
                      <w:rFonts w:hint="eastAsia" w:hAnsi="宋体" w:eastAsia="宋体"/>
                      <w:color w:val="auto"/>
                      <w:kern w:val="0"/>
                      <w:szCs w:val="21"/>
                      <w:lang w:eastAsia="zh-CN"/>
                    </w:rPr>
                  </w:pPr>
                  <w:r>
                    <w:rPr>
                      <w:rFonts w:hint="eastAsia" w:hAnsi="宋体"/>
                      <w:color w:val="auto"/>
                      <w:kern w:val="0"/>
                      <w:szCs w:val="21"/>
                    </w:rPr>
                    <w:t>每</w:t>
                  </w:r>
                  <w:r>
                    <w:rPr>
                      <w:rFonts w:hint="eastAsia" w:hAnsi="宋体"/>
                      <w:color w:val="auto"/>
                      <w:kern w:val="0"/>
                      <w:szCs w:val="21"/>
                      <w:lang w:val="en-US" w:eastAsia="zh-CN"/>
                    </w:rPr>
                    <w:t>1天</w:t>
                  </w:r>
                </w:p>
              </w:tc>
            </w:tr>
            <w:tr w14:paraId="44951B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0" w:type="pct"/>
                  <w:vAlign w:val="center"/>
                </w:tcPr>
                <w:p w14:paraId="1FC8344D">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6</w:t>
                  </w:r>
                </w:p>
              </w:tc>
              <w:tc>
                <w:tcPr>
                  <w:tcW w:w="404" w:type="pct"/>
                  <w:vAlign w:val="center"/>
                </w:tcPr>
                <w:p w14:paraId="3193235F">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沾染危废的废布袋</w:t>
                  </w:r>
                </w:p>
              </w:tc>
              <w:tc>
                <w:tcPr>
                  <w:tcW w:w="757" w:type="pct"/>
                  <w:vAlign w:val="center"/>
                </w:tcPr>
                <w:p w14:paraId="72D9D122">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废气处理</w:t>
                  </w:r>
                </w:p>
              </w:tc>
              <w:tc>
                <w:tcPr>
                  <w:tcW w:w="374" w:type="pct"/>
                  <w:vAlign w:val="center"/>
                </w:tcPr>
                <w:p w14:paraId="504A48FD">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固</w:t>
                  </w:r>
                </w:p>
              </w:tc>
              <w:tc>
                <w:tcPr>
                  <w:tcW w:w="645" w:type="pct"/>
                  <w:vAlign w:val="center"/>
                </w:tcPr>
                <w:p w14:paraId="4E6A5CBC">
                  <w:pPr>
                    <w:autoSpaceDE w:val="0"/>
                    <w:autoSpaceDN w:val="0"/>
                    <w:adjustRightInd w:val="0"/>
                    <w:snapToGrid w:val="0"/>
                    <w:jc w:val="center"/>
                    <w:rPr>
                      <w:rFonts w:hint="eastAsia"/>
                      <w:color w:val="auto"/>
                      <w:szCs w:val="21"/>
                    </w:rPr>
                  </w:pPr>
                  <w:r>
                    <w:rPr>
                      <w:rFonts w:hint="eastAsia"/>
                      <w:color w:val="auto"/>
                      <w:szCs w:val="21"/>
                    </w:rPr>
                    <w:t>织物</w:t>
                  </w:r>
                  <w:r>
                    <w:rPr>
                      <w:rFonts w:hint="eastAsia"/>
                      <w:color w:val="auto"/>
                      <w:szCs w:val="21"/>
                      <w:lang w:eastAsia="zh-CN"/>
                    </w:rPr>
                    <w:t>、</w:t>
                  </w:r>
                  <w:r>
                    <w:rPr>
                      <w:rFonts w:hint="eastAsia"/>
                      <w:color w:val="auto"/>
                      <w:szCs w:val="21"/>
                    </w:rPr>
                    <w:t>沾染的物料</w:t>
                  </w:r>
                </w:p>
              </w:tc>
              <w:tc>
                <w:tcPr>
                  <w:tcW w:w="429" w:type="pct"/>
                  <w:vAlign w:val="center"/>
                </w:tcPr>
                <w:p w14:paraId="1B80D0AB">
                  <w:pPr>
                    <w:autoSpaceDE w:val="0"/>
                    <w:autoSpaceDN w:val="0"/>
                    <w:snapToGrid w:val="0"/>
                    <w:jc w:val="center"/>
                    <w:rPr>
                      <w:rFonts w:hint="eastAsia"/>
                      <w:color w:val="auto"/>
                      <w:szCs w:val="21"/>
                    </w:rPr>
                  </w:pPr>
                  <w:r>
                    <w:rPr>
                      <w:rFonts w:hint="eastAsia"/>
                      <w:color w:val="auto"/>
                      <w:szCs w:val="21"/>
                    </w:rPr>
                    <w:t>T/In</w:t>
                  </w:r>
                </w:p>
              </w:tc>
              <w:tc>
                <w:tcPr>
                  <w:tcW w:w="481" w:type="pct"/>
                  <w:vAlign w:val="center"/>
                </w:tcPr>
                <w:p w14:paraId="744A4352">
                  <w:pPr>
                    <w:autoSpaceDE w:val="0"/>
                    <w:autoSpaceDN w:val="0"/>
                    <w:snapToGrid w:val="0"/>
                    <w:jc w:val="center"/>
                    <w:rPr>
                      <w:rFonts w:hint="eastAsia"/>
                      <w:color w:val="auto"/>
                      <w:szCs w:val="21"/>
                    </w:rPr>
                  </w:pPr>
                  <w:r>
                    <w:rPr>
                      <w:rFonts w:hint="eastAsia"/>
                      <w:color w:val="auto"/>
                      <w:szCs w:val="21"/>
                    </w:rPr>
                    <w:t>HW49</w:t>
                  </w:r>
                </w:p>
              </w:tc>
              <w:tc>
                <w:tcPr>
                  <w:tcW w:w="604" w:type="pct"/>
                  <w:vAlign w:val="center"/>
                </w:tcPr>
                <w:p w14:paraId="40322681">
                  <w:pPr>
                    <w:jc w:val="center"/>
                    <w:rPr>
                      <w:rFonts w:hint="eastAsia"/>
                      <w:color w:val="auto"/>
                      <w:szCs w:val="21"/>
                    </w:rPr>
                  </w:pPr>
                  <w:r>
                    <w:rPr>
                      <w:rFonts w:hint="eastAsia"/>
                      <w:color w:val="auto"/>
                      <w:szCs w:val="21"/>
                    </w:rPr>
                    <w:t>900-041-49</w:t>
                  </w:r>
                </w:p>
              </w:tc>
              <w:tc>
                <w:tcPr>
                  <w:tcW w:w="565" w:type="pct"/>
                  <w:vAlign w:val="center"/>
                </w:tcPr>
                <w:p w14:paraId="036B46D5">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0.1496</w:t>
                  </w:r>
                </w:p>
              </w:tc>
              <w:tc>
                <w:tcPr>
                  <w:tcW w:w="436" w:type="pct"/>
                  <w:vAlign w:val="center"/>
                </w:tcPr>
                <w:p w14:paraId="36EC19DA">
                  <w:pPr>
                    <w:widowControl/>
                    <w:jc w:val="center"/>
                    <w:rPr>
                      <w:rFonts w:hint="eastAsia" w:hAnsi="宋体" w:eastAsia="宋体"/>
                      <w:color w:val="auto"/>
                      <w:kern w:val="0"/>
                      <w:szCs w:val="21"/>
                      <w:lang w:val="en-US" w:eastAsia="zh-CN"/>
                    </w:rPr>
                  </w:pPr>
                  <w:r>
                    <w:rPr>
                      <w:rFonts w:hint="eastAsia" w:hAnsi="宋体"/>
                      <w:color w:val="auto"/>
                      <w:kern w:val="0"/>
                      <w:szCs w:val="21"/>
                      <w:lang w:val="en-US" w:eastAsia="zh-CN"/>
                    </w:rPr>
                    <w:t>每1年</w:t>
                  </w:r>
                </w:p>
              </w:tc>
            </w:tr>
            <w:tr w14:paraId="657F9D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0" w:hRule="atLeast"/>
              </w:trPr>
              <w:tc>
                <w:tcPr>
                  <w:tcW w:w="300" w:type="pct"/>
                  <w:vAlign w:val="center"/>
                </w:tcPr>
                <w:p w14:paraId="491D88D9">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7</w:t>
                  </w:r>
                </w:p>
              </w:tc>
              <w:tc>
                <w:tcPr>
                  <w:tcW w:w="404" w:type="pct"/>
                  <w:vAlign w:val="center"/>
                </w:tcPr>
                <w:p w14:paraId="5579C79F">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含油铝屑</w:t>
                  </w:r>
                </w:p>
              </w:tc>
              <w:tc>
                <w:tcPr>
                  <w:tcW w:w="757" w:type="pct"/>
                  <w:vAlign w:val="center"/>
                </w:tcPr>
                <w:p w14:paraId="27F6E892">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机加工</w:t>
                  </w:r>
                </w:p>
              </w:tc>
              <w:tc>
                <w:tcPr>
                  <w:tcW w:w="374" w:type="pct"/>
                  <w:vAlign w:val="center"/>
                </w:tcPr>
                <w:p w14:paraId="6C217973">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半固</w:t>
                  </w:r>
                </w:p>
              </w:tc>
              <w:tc>
                <w:tcPr>
                  <w:tcW w:w="645" w:type="pct"/>
                  <w:vAlign w:val="center"/>
                </w:tcPr>
                <w:p w14:paraId="7D5E534A">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铝屑、切削液</w:t>
                  </w:r>
                </w:p>
              </w:tc>
              <w:tc>
                <w:tcPr>
                  <w:tcW w:w="429" w:type="pct"/>
                  <w:vAlign w:val="center"/>
                </w:tcPr>
                <w:p w14:paraId="38F72C18">
                  <w:pPr>
                    <w:autoSpaceDE w:val="0"/>
                    <w:autoSpaceDN w:val="0"/>
                    <w:snapToGrid w:val="0"/>
                    <w:jc w:val="center"/>
                    <w:rPr>
                      <w:rFonts w:hint="eastAsia"/>
                      <w:color w:val="auto"/>
                      <w:szCs w:val="21"/>
                    </w:rPr>
                  </w:pPr>
                  <w:r>
                    <w:rPr>
                      <w:color w:val="auto"/>
                      <w:szCs w:val="21"/>
                    </w:rPr>
                    <w:t>T</w:t>
                  </w:r>
                </w:p>
              </w:tc>
              <w:tc>
                <w:tcPr>
                  <w:tcW w:w="481" w:type="pct"/>
                  <w:vAlign w:val="center"/>
                </w:tcPr>
                <w:p w14:paraId="411F6F08">
                  <w:pPr>
                    <w:autoSpaceDE w:val="0"/>
                    <w:autoSpaceDN w:val="0"/>
                    <w:snapToGrid w:val="0"/>
                    <w:jc w:val="center"/>
                    <w:rPr>
                      <w:rFonts w:hint="eastAsia"/>
                      <w:color w:val="auto"/>
                      <w:szCs w:val="21"/>
                    </w:rPr>
                  </w:pPr>
                  <w:r>
                    <w:rPr>
                      <w:rFonts w:hint="eastAsia" w:ascii="Times New Roman" w:hAnsi="Times New Roman" w:eastAsia="宋体" w:cs="Times New Roman"/>
                      <w:color w:val="auto"/>
                      <w:szCs w:val="21"/>
                      <w:lang w:val="en-US" w:eastAsia="zh-CN"/>
                    </w:rPr>
                    <w:t>HW09</w:t>
                  </w:r>
                </w:p>
              </w:tc>
              <w:tc>
                <w:tcPr>
                  <w:tcW w:w="604" w:type="pct"/>
                  <w:vAlign w:val="center"/>
                </w:tcPr>
                <w:p w14:paraId="3D657BC4">
                  <w:pPr>
                    <w:jc w:val="center"/>
                    <w:rPr>
                      <w:rFonts w:hint="eastAsia"/>
                      <w:color w:val="auto"/>
                      <w:szCs w:val="21"/>
                    </w:rPr>
                  </w:pPr>
                  <w:r>
                    <w:rPr>
                      <w:rFonts w:hint="eastAsia" w:ascii="Times New Roman" w:hAnsi="Times New Roman" w:eastAsia="宋体" w:cs="Times New Roman"/>
                      <w:color w:val="auto"/>
                      <w:szCs w:val="21"/>
                      <w:lang w:val="en-US" w:eastAsia="zh-CN"/>
                    </w:rPr>
                    <w:t>900-006-09</w:t>
                  </w:r>
                </w:p>
              </w:tc>
              <w:tc>
                <w:tcPr>
                  <w:tcW w:w="565" w:type="pct"/>
                  <w:vAlign w:val="center"/>
                </w:tcPr>
                <w:p w14:paraId="4DE860CD">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0.5</w:t>
                  </w:r>
                </w:p>
              </w:tc>
              <w:tc>
                <w:tcPr>
                  <w:tcW w:w="436" w:type="pct"/>
                  <w:vAlign w:val="center"/>
                </w:tcPr>
                <w:p w14:paraId="4A7C5AC4">
                  <w:pPr>
                    <w:widowControl/>
                    <w:jc w:val="center"/>
                    <w:rPr>
                      <w:rFonts w:hint="default" w:hAnsi="宋体"/>
                      <w:color w:val="auto"/>
                      <w:kern w:val="0"/>
                      <w:szCs w:val="21"/>
                      <w:lang w:val="en-US" w:eastAsia="zh-CN"/>
                    </w:rPr>
                  </w:pPr>
                  <w:r>
                    <w:rPr>
                      <w:rFonts w:hint="eastAsia" w:hAnsi="宋体"/>
                      <w:color w:val="auto"/>
                      <w:kern w:val="0"/>
                      <w:szCs w:val="21"/>
                      <w:lang w:val="en-US" w:eastAsia="zh-CN"/>
                    </w:rPr>
                    <w:t>每1天</w:t>
                  </w:r>
                </w:p>
              </w:tc>
            </w:tr>
            <w:tr w14:paraId="79EB32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30" w:hRule="atLeast"/>
              </w:trPr>
              <w:tc>
                <w:tcPr>
                  <w:tcW w:w="300" w:type="pct"/>
                  <w:vAlign w:val="center"/>
                </w:tcPr>
                <w:p w14:paraId="149F0974">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8</w:t>
                  </w:r>
                </w:p>
              </w:tc>
              <w:tc>
                <w:tcPr>
                  <w:tcW w:w="404" w:type="pct"/>
                  <w:vAlign w:val="center"/>
                </w:tcPr>
                <w:p w14:paraId="47286C81">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废液</w:t>
                  </w:r>
                </w:p>
              </w:tc>
              <w:tc>
                <w:tcPr>
                  <w:tcW w:w="757" w:type="pct"/>
                  <w:vAlign w:val="center"/>
                </w:tcPr>
                <w:p w14:paraId="08CD4191">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冷却、清洗</w:t>
                  </w:r>
                </w:p>
              </w:tc>
              <w:tc>
                <w:tcPr>
                  <w:tcW w:w="374" w:type="pct"/>
                  <w:vAlign w:val="center"/>
                </w:tcPr>
                <w:p w14:paraId="2318F21E">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液</w:t>
                  </w:r>
                </w:p>
              </w:tc>
              <w:tc>
                <w:tcPr>
                  <w:tcW w:w="645" w:type="pct"/>
                  <w:vAlign w:val="center"/>
                </w:tcPr>
                <w:p w14:paraId="16ACDC4B">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水、油类</w:t>
                  </w:r>
                </w:p>
              </w:tc>
              <w:tc>
                <w:tcPr>
                  <w:tcW w:w="429" w:type="pct"/>
                  <w:vAlign w:val="center"/>
                </w:tcPr>
                <w:p w14:paraId="0278DA62">
                  <w:pPr>
                    <w:autoSpaceDE w:val="0"/>
                    <w:autoSpaceDN w:val="0"/>
                    <w:snapToGrid w:val="0"/>
                    <w:jc w:val="center"/>
                    <w:rPr>
                      <w:rFonts w:hint="default" w:eastAsia="宋体"/>
                      <w:color w:val="auto"/>
                      <w:szCs w:val="21"/>
                      <w:lang w:val="en-US" w:eastAsia="zh-CN"/>
                    </w:rPr>
                  </w:pPr>
                  <w:r>
                    <w:rPr>
                      <w:rFonts w:hint="eastAsia"/>
                      <w:color w:val="auto"/>
                      <w:szCs w:val="21"/>
                      <w:lang w:val="en-US" w:eastAsia="zh-CN"/>
                    </w:rPr>
                    <w:t>T</w:t>
                  </w:r>
                </w:p>
              </w:tc>
              <w:tc>
                <w:tcPr>
                  <w:tcW w:w="1273" w:type="dxa"/>
                  <w:vAlign w:val="center"/>
                </w:tcPr>
                <w:p w14:paraId="66298A2E">
                  <w:pPr>
                    <w:jc w:val="center"/>
                    <w:rPr>
                      <w:rFonts w:hint="eastAsia"/>
                      <w:color w:val="auto"/>
                      <w:szCs w:val="21"/>
                    </w:rPr>
                  </w:pPr>
                  <w:r>
                    <w:rPr>
                      <w:rFonts w:hint="eastAsia"/>
                      <w:color w:val="auto"/>
                      <w:sz w:val="21"/>
                      <w:szCs w:val="21"/>
                      <w:lang w:val="en-US" w:eastAsia="zh-CN"/>
                    </w:rPr>
                    <w:t>HW09</w:t>
                  </w:r>
                </w:p>
              </w:tc>
              <w:tc>
                <w:tcPr>
                  <w:tcW w:w="1598" w:type="dxa"/>
                  <w:vAlign w:val="center"/>
                </w:tcPr>
                <w:p w14:paraId="5A91FFAF">
                  <w:pPr>
                    <w:jc w:val="center"/>
                    <w:rPr>
                      <w:rFonts w:hint="eastAsia"/>
                      <w:color w:val="auto"/>
                      <w:szCs w:val="21"/>
                    </w:rPr>
                  </w:pPr>
                  <w:r>
                    <w:rPr>
                      <w:rFonts w:hint="eastAsia" w:ascii="Times New Roman" w:hAnsi="Times New Roman" w:eastAsia="宋体" w:cs="Times New Roman"/>
                      <w:color w:val="auto"/>
                      <w:szCs w:val="21"/>
                      <w:lang w:val="en-US" w:eastAsia="zh-CN"/>
                    </w:rPr>
                    <w:t>900-00</w:t>
                  </w:r>
                  <w:r>
                    <w:rPr>
                      <w:rFonts w:hint="eastAsia" w:cs="Times New Roman"/>
                      <w:color w:val="auto"/>
                      <w:szCs w:val="21"/>
                      <w:lang w:val="en-US" w:eastAsia="zh-CN"/>
                    </w:rPr>
                    <w:t>7-</w:t>
                  </w:r>
                  <w:r>
                    <w:rPr>
                      <w:rFonts w:hint="eastAsia" w:ascii="Times New Roman" w:hAnsi="Times New Roman" w:eastAsia="宋体" w:cs="Times New Roman"/>
                      <w:color w:val="auto"/>
                      <w:szCs w:val="21"/>
                      <w:lang w:val="en-US" w:eastAsia="zh-CN"/>
                    </w:rPr>
                    <w:t>09</w:t>
                  </w:r>
                </w:p>
              </w:tc>
              <w:tc>
                <w:tcPr>
                  <w:tcW w:w="565" w:type="pct"/>
                  <w:vAlign w:val="center"/>
                </w:tcPr>
                <w:p w14:paraId="26C0F496">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10.9</w:t>
                  </w:r>
                </w:p>
              </w:tc>
              <w:tc>
                <w:tcPr>
                  <w:tcW w:w="436" w:type="pct"/>
                  <w:vAlign w:val="center"/>
                </w:tcPr>
                <w:p w14:paraId="1972ACBD">
                  <w:pPr>
                    <w:widowControl/>
                    <w:jc w:val="center"/>
                    <w:rPr>
                      <w:rFonts w:hint="default" w:hAnsi="宋体"/>
                      <w:color w:val="auto"/>
                      <w:kern w:val="0"/>
                      <w:szCs w:val="21"/>
                      <w:lang w:val="en-US" w:eastAsia="zh-CN"/>
                    </w:rPr>
                  </w:pPr>
                  <w:r>
                    <w:rPr>
                      <w:rFonts w:hint="eastAsia" w:hAnsi="宋体"/>
                      <w:color w:val="auto"/>
                      <w:kern w:val="0"/>
                      <w:szCs w:val="21"/>
                      <w:lang w:val="en-US" w:eastAsia="zh-CN"/>
                    </w:rPr>
                    <w:t>每2季度</w:t>
                  </w:r>
                </w:p>
              </w:tc>
            </w:tr>
            <w:tr w14:paraId="11322B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5" w:hRule="atLeast"/>
              </w:trPr>
              <w:tc>
                <w:tcPr>
                  <w:tcW w:w="300" w:type="pct"/>
                  <w:vAlign w:val="center"/>
                </w:tcPr>
                <w:p w14:paraId="68477A42">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9</w:t>
                  </w:r>
                </w:p>
              </w:tc>
              <w:tc>
                <w:tcPr>
                  <w:tcW w:w="404" w:type="pct"/>
                  <w:vAlign w:val="center"/>
                </w:tcPr>
                <w:p w14:paraId="791DB101">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废切削液</w:t>
                  </w:r>
                </w:p>
              </w:tc>
              <w:tc>
                <w:tcPr>
                  <w:tcW w:w="757" w:type="pct"/>
                  <w:vAlign w:val="center"/>
                </w:tcPr>
                <w:p w14:paraId="5BF007A5">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机加工</w:t>
                  </w:r>
                </w:p>
              </w:tc>
              <w:tc>
                <w:tcPr>
                  <w:tcW w:w="374" w:type="pct"/>
                  <w:vAlign w:val="center"/>
                </w:tcPr>
                <w:p w14:paraId="5835D232">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液</w:t>
                  </w:r>
                </w:p>
              </w:tc>
              <w:tc>
                <w:tcPr>
                  <w:tcW w:w="645" w:type="pct"/>
                  <w:vAlign w:val="center"/>
                </w:tcPr>
                <w:p w14:paraId="477F2F00">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切削液</w:t>
                  </w:r>
                </w:p>
              </w:tc>
              <w:tc>
                <w:tcPr>
                  <w:tcW w:w="429" w:type="pct"/>
                  <w:vAlign w:val="center"/>
                </w:tcPr>
                <w:p w14:paraId="541168B7">
                  <w:pPr>
                    <w:autoSpaceDE w:val="0"/>
                    <w:autoSpaceDN w:val="0"/>
                    <w:snapToGrid w:val="0"/>
                    <w:jc w:val="center"/>
                    <w:rPr>
                      <w:rFonts w:hint="eastAsia"/>
                      <w:color w:val="auto"/>
                      <w:szCs w:val="21"/>
                    </w:rPr>
                  </w:pPr>
                  <w:r>
                    <w:rPr>
                      <w:color w:val="auto"/>
                      <w:szCs w:val="21"/>
                    </w:rPr>
                    <w:t>T</w:t>
                  </w:r>
                </w:p>
              </w:tc>
              <w:tc>
                <w:tcPr>
                  <w:tcW w:w="481" w:type="pct"/>
                  <w:vAlign w:val="center"/>
                </w:tcPr>
                <w:p w14:paraId="267CB2FC">
                  <w:pPr>
                    <w:autoSpaceDE w:val="0"/>
                    <w:autoSpaceDN w:val="0"/>
                    <w:snapToGrid w:val="0"/>
                    <w:jc w:val="center"/>
                    <w:rPr>
                      <w:rFonts w:hint="eastAsia"/>
                      <w:color w:val="auto"/>
                      <w:szCs w:val="21"/>
                    </w:rPr>
                  </w:pPr>
                  <w:r>
                    <w:rPr>
                      <w:rFonts w:hint="eastAsia" w:ascii="Times New Roman" w:hAnsi="Times New Roman" w:eastAsia="宋体" w:cs="Times New Roman"/>
                      <w:color w:val="auto"/>
                      <w:szCs w:val="21"/>
                      <w:lang w:val="en-US" w:eastAsia="zh-CN"/>
                    </w:rPr>
                    <w:t>HW09</w:t>
                  </w:r>
                </w:p>
              </w:tc>
              <w:tc>
                <w:tcPr>
                  <w:tcW w:w="604" w:type="pct"/>
                  <w:vAlign w:val="center"/>
                </w:tcPr>
                <w:p w14:paraId="112D6941">
                  <w:pPr>
                    <w:jc w:val="center"/>
                    <w:rPr>
                      <w:rFonts w:hint="eastAsia"/>
                      <w:color w:val="auto"/>
                      <w:szCs w:val="21"/>
                    </w:rPr>
                  </w:pPr>
                  <w:r>
                    <w:rPr>
                      <w:rFonts w:hint="eastAsia" w:ascii="Times New Roman" w:hAnsi="Times New Roman" w:eastAsia="宋体" w:cs="Times New Roman"/>
                      <w:color w:val="auto"/>
                      <w:szCs w:val="21"/>
                      <w:lang w:val="en-US" w:eastAsia="zh-CN"/>
                    </w:rPr>
                    <w:t>900-006-09</w:t>
                  </w:r>
                </w:p>
              </w:tc>
              <w:tc>
                <w:tcPr>
                  <w:tcW w:w="565" w:type="pct"/>
                  <w:vAlign w:val="center"/>
                </w:tcPr>
                <w:p w14:paraId="2CCCA8E9">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1.5</w:t>
                  </w:r>
                </w:p>
              </w:tc>
              <w:tc>
                <w:tcPr>
                  <w:tcW w:w="436" w:type="pct"/>
                  <w:vAlign w:val="center"/>
                </w:tcPr>
                <w:p w14:paraId="64713DA6">
                  <w:pPr>
                    <w:widowControl/>
                    <w:jc w:val="center"/>
                    <w:rPr>
                      <w:rFonts w:hint="default" w:hAnsi="宋体"/>
                      <w:color w:val="auto"/>
                      <w:kern w:val="0"/>
                      <w:szCs w:val="21"/>
                      <w:lang w:val="en-US" w:eastAsia="zh-CN"/>
                    </w:rPr>
                  </w:pPr>
                  <w:r>
                    <w:rPr>
                      <w:rFonts w:hint="eastAsia" w:hAnsi="宋体"/>
                      <w:color w:val="auto"/>
                      <w:kern w:val="0"/>
                      <w:szCs w:val="21"/>
                      <w:lang w:val="en-US" w:eastAsia="zh-CN"/>
                    </w:rPr>
                    <w:t>每1天</w:t>
                  </w:r>
                </w:p>
              </w:tc>
            </w:tr>
          </w:tbl>
          <w:p w14:paraId="5DC9777E">
            <w:pPr>
              <w:tabs>
                <w:tab w:val="left" w:pos="567"/>
                <w:tab w:val="left" w:pos="1843"/>
              </w:tabs>
              <w:adjustRightInd w:val="0"/>
              <w:snapToGrid w:val="0"/>
              <w:spacing w:line="360" w:lineRule="auto"/>
              <w:ind w:firstLine="422" w:firstLineChars="200"/>
              <w:rPr>
                <w:rFonts w:hint="eastAsia"/>
                <w:b/>
                <w:color w:val="auto"/>
              </w:rPr>
            </w:pPr>
          </w:p>
          <w:p w14:paraId="62D49C32">
            <w:pPr>
              <w:pStyle w:val="4"/>
              <w:rPr>
                <w:color w:val="auto"/>
              </w:rPr>
            </w:pPr>
          </w:p>
        </w:tc>
      </w:tr>
    </w:tbl>
    <w:p w14:paraId="1EB34022">
      <w:pPr>
        <w:pStyle w:val="22"/>
        <w:jc w:val="both"/>
        <w:outlineLvl w:val="0"/>
        <w:rPr>
          <w:rFonts w:ascii="Times New Roman" w:hAnsi="Times New Roman" w:eastAsia="黑体"/>
          <w:snapToGrid w:val="0"/>
          <w:color w:val="auto"/>
          <w:sz w:val="30"/>
          <w:szCs w:val="30"/>
        </w:rPr>
        <w:sectPr>
          <w:pgSz w:w="16838" w:h="11906" w:orient="landscape"/>
          <w:pgMar w:top="1417" w:right="1418" w:bottom="1417" w:left="1418"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445"/>
      </w:tblGrid>
      <w:tr w14:paraId="4FE7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1" w:hRule="atLeast"/>
        </w:trPr>
        <w:tc>
          <w:tcPr>
            <w:tcW w:w="716" w:type="dxa"/>
            <w:vAlign w:val="center"/>
          </w:tcPr>
          <w:p w14:paraId="18640B6B">
            <w:pPr>
              <w:adjustRightInd w:val="0"/>
              <w:snapToGrid w:val="0"/>
              <w:jc w:val="center"/>
              <w:rPr>
                <w:rFonts w:ascii="宋体" w:hAnsi="宋体" w:cs="宋体"/>
                <w:bCs/>
                <w:color w:val="auto"/>
                <w:szCs w:val="21"/>
              </w:rPr>
            </w:pPr>
            <w:r>
              <w:rPr>
                <w:rFonts w:hint="eastAsia" w:ascii="宋体" w:hAnsi="宋体" w:cs="宋体"/>
                <w:bCs/>
                <w:color w:val="auto"/>
                <w:szCs w:val="21"/>
              </w:rPr>
              <w:t>运营</w:t>
            </w:r>
          </w:p>
          <w:p w14:paraId="58915D21">
            <w:pPr>
              <w:adjustRightInd w:val="0"/>
              <w:snapToGrid w:val="0"/>
              <w:jc w:val="center"/>
              <w:rPr>
                <w:rFonts w:ascii="宋体" w:hAnsi="宋体" w:cs="宋体"/>
                <w:bCs/>
                <w:color w:val="auto"/>
                <w:szCs w:val="21"/>
              </w:rPr>
            </w:pPr>
            <w:r>
              <w:rPr>
                <w:rFonts w:hint="eastAsia" w:ascii="宋体" w:hAnsi="宋体" w:cs="宋体"/>
                <w:bCs/>
                <w:color w:val="auto"/>
                <w:szCs w:val="21"/>
              </w:rPr>
              <w:t>期环</w:t>
            </w:r>
          </w:p>
          <w:p w14:paraId="18B63FE2">
            <w:pPr>
              <w:adjustRightInd w:val="0"/>
              <w:snapToGrid w:val="0"/>
              <w:jc w:val="center"/>
              <w:rPr>
                <w:rFonts w:ascii="宋体" w:hAnsi="宋体" w:cs="宋体"/>
                <w:bCs/>
                <w:color w:val="auto"/>
                <w:szCs w:val="21"/>
              </w:rPr>
            </w:pPr>
            <w:r>
              <w:rPr>
                <w:rFonts w:hint="eastAsia" w:ascii="宋体" w:hAnsi="宋体" w:cs="宋体"/>
                <w:bCs/>
                <w:color w:val="auto"/>
                <w:szCs w:val="21"/>
              </w:rPr>
              <w:t>境影</w:t>
            </w:r>
          </w:p>
          <w:p w14:paraId="51E60BB8">
            <w:pPr>
              <w:adjustRightInd w:val="0"/>
              <w:snapToGrid w:val="0"/>
              <w:jc w:val="center"/>
              <w:rPr>
                <w:rFonts w:ascii="宋体" w:hAnsi="宋体" w:cs="宋体"/>
                <w:bCs/>
                <w:color w:val="auto"/>
                <w:szCs w:val="21"/>
              </w:rPr>
            </w:pPr>
            <w:r>
              <w:rPr>
                <w:rFonts w:hint="eastAsia" w:ascii="宋体" w:hAnsi="宋体" w:cs="宋体"/>
                <w:bCs/>
                <w:color w:val="auto"/>
                <w:szCs w:val="21"/>
              </w:rPr>
              <w:t>响和</w:t>
            </w:r>
          </w:p>
          <w:p w14:paraId="587973E3">
            <w:pPr>
              <w:adjustRightInd w:val="0"/>
              <w:snapToGrid w:val="0"/>
              <w:jc w:val="center"/>
              <w:rPr>
                <w:rFonts w:ascii="宋体" w:hAnsi="宋体" w:cs="宋体"/>
                <w:bCs/>
                <w:color w:val="auto"/>
                <w:szCs w:val="21"/>
              </w:rPr>
            </w:pPr>
            <w:r>
              <w:rPr>
                <w:rFonts w:hint="eastAsia" w:ascii="宋体" w:hAnsi="宋体" w:cs="宋体"/>
                <w:bCs/>
                <w:color w:val="auto"/>
                <w:szCs w:val="21"/>
              </w:rPr>
              <w:t>保护</w:t>
            </w:r>
          </w:p>
          <w:p w14:paraId="645CDD78">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445" w:type="dxa"/>
          </w:tcPr>
          <w:p w14:paraId="568FCA2D">
            <w:pPr>
              <w:tabs>
                <w:tab w:val="left" w:pos="567"/>
                <w:tab w:val="left" w:pos="1843"/>
              </w:tabs>
              <w:adjustRightInd w:val="0"/>
              <w:snapToGrid w:val="0"/>
              <w:spacing w:line="360" w:lineRule="auto"/>
              <w:ind w:firstLine="480"/>
              <w:rPr>
                <w:b/>
                <w:color w:val="auto"/>
                <w:szCs w:val="21"/>
              </w:rPr>
            </w:pPr>
            <w:r>
              <w:rPr>
                <w:rFonts w:hint="eastAsia"/>
                <w:b/>
                <w:color w:val="auto"/>
                <w:szCs w:val="21"/>
              </w:rPr>
              <w:t>4.3</w:t>
            </w:r>
            <w:r>
              <w:rPr>
                <w:rFonts w:ascii="Times New Roman" w:hAnsi="Times New Roman" w:eastAsia="宋体"/>
                <w:b/>
                <w:bCs/>
                <w:color w:val="auto"/>
                <w:sz w:val="21"/>
                <w:szCs w:val="21"/>
              </w:rPr>
              <w:t>环境管理要求</w:t>
            </w:r>
          </w:p>
          <w:p w14:paraId="2039544B">
            <w:pPr>
              <w:tabs>
                <w:tab w:val="left" w:pos="567"/>
                <w:tab w:val="left" w:pos="1843"/>
              </w:tabs>
              <w:adjustRightInd w:val="0"/>
              <w:snapToGrid w:val="0"/>
              <w:spacing w:line="360" w:lineRule="auto"/>
              <w:ind w:firstLine="480"/>
              <w:rPr>
                <w:b/>
                <w:bCs/>
                <w:color w:val="auto"/>
                <w:szCs w:val="21"/>
              </w:rPr>
            </w:pPr>
            <w:r>
              <w:rPr>
                <w:rFonts w:hint="eastAsia"/>
                <w:b/>
                <w:bCs/>
                <w:color w:val="auto"/>
                <w:szCs w:val="21"/>
              </w:rPr>
              <w:t>1）</w:t>
            </w:r>
            <w:r>
              <w:rPr>
                <w:b/>
                <w:bCs/>
                <w:color w:val="auto"/>
                <w:szCs w:val="21"/>
              </w:rPr>
              <w:t>一般工业固体废物贮存场所（设施）影响分析</w:t>
            </w:r>
          </w:p>
          <w:p w14:paraId="01885E40">
            <w:pPr>
              <w:spacing w:line="360" w:lineRule="auto"/>
              <w:ind w:firstLine="420" w:firstLineChars="200"/>
              <w:rPr>
                <w:color w:val="auto"/>
                <w:kern w:val="24"/>
                <w:szCs w:val="21"/>
              </w:rPr>
            </w:pPr>
            <w:r>
              <w:rPr>
                <w:color w:val="auto"/>
                <w:kern w:val="24"/>
                <w:szCs w:val="21"/>
              </w:rPr>
              <w:t>依据固体废物的种类、产生量及其管理的全过程可能造成的环境影响进行分析：</w:t>
            </w:r>
          </w:p>
          <w:p w14:paraId="1075CF3E">
            <w:pPr>
              <w:spacing w:line="360" w:lineRule="auto"/>
              <w:ind w:left="480"/>
              <w:rPr>
                <w:color w:val="auto"/>
                <w:kern w:val="24"/>
                <w:szCs w:val="21"/>
              </w:rPr>
            </w:pPr>
            <w:r>
              <w:rPr>
                <w:rFonts w:hint="eastAsia"/>
                <w:color w:val="auto"/>
                <w:kern w:val="24"/>
                <w:szCs w:val="21"/>
              </w:rPr>
              <w:t>①</w:t>
            </w:r>
            <w:r>
              <w:rPr>
                <w:color w:val="auto"/>
                <w:kern w:val="24"/>
                <w:szCs w:val="21"/>
              </w:rPr>
              <w:t>一般固废分类收集与贮存，不混放，固废相互间不影响。</w:t>
            </w:r>
          </w:p>
          <w:p w14:paraId="4BD35570">
            <w:pPr>
              <w:spacing w:line="360" w:lineRule="auto"/>
              <w:ind w:firstLine="420" w:firstLineChars="200"/>
              <w:rPr>
                <w:color w:val="auto"/>
                <w:kern w:val="24"/>
                <w:szCs w:val="21"/>
              </w:rPr>
            </w:pPr>
            <w:r>
              <w:rPr>
                <w:rFonts w:hint="eastAsia"/>
                <w:color w:val="auto"/>
                <w:kern w:val="24"/>
                <w:szCs w:val="21"/>
              </w:rPr>
              <w:t>②</w:t>
            </w:r>
            <w:r>
              <w:rPr>
                <w:color w:val="auto"/>
                <w:kern w:val="24"/>
                <w:szCs w:val="21"/>
              </w:rPr>
              <w:t>一般固废运输由专业的运输单位负责，在运输过程中采用封闭运输，运输过程中不易散落，对环境影响较小。</w:t>
            </w:r>
          </w:p>
          <w:p w14:paraId="167DAF11">
            <w:pPr>
              <w:spacing w:line="360" w:lineRule="auto"/>
              <w:ind w:left="480"/>
              <w:rPr>
                <w:color w:val="auto"/>
                <w:kern w:val="24"/>
                <w:szCs w:val="21"/>
              </w:rPr>
            </w:pPr>
            <w:r>
              <w:rPr>
                <w:rFonts w:hint="eastAsia"/>
                <w:color w:val="auto"/>
                <w:kern w:val="24"/>
                <w:szCs w:val="21"/>
              </w:rPr>
              <w:t>③</w:t>
            </w:r>
            <w:r>
              <w:rPr>
                <w:color w:val="auto"/>
                <w:kern w:val="24"/>
                <w:szCs w:val="21"/>
              </w:rPr>
              <w:t>一般固废的贮存场所地面采用防渗地面，对土壤、地下水产生的影响较小。</w:t>
            </w:r>
          </w:p>
          <w:p w14:paraId="22AC9437">
            <w:pPr>
              <w:spacing w:line="360" w:lineRule="auto"/>
              <w:ind w:firstLine="420" w:firstLineChars="200"/>
              <w:rPr>
                <w:color w:val="auto"/>
                <w:kern w:val="24"/>
                <w:szCs w:val="21"/>
              </w:rPr>
            </w:pPr>
            <w:r>
              <w:rPr>
                <w:rFonts w:hint="eastAsia"/>
                <w:color w:val="auto"/>
                <w:kern w:val="24"/>
                <w:szCs w:val="21"/>
              </w:rPr>
              <w:t>④</w:t>
            </w:r>
            <w:r>
              <w:rPr>
                <w:color w:val="auto"/>
                <w:kern w:val="24"/>
                <w:szCs w:val="21"/>
              </w:rPr>
              <w:t>一般固废通过环卫清运、外售等方式处置或利用，均不在厂内自行建设施处理，对大气、水体、土壤环境基本不产生影响。</w:t>
            </w:r>
          </w:p>
          <w:p w14:paraId="2C870B10">
            <w:pPr>
              <w:spacing w:line="360" w:lineRule="auto"/>
              <w:ind w:firstLine="420" w:firstLineChars="200"/>
              <w:rPr>
                <w:color w:val="auto"/>
                <w:kern w:val="24"/>
                <w:szCs w:val="21"/>
              </w:rPr>
            </w:pPr>
            <w:r>
              <w:rPr>
                <w:color w:val="auto"/>
                <w:kern w:val="24"/>
                <w:szCs w:val="21"/>
              </w:rPr>
              <w:t>一般固废暂存场所要求</w:t>
            </w:r>
            <w:r>
              <w:rPr>
                <w:rFonts w:hint="eastAsia"/>
                <w:color w:val="auto"/>
                <w:kern w:val="24"/>
                <w:szCs w:val="21"/>
              </w:rPr>
              <w:t>：</w:t>
            </w:r>
          </w:p>
          <w:p w14:paraId="425CB5F4">
            <w:pPr>
              <w:spacing w:line="360" w:lineRule="auto"/>
              <w:ind w:firstLine="420" w:firstLineChars="200"/>
              <w:rPr>
                <w:color w:val="auto"/>
                <w:kern w:val="24"/>
                <w:szCs w:val="21"/>
              </w:rPr>
            </w:pPr>
            <w:r>
              <w:rPr>
                <w:color w:val="auto"/>
                <w:kern w:val="24"/>
                <w:szCs w:val="21"/>
              </w:rPr>
              <w:t>本项目产生的固体废物贮存于一般固废库。该暂存场所应按照</w:t>
            </w:r>
            <w:r>
              <w:rPr>
                <w:rFonts w:hint="eastAsia"/>
                <w:color w:val="auto"/>
                <w:kern w:val="24"/>
                <w:szCs w:val="21"/>
              </w:rPr>
              <w:t>《一般工业固体废物贮存和填埋污染控制标准（GB18599-2020）</w:t>
            </w:r>
            <w:r>
              <w:rPr>
                <w:color w:val="auto"/>
                <w:kern w:val="24"/>
                <w:szCs w:val="21"/>
              </w:rPr>
              <w:t>要求建设。</w:t>
            </w:r>
          </w:p>
          <w:p w14:paraId="20B3CB89">
            <w:pPr>
              <w:spacing w:line="360" w:lineRule="auto"/>
              <w:ind w:firstLine="420" w:firstLineChars="200"/>
              <w:rPr>
                <w:color w:val="auto"/>
                <w:szCs w:val="21"/>
              </w:rPr>
            </w:pPr>
            <w:r>
              <w:rPr>
                <w:rFonts w:hint="eastAsia"/>
                <w:color w:val="auto"/>
              </w:rPr>
              <w:t>本项目产生的一般工业固废属于</w:t>
            </w:r>
            <w:r>
              <w:rPr>
                <w:color w:val="auto"/>
              </w:rPr>
              <w:fldChar w:fldCharType="begin"/>
            </w:r>
            <w:r>
              <w:rPr>
                <w:rFonts w:hint="eastAsia"/>
                <w:color w:val="auto"/>
              </w:rPr>
              <w:instrText xml:space="preserve">= 1 \* ROMAN</w:instrText>
            </w:r>
            <w:r>
              <w:rPr>
                <w:color w:val="auto"/>
              </w:rPr>
              <w:fldChar w:fldCharType="separate"/>
            </w:r>
            <w:r>
              <w:rPr>
                <w:color w:val="auto"/>
              </w:rPr>
              <w:t>I</w:t>
            </w:r>
            <w:r>
              <w:rPr>
                <w:color w:val="auto"/>
              </w:rPr>
              <w:fldChar w:fldCharType="end"/>
            </w:r>
            <w:r>
              <w:rPr>
                <w:color w:val="auto"/>
              </w:rPr>
              <w:t>类，一般固废仓库为</w:t>
            </w:r>
            <w:r>
              <w:rPr>
                <w:color w:val="auto"/>
              </w:rPr>
              <w:fldChar w:fldCharType="begin"/>
            </w:r>
            <w:r>
              <w:rPr>
                <w:rFonts w:hint="eastAsia"/>
                <w:color w:val="auto"/>
              </w:rPr>
              <w:instrText xml:space="preserve">= 1 \* ROMAN</w:instrText>
            </w:r>
            <w:r>
              <w:rPr>
                <w:color w:val="auto"/>
              </w:rPr>
              <w:fldChar w:fldCharType="separate"/>
            </w:r>
            <w:r>
              <w:rPr>
                <w:color w:val="auto"/>
              </w:rPr>
              <w:t>I</w:t>
            </w:r>
            <w:r>
              <w:rPr>
                <w:color w:val="auto"/>
              </w:rPr>
              <w:fldChar w:fldCharType="end"/>
            </w:r>
            <w:r>
              <w:rPr>
                <w:color w:val="auto"/>
              </w:rPr>
              <w:t>类场，</w:t>
            </w:r>
            <w:r>
              <w:rPr>
                <w:rFonts w:hint="eastAsia"/>
                <w:color w:val="auto"/>
                <w:szCs w:val="21"/>
              </w:rPr>
              <w:t>建设要求：</w:t>
            </w:r>
          </w:p>
          <w:p w14:paraId="30526CA8">
            <w:pPr>
              <w:spacing w:line="360" w:lineRule="auto"/>
              <w:ind w:firstLine="420" w:firstLineChars="200"/>
              <w:rPr>
                <w:color w:val="auto"/>
              </w:rPr>
            </w:pPr>
            <w:r>
              <w:rPr>
                <w:rFonts w:hint="eastAsia"/>
                <w:color w:val="auto"/>
              </w:rPr>
              <w:t>①当天然基础层饱和渗透系数不大于1.0</w:t>
            </w:r>
            <w:r>
              <w:rPr>
                <w:color w:val="auto"/>
              </w:rPr>
              <w:t>×10</w:t>
            </w:r>
            <w:r>
              <w:rPr>
                <w:color w:val="auto"/>
                <w:vertAlign w:val="superscript"/>
              </w:rPr>
              <w:t>-</w:t>
            </w:r>
            <w:r>
              <w:rPr>
                <w:rFonts w:hint="eastAsia"/>
                <w:color w:val="auto"/>
                <w:vertAlign w:val="superscript"/>
              </w:rPr>
              <w:t>5</w:t>
            </w:r>
            <w:r>
              <w:rPr>
                <w:color w:val="auto"/>
              </w:rPr>
              <w:t>cm/s，且厚度不小于</w:t>
            </w:r>
            <w:r>
              <w:rPr>
                <w:rFonts w:hint="eastAsia"/>
                <w:color w:val="auto"/>
              </w:rPr>
              <w:t>0.75m时，可以采用天然基础层作为防渗衬层。</w:t>
            </w:r>
          </w:p>
          <w:p w14:paraId="12AA4CD7">
            <w:pPr>
              <w:spacing w:line="360" w:lineRule="auto"/>
              <w:ind w:firstLine="420" w:firstLineChars="200"/>
              <w:rPr>
                <w:color w:val="auto"/>
                <w:kern w:val="24"/>
                <w:szCs w:val="21"/>
              </w:rPr>
            </w:pPr>
            <w:r>
              <w:rPr>
                <w:rFonts w:hint="eastAsia"/>
                <w:color w:val="auto"/>
              </w:rPr>
              <w:t>②当天然基础层不能满足①中防渗要求时，可采用改性压实黏土类衬层或具有同等以上隔水效力的其他材料防渗衬层，其防渗性能应至少相当于渗透系数为1.0</w:t>
            </w:r>
            <w:r>
              <w:rPr>
                <w:color w:val="auto"/>
              </w:rPr>
              <w:t>×10</w:t>
            </w:r>
            <w:r>
              <w:rPr>
                <w:color w:val="auto"/>
                <w:vertAlign w:val="superscript"/>
              </w:rPr>
              <w:t>-</w:t>
            </w:r>
            <w:r>
              <w:rPr>
                <w:rFonts w:hint="eastAsia"/>
                <w:color w:val="auto"/>
                <w:vertAlign w:val="superscript"/>
              </w:rPr>
              <w:t>5</w:t>
            </w:r>
            <w:r>
              <w:rPr>
                <w:color w:val="auto"/>
              </w:rPr>
              <w:t>cm/s且厚度</w:t>
            </w:r>
            <w:r>
              <w:rPr>
                <w:rFonts w:hint="eastAsia"/>
                <w:color w:val="auto"/>
              </w:rPr>
              <w:t>为0.75m的天然基础层。</w:t>
            </w:r>
          </w:p>
          <w:p w14:paraId="7EEE813A">
            <w:pPr>
              <w:spacing w:line="360" w:lineRule="auto"/>
              <w:ind w:firstLine="420" w:firstLineChars="200"/>
              <w:rPr>
                <w:color w:val="auto"/>
                <w:kern w:val="24"/>
                <w:szCs w:val="21"/>
              </w:rPr>
            </w:pPr>
            <w:r>
              <w:rPr>
                <w:rFonts w:hint="eastAsia"/>
                <w:color w:val="auto"/>
                <w:kern w:val="24"/>
                <w:szCs w:val="21"/>
              </w:rPr>
              <w:t>③</w:t>
            </w:r>
            <w:r>
              <w:rPr>
                <w:color w:val="auto"/>
                <w:kern w:val="24"/>
                <w:szCs w:val="21"/>
              </w:rPr>
              <w:t>贮存、处置场的建设类型，必须与将要堆放的一般工业固体废物的类别相一致；</w:t>
            </w:r>
          </w:p>
          <w:p w14:paraId="4EB76AE0">
            <w:pPr>
              <w:spacing w:line="360" w:lineRule="auto"/>
              <w:ind w:firstLine="420" w:firstLineChars="200"/>
              <w:rPr>
                <w:color w:val="auto"/>
                <w:kern w:val="24"/>
                <w:szCs w:val="21"/>
              </w:rPr>
            </w:pPr>
            <w:r>
              <w:rPr>
                <w:rFonts w:hint="eastAsia"/>
                <w:color w:val="auto"/>
                <w:kern w:val="24"/>
                <w:szCs w:val="21"/>
              </w:rPr>
              <w:t>④</w:t>
            </w:r>
            <w:r>
              <w:rPr>
                <w:color w:val="auto"/>
                <w:kern w:val="24"/>
                <w:szCs w:val="21"/>
              </w:rPr>
              <w:t>贮存、处置场采取防止粉尘污染的措施；</w:t>
            </w:r>
          </w:p>
          <w:p w14:paraId="73CAC038">
            <w:pPr>
              <w:spacing w:line="360" w:lineRule="auto"/>
              <w:ind w:firstLine="420" w:firstLineChars="200"/>
              <w:rPr>
                <w:color w:val="auto"/>
                <w:kern w:val="24"/>
                <w:szCs w:val="21"/>
              </w:rPr>
            </w:pPr>
            <w:r>
              <w:rPr>
                <w:rFonts w:hint="eastAsia"/>
                <w:color w:val="auto"/>
                <w:kern w:val="24"/>
                <w:szCs w:val="21"/>
              </w:rPr>
              <w:t>⑤</w:t>
            </w:r>
            <w:r>
              <w:rPr>
                <w:color w:val="auto"/>
                <w:kern w:val="24"/>
                <w:szCs w:val="21"/>
              </w:rPr>
              <w:t>为加强监督管理，贮存、处置场应按GB15562.2设置环境保护图形标志；</w:t>
            </w:r>
          </w:p>
          <w:p w14:paraId="48FD8C50">
            <w:pPr>
              <w:spacing w:line="360" w:lineRule="auto"/>
              <w:ind w:firstLine="420" w:firstLineChars="200"/>
              <w:rPr>
                <w:color w:val="auto"/>
                <w:kern w:val="24"/>
                <w:szCs w:val="21"/>
              </w:rPr>
            </w:pPr>
            <w:r>
              <w:rPr>
                <w:rFonts w:hint="eastAsia"/>
                <w:color w:val="auto"/>
                <w:kern w:val="24"/>
                <w:szCs w:val="21"/>
              </w:rPr>
              <w:t>⑥</w:t>
            </w:r>
            <w:r>
              <w:rPr>
                <w:color w:val="auto"/>
                <w:kern w:val="24"/>
                <w:szCs w:val="21"/>
              </w:rPr>
              <w:t>一般工业固体贮存、处置场禁止危险废物和生活垃圾混入；</w:t>
            </w:r>
          </w:p>
          <w:p w14:paraId="56FC6A4C">
            <w:pPr>
              <w:tabs>
                <w:tab w:val="left" w:pos="567"/>
                <w:tab w:val="left" w:pos="1843"/>
              </w:tabs>
              <w:adjustRightInd w:val="0"/>
              <w:snapToGrid w:val="0"/>
              <w:spacing w:line="360" w:lineRule="auto"/>
              <w:ind w:firstLine="420" w:firstLineChars="200"/>
              <w:rPr>
                <w:color w:val="auto"/>
                <w:szCs w:val="21"/>
              </w:rPr>
            </w:pPr>
            <w:r>
              <w:rPr>
                <w:rFonts w:hint="eastAsia"/>
                <w:color w:val="auto"/>
                <w:kern w:val="24"/>
                <w:szCs w:val="21"/>
              </w:rPr>
              <w:t>⑦</w:t>
            </w:r>
            <w:r>
              <w:rPr>
                <w:color w:val="auto"/>
                <w:kern w:val="24"/>
                <w:szCs w:val="21"/>
              </w:rPr>
              <w:t>贮存、处置</w:t>
            </w:r>
            <w:r>
              <w:rPr>
                <w:rFonts w:hint="eastAsia"/>
                <w:color w:val="auto"/>
                <w:kern w:val="24"/>
                <w:szCs w:val="21"/>
                <w:lang w:eastAsia="zh-CN"/>
              </w:rPr>
              <w:t>场地</w:t>
            </w:r>
            <w:r>
              <w:rPr>
                <w:color w:val="auto"/>
                <w:kern w:val="24"/>
                <w:szCs w:val="21"/>
              </w:rPr>
              <w:t>使用单位，应建立档案制度。应将入场的一般工业固体废物的种类和数量等资料详细记录在案，长期保存，供随时查阅。</w:t>
            </w:r>
          </w:p>
          <w:p w14:paraId="25FF3C16">
            <w:pPr>
              <w:pStyle w:val="3"/>
              <w:spacing w:line="360" w:lineRule="auto"/>
              <w:ind w:firstLine="422" w:firstLineChars="200"/>
              <w:rPr>
                <w:color w:val="auto"/>
                <w:szCs w:val="21"/>
              </w:rPr>
            </w:pPr>
            <w:r>
              <w:rPr>
                <w:rFonts w:ascii="Times New Roman" w:hAnsi="Times New Roman" w:eastAsia="宋体" w:cs="Times New Roman"/>
                <w:color w:val="auto"/>
                <w:sz w:val="21"/>
                <w:szCs w:val="21"/>
              </w:rPr>
              <w:t>2）危</w:t>
            </w:r>
            <w:r>
              <w:rPr>
                <w:rFonts w:ascii="Times New Roman" w:hAnsi="Times New Roman" w:eastAsia="宋体"/>
                <w:color w:val="auto"/>
                <w:sz w:val="21"/>
                <w:szCs w:val="21"/>
              </w:rPr>
              <w:t>险废物贮存场所（设施）环境影响分析</w:t>
            </w:r>
          </w:p>
          <w:p w14:paraId="53D01BD9">
            <w:pPr>
              <w:pStyle w:val="3"/>
              <w:spacing w:line="360" w:lineRule="auto"/>
              <w:ind w:firstLine="420" w:firstLineChars="200"/>
              <w:rPr>
                <w:rFonts w:ascii="Times New Roman" w:hAnsi="Times New Roman" w:eastAsia="宋体"/>
                <w:b w:val="0"/>
                <w:bCs w:val="0"/>
                <w:color w:val="auto"/>
                <w:sz w:val="21"/>
                <w:szCs w:val="21"/>
              </w:rPr>
            </w:pPr>
            <w:r>
              <w:rPr>
                <w:rFonts w:hint="eastAsia" w:ascii="Times New Roman" w:hAnsi="Times New Roman" w:eastAsia="宋体" w:cs="Times New Roman"/>
                <w:b w:val="0"/>
                <w:bCs w:val="0"/>
                <w:color w:val="auto"/>
                <w:kern w:val="24"/>
                <w:sz w:val="21"/>
                <w:szCs w:val="21"/>
                <w:lang w:val="en-US" w:eastAsia="zh-CN" w:bidi="ar-SA"/>
              </w:rPr>
              <w:t>项目拟建20m</w:t>
            </w:r>
            <w:r>
              <w:rPr>
                <w:rFonts w:hint="eastAsia" w:ascii="Times New Roman" w:hAnsi="Times New Roman" w:eastAsia="宋体" w:cs="Times New Roman"/>
                <w:b w:val="0"/>
                <w:bCs w:val="0"/>
                <w:color w:val="auto"/>
                <w:kern w:val="24"/>
                <w:sz w:val="21"/>
                <w:szCs w:val="21"/>
                <w:vertAlign w:val="superscript"/>
                <w:lang w:val="en-US" w:eastAsia="zh-CN" w:bidi="ar-SA"/>
              </w:rPr>
              <w:t>2</w:t>
            </w:r>
            <w:r>
              <w:rPr>
                <w:rFonts w:hint="eastAsia" w:ascii="Times New Roman" w:hAnsi="Times New Roman" w:eastAsia="宋体" w:cs="Times New Roman"/>
                <w:b w:val="0"/>
                <w:bCs w:val="0"/>
                <w:color w:val="auto"/>
                <w:kern w:val="24"/>
                <w:sz w:val="21"/>
                <w:szCs w:val="21"/>
                <w:lang w:val="en-US" w:eastAsia="zh-CN" w:bidi="ar-SA"/>
              </w:rPr>
              <w:t>危险固废仓库，</w:t>
            </w:r>
            <w:r>
              <w:rPr>
                <w:rFonts w:ascii="Times New Roman" w:hAnsi="Times New Roman" w:eastAsia="宋体" w:cs="Times New Roman"/>
                <w:b w:val="0"/>
                <w:bCs w:val="0"/>
                <w:color w:val="auto"/>
                <w:kern w:val="24"/>
                <w:sz w:val="21"/>
                <w:szCs w:val="21"/>
                <w:lang w:val="en-US" w:eastAsia="zh-CN" w:bidi="ar-SA"/>
              </w:rPr>
              <w:t>危</w:t>
            </w:r>
            <w:r>
              <w:rPr>
                <w:rFonts w:ascii="Times New Roman" w:hAnsi="Times New Roman" w:eastAsia="宋体"/>
                <w:b w:val="0"/>
                <w:bCs w:val="0"/>
                <w:color w:val="auto"/>
                <w:sz w:val="21"/>
                <w:szCs w:val="21"/>
              </w:rPr>
              <w:t>废仓库内各种危废按照不同的类别和性质，分别存放于专门的容器中（防渗），分类存放在各自的堆放区内，不叠层堆放，堆放时从第一堆放区开始堆放，</w:t>
            </w:r>
            <w:r>
              <w:rPr>
                <w:rFonts w:hint="eastAsia" w:ascii="Times New Roman" w:hAnsi="Times New Roman" w:eastAsia="宋体"/>
                <w:b w:val="0"/>
                <w:bCs w:val="0"/>
                <w:color w:val="auto"/>
                <w:sz w:val="21"/>
                <w:szCs w:val="21"/>
                <w:lang w:eastAsia="zh-CN"/>
              </w:rPr>
              <w:t>依此类推</w:t>
            </w:r>
            <w:r>
              <w:rPr>
                <w:rFonts w:ascii="Times New Roman" w:hAnsi="Times New Roman" w:eastAsia="宋体"/>
                <w:b w:val="0"/>
                <w:bCs w:val="0"/>
                <w:color w:val="auto"/>
                <w:sz w:val="21"/>
                <w:szCs w:val="21"/>
              </w:rPr>
              <w:t>。各堆放区之间应保留0.9m的间距。贮存场所需按照《危险废物贮存污染控制标准》（GB18597-2023）、</w:t>
            </w:r>
            <w:r>
              <w:rPr>
                <w:rFonts w:ascii="Times New Roman" w:hAnsi="Times New Roman" w:eastAsia="宋体"/>
                <w:b w:val="0"/>
                <w:bCs w:val="0"/>
                <w:color w:val="auto"/>
                <w:sz w:val="21"/>
                <w:szCs w:val="21"/>
              </w:rPr>
              <w:fldChar w:fldCharType="begin"/>
            </w:r>
            <w:r>
              <w:rPr>
                <w:rFonts w:ascii="Times New Roman" w:hAnsi="Times New Roman" w:eastAsia="宋体"/>
                <w:b w:val="0"/>
                <w:bCs w:val="0"/>
                <w:color w:val="auto"/>
                <w:sz w:val="21"/>
                <w:szCs w:val="21"/>
              </w:rPr>
              <w:instrText xml:space="preserve"> HYPERLINK "http://www.mee.gov.cn/xxgk2018/xxgk/xxgk01/202302/t20230224_1017484.html" </w:instrText>
            </w:r>
            <w:r>
              <w:rPr>
                <w:rFonts w:ascii="Times New Roman" w:hAnsi="Times New Roman" w:eastAsia="宋体"/>
                <w:b w:val="0"/>
                <w:bCs w:val="0"/>
                <w:color w:val="auto"/>
                <w:sz w:val="21"/>
                <w:szCs w:val="21"/>
              </w:rPr>
              <w:fldChar w:fldCharType="separate"/>
            </w:r>
            <w:r>
              <w:rPr>
                <w:rFonts w:ascii="Times New Roman" w:hAnsi="Times New Roman" w:eastAsia="宋体"/>
                <w:b w:val="0"/>
                <w:bCs w:val="0"/>
                <w:color w:val="auto"/>
                <w:sz w:val="21"/>
                <w:szCs w:val="21"/>
              </w:rPr>
              <w:t>《危险废物识别标志设置技术规范》（HJ 1276-2022）</w:t>
            </w:r>
            <w:r>
              <w:rPr>
                <w:rFonts w:ascii="Times New Roman" w:hAnsi="Times New Roman" w:eastAsia="宋体"/>
                <w:b w:val="0"/>
                <w:bCs w:val="0"/>
                <w:color w:val="auto"/>
                <w:sz w:val="21"/>
                <w:szCs w:val="21"/>
              </w:rPr>
              <w:fldChar w:fldCharType="end"/>
            </w:r>
            <w:r>
              <w:rPr>
                <w:rFonts w:ascii="Times New Roman" w:hAnsi="Times New Roman" w:eastAsia="宋体"/>
                <w:b w:val="0"/>
                <w:bCs w:val="0"/>
                <w:color w:val="auto"/>
                <w:sz w:val="21"/>
                <w:szCs w:val="21"/>
              </w:rPr>
              <w:t>、</w:t>
            </w:r>
            <w:r>
              <w:rPr>
                <w:rFonts w:hint="eastAsia" w:ascii="Times New Roman" w:hAnsi="Times New Roman" w:eastAsia="宋体"/>
                <w:b w:val="0"/>
                <w:bCs w:val="0"/>
                <w:color w:val="auto"/>
                <w:sz w:val="21"/>
                <w:szCs w:val="21"/>
              </w:rPr>
              <w:t>《省生态环境厅关于做好《危险废物贮存污染控制标准》等标准规范实施后危险废物环境管理衔接工作的通知》（苏环办〔2023〕154号）、</w:t>
            </w:r>
            <w:r>
              <w:rPr>
                <w:rFonts w:ascii="Times New Roman" w:hAnsi="Times New Roman" w:eastAsia="宋体"/>
                <w:b w:val="0"/>
                <w:bCs w:val="0"/>
                <w:color w:val="auto"/>
                <w:sz w:val="21"/>
                <w:szCs w:val="21"/>
              </w:rPr>
              <w:fldChar w:fldCharType="begin"/>
            </w:r>
            <w:r>
              <w:rPr>
                <w:rFonts w:ascii="Times New Roman" w:hAnsi="Times New Roman" w:eastAsia="宋体"/>
                <w:b w:val="0"/>
                <w:bCs w:val="0"/>
                <w:color w:val="auto"/>
                <w:sz w:val="21"/>
                <w:szCs w:val="21"/>
              </w:rPr>
              <w:instrText xml:space="preserve"> HYPERLINK "http://www.mee.gov.cn/xxgk2018/xxgk/xxgk01/202302/t20230224_1017497.html" </w:instrText>
            </w:r>
            <w:r>
              <w:rPr>
                <w:rFonts w:ascii="Times New Roman" w:hAnsi="Times New Roman" w:eastAsia="宋体"/>
                <w:b w:val="0"/>
                <w:bCs w:val="0"/>
                <w:color w:val="auto"/>
                <w:sz w:val="21"/>
                <w:szCs w:val="21"/>
              </w:rPr>
              <w:fldChar w:fldCharType="separate"/>
            </w:r>
            <w:r>
              <w:rPr>
                <w:rFonts w:ascii="Times New Roman" w:hAnsi="Times New Roman" w:eastAsia="宋体"/>
                <w:b w:val="0"/>
                <w:bCs w:val="0"/>
                <w:color w:val="auto"/>
                <w:sz w:val="21"/>
                <w:szCs w:val="21"/>
              </w:rPr>
              <w:t>《环境保护图形标志—固体废物贮存（处置）场》（GB 15562.2-1995）修改单</w:t>
            </w:r>
            <w:r>
              <w:rPr>
                <w:rFonts w:hint="eastAsia" w:ascii="Times New Roman" w:hAnsi="Times New Roman" w:eastAsia="宋体"/>
                <w:b w:val="0"/>
                <w:bCs w:val="0"/>
                <w:color w:val="auto"/>
                <w:sz w:val="21"/>
                <w:szCs w:val="21"/>
              </w:rPr>
              <w:t>及</w:t>
            </w:r>
            <w:r>
              <w:rPr>
                <w:rFonts w:ascii="Times New Roman" w:hAnsi="Times New Roman" w:eastAsia="宋体"/>
                <w:b w:val="0"/>
                <w:bCs w:val="0"/>
                <w:color w:val="auto"/>
                <w:sz w:val="21"/>
                <w:szCs w:val="21"/>
              </w:rPr>
              <w:fldChar w:fldCharType="end"/>
            </w:r>
            <w:r>
              <w:rPr>
                <w:rFonts w:ascii="Times New Roman" w:hAnsi="Times New Roman" w:eastAsia="宋体"/>
                <w:b w:val="0"/>
                <w:bCs w:val="0"/>
                <w:color w:val="auto"/>
                <w:sz w:val="21"/>
                <w:szCs w:val="21"/>
              </w:rPr>
              <w:t>《省生态环境厅关于印发江苏省危险废物贮存规范化管理专项整治行动方案的通知》（苏环办</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2019</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149号），按照《环境保护图形标志</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固体废物贮存（处置场）》和危险废物识别标识设置规范（省生态环境厅关于进一步加强危险废物污染防治工作的实施意见（苏环办</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2019</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327号）附件1）的相关要求建设；设置标志，配备通讯设备、照明设施和消防设施；在出入口、设施内部、危险废物运输车辆通道等关键位置按照危险废物贮存设施视频监控布设要求（苏环办</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2019</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327号）设置视频监控。</w:t>
            </w:r>
          </w:p>
          <w:p w14:paraId="0FA62983">
            <w:pPr>
              <w:tabs>
                <w:tab w:val="left" w:pos="567"/>
                <w:tab w:val="left" w:pos="1843"/>
              </w:tabs>
              <w:adjustRightInd w:val="0"/>
              <w:snapToGrid w:val="0"/>
              <w:spacing w:line="360" w:lineRule="auto"/>
              <w:ind w:firstLine="480"/>
              <w:rPr>
                <w:rFonts w:hint="default" w:ascii="Times New Roman" w:hAnsi="Times New Roman" w:cs="Times New Roman"/>
                <w:b/>
                <w:bCs/>
                <w:color w:val="auto"/>
                <w:kern w:val="24"/>
                <w:sz w:val="21"/>
                <w:szCs w:val="21"/>
              </w:rPr>
            </w:pPr>
            <w:r>
              <w:rPr>
                <w:rFonts w:hint="default" w:ascii="Times New Roman" w:hAnsi="Times New Roman" w:cs="Times New Roman"/>
                <w:color w:val="auto"/>
                <w:kern w:val="24"/>
                <w:sz w:val="21"/>
                <w:szCs w:val="21"/>
              </w:rPr>
              <w:t>与“省生态环境厅关于印发《江苏省固体废物全过程环境监管工作意见》的通知（苏环办〔2024〕16号）”相符性分析见下表。</w:t>
            </w:r>
          </w:p>
          <w:p w14:paraId="4E6D127B">
            <w:pPr>
              <w:jc w:val="center"/>
              <w:rPr>
                <w:rFonts w:hint="default" w:ascii="Times New Roman" w:hAnsi="Times New Roman" w:cs="Times New Roman"/>
                <w:b/>
                <w:bCs/>
                <w:color w:val="auto"/>
                <w:kern w:val="24"/>
                <w:sz w:val="21"/>
                <w:szCs w:val="21"/>
              </w:rPr>
            </w:pPr>
            <w:r>
              <w:rPr>
                <w:rFonts w:hint="default" w:ascii="Times New Roman" w:hAnsi="Times New Roman" w:cs="Times New Roman"/>
                <w:b/>
                <w:bCs/>
                <w:color w:val="auto"/>
                <w:kern w:val="24"/>
                <w:sz w:val="21"/>
                <w:szCs w:val="21"/>
              </w:rPr>
              <w:t>表4</w:t>
            </w:r>
            <w:r>
              <w:rPr>
                <w:rFonts w:hint="eastAsia" w:ascii="Times New Roman" w:hAnsi="Times New Roman" w:cs="Times New Roman"/>
                <w:b/>
                <w:bCs/>
                <w:color w:val="auto"/>
                <w:kern w:val="24"/>
                <w:sz w:val="21"/>
                <w:szCs w:val="21"/>
                <w:lang w:val="en-US" w:eastAsia="zh-CN"/>
              </w:rPr>
              <w:t>-</w:t>
            </w:r>
            <w:r>
              <w:rPr>
                <w:rFonts w:hint="eastAsia" w:cs="Times New Roman"/>
                <w:b/>
                <w:bCs/>
                <w:color w:val="auto"/>
                <w:kern w:val="24"/>
                <w:sz w:val="21"/>
                <w:szCs w:val="21"/>
                <w:lang w:val="en-US" w:eastAsia="zh-CN"/>
              </w:rPr>
              <w:t xml:space="preserve">8 </w:t>
            </w:r>
            <w:r>
              <w:rPr>
                <w:rFonts w:hint="default" w:ascii="Times New Roman" w:hAnsi="Times New Roman" w:cs="Times New Roman"/>
                <w:b/>
                <w:bCs/>
                <w:color w:val="auto"/>
                <w:kern w:val="24"/>
                <w:sz w:val="21"/>
                <w:szCs w:val="21"/>
              </w:rPr>
              <w:t>与苏环办〔2024〕16号文相符性分析</w:t>
            </w:r>
          </w:p>
          <w:tbl>
            <w:tblPr>
              <w:tblStyle w:val="25"/>
              <w:tblW w:w="8357"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 w:type="dxa"/>
                <w:bottom w:w="0" w:type="dxa"/>
                <w:right w:w="10" w:type="dxa"/>
              </w:tblCellMar>
            </w:tblPr>
            <w:tblGrid>
              <w:gridCol w:w="5176"/>
              <w:gridCol w:w="2357"/>
              <w:gridCol w:w="824"/>
            </w:tblGrid>
            <w:tr w14:paraId="749F51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365" w:hRule="atLeast"/>
                <w:jc w:val="center"/>
              </w:trPr>
              <w:tc>
                <w:tcPr>
                  <w:tcW w:w="3096" w:type="pct"/>
                  <w:tcBorders>
                    <w:top w:val="single" w:color="auto" w:sz="12" w:space="0"/>
                    <w:left w:val="nil"/>
                    <w:bottom w:val="single" w:color="auto" w:sz="8" w:space="0"/>
                    <w:right w:val="single" w:color="auto" w:sz="8" w:space="0"/>
                  </w:tcBorders>
                  <w:vAlign w:val="center"/>
                </w:tcPr>
                <w:p w14:paraId="03D5AC1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苏环办〔2024〕16号要求</w:t>
                  </w:r>
                </w:p>
              </w:tc>
              <w:tc>
                <w:tcPr>
                  <w:tcW w:w="1410" w:type="pct"/>
                  <w:tcBorders>
                    <w:top w:val="single" w:color="auto" w:sz="12" w:space="0"/>
                    <w:left w:val="single" w:color="auto" w:sz="8" w:space="0"/>
                    <w:bottom w:val="single" w:color="auto" w:sz="8" w:space="0"/>
                    <w:right w:val="single" w:color="auto" w:sz="8" w:space="0"/>
                  </w:tcBorders>
                  <w:vAlign w:val="center"/>
                </w:tcPr>
                <w:p w14:paraId="245A8ED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本项目建设情况</w:t>
                  </w:r>
                </w:p>
              </w:tc>
              <w:tc>
                <w:tcPr>
                  <w:tcW w:w="492" w:type="pct"/>
                  <w:tcBorders>
                    <w:top w:val="single" w:color="auto" w:sz="12" w:space="0"/>
                    <w:left w:val="single" w:color="auto" w:sz="8" w:space="0"/>
                    <w:bottom w:val="single" w:color="auto" w:sz="8" w:space="0"/>
                    <w:right w:val="nil"/>
                  </w:tcBorders>
                  <w:vAlign w:val="center"/>
                </w:tcPr>
                <w:p w14:paraId="0CFE010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020FAD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3750" w:hRule="atLeast"/>
                <w:jc w:val="center"/>
              </w:trPr>
              <w:tc>
                <w:tcPr>
                  <w:tcW w:w="3096" w:type="pct"/>
                  <w:tcBorders>
                    <w:top w:val="single" w:color="auto" w:sz="8" w:space="0"/>
                    <w:left w:val="nil"/>
                    <w:bottom w:val="single" w:color="auto" w:sz="8" w:space="0"/>
                    <w:right w:val="single" w:color="auto" w:sz="8" w:space="0"/>
                  </w:tcBorders>
                  <w:vAlign w:val="center"/>
                </w:tcPr>
                <w:p w14:paraId="08154FAC">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 GB34330、HJ1091 等标准的产物认定为“再生产品”，不得出现“中间产品”“再生产物”等不规范表述，严禁以“副产品”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1410" w:type="pct"/>
                  <w:tcBorders>
                    <w:top w:val="single" w:color="auto" w:sz="8" w:space="0"/>
                    <w:left w:val="single" w:color="auto" w:sz="8" w:space="0"/>
                    <w:bottom w:val="single" w:color="auto" w:sz="8" w:space="0"/>
                    <w:right w:val="single" w:color="auto" w:sz="8" w:space="0"/>
                  </w:tcBorders>
                  <w:vAlign w:val="center"/>
                </w:tcPr>
                <w:p w14:paraId="734B9C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已明确生活垃圾、一般工业固废、危险废物产污、种类、来源、数量、属性，生活垃圾由环卫清运，一般工业固废储存于独立的一般固废仓库内，收集后外售，危险废物储存于独立的危废仓库内，委托有资质单位处置，不自行利用，贮存、转移合规合理，本项目不涉及再生产品、副产品，不涉及不能排除危险特性的固体废物。</w:t>
                  </w:r>
                </w:p>
              </w:tc>
              <w:tc>
                <w:tcPr>
                  <w:tcW w:w="492" w:type="pct"/>
                  <w:tcBorders>
                    <w:top w:val="single" w:color="auto" w:sz="8" w:space="0"/>
                    <w:left w:val="single" w:color="auto" w:sz="8" w:space="0"/>
                    <w:bottom w:val="single" w:color="auto" w:sz="8" w:space="0"/>
                    <w:right w:val="nil"/>
                  </w:tcBorders>
                  <w:vAlign w:val="center"/>
                </w:tcPr>
                <w:p w14:paraId="502A732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ADD5E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90" w:hRule="atLeast"/>
                <w:jc w:val="center"/>
              </w:trPr>
              <w:tc>
                <w:tcPr>
                  <w:tcW w:w="3096" w:type="pct"/>
                  <w:tcBorders>
                    <w:top w:val="single" w:color="auto" w:sz="8" w:space="0"/>
                    <w:left w:val="nil"/>
                    <w:bottom w:val="single" w:color="auto" w:sz="8" w:space="0"/>
                    <w:right w:val="single" w:color="auto" w:sz="8" w:space="0"/>
                  </w:tcBorders>
                  <w:vAlign w:val="center"/>
                </w:tcPr>
                <w:p w14:paraId="3E890630">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要在排污许可管理系统中全面、准确申报工业固体废物产生种类，以及贮存设施和利用处置等相关要求，并对其真实性负责，实际产生、转移、贮存和利用处置情况对照项目环评发生变动的，要根据变动情况及时采取重新报批环评、纳入环境保护竣工验收等手续，并及时变更排污许可</w:t>
                  </w:r>
                </w:p>
              </w:tc>
              <w:tc>
                <w:tcPr>
                  <w:tcW w:w="1410" w:type="pct"/>
                  <w:tcBorders>
                    <w:top w:val="single" w:color="auto" w:sz="8" w:space="0"/>
                    <w:left w:val="single" w:color="auto" w:sz="8" w:space="0"/>
                    <w:bottom w:val="single" w:color="auto" w:sz="8" w:space="0"/>
                    <w:right w:val="single" w:color="auto" w:sz="8" w:space="0"/>
                  </w:tcBorders>
                  <w:vAlign w:val="center"/>
                </w:tcPr>
                <w:p w14:paraId="0E035D8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本项目建成后须按本项目建设情况填报排污许可证。</w:t>
                  </w:r>
                </w:p>
              </w:tc>
              <w:tc>
                <w:tcPr>
                  <w:tcW w:w="492" w:type="pct"/>
                  <w:tcBorders>
                    <w:top w:val="single" w:color="auto" w:sz="8" w:space="0"/>
                    <w:left w:val="single" w:color="auto" w:sz="8" w:space="0"/>
                    <w:bottom w:val="single" w:color="auto" w:sz="8" w:space="0"/>
                    <w:right w:val="nil"/>
                  </w:tcBorders>
                  <w:vAlign w:val="center"/>
                </w:tcPr>
                <w:p w14:paraId="0CD98B5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591CB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2513" w:hRule="atLeast"/>
                <w:jc w:val="center"/>
              </w:trPr>
              <w:tc>
                <w:tcPr>
                  <w:tcW w:w="3096" w:type="pct"/>
                  <w:tcBorders>
                    <w:top w:val="single" w:color="auto" w:sz="8" w:space="0"/>
                    <w:left w:val="nil"/>
                    <w:bottom w:val="single" w:color="auto" w:sz="8" w:space="0"/>
                    <w:right w:val="single" w:color="auto" w:sz="8" w:space="0"/>
                  </w:tcBorders>
                  <w:vAlign w:val="center"/>
                </w:tcPr>
                <w:p w14:paraId="36537B05">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根据《危险废物贮存污染控制标准》（GB18597-2023），企业可根据实际情况选择</w:t>
                  </w:r>
                  <w:r>
                    <w:rPr>
                      <w:rFonts w:hint="eastAsia" w:cs="Times New Roman"/>
                      <w:color w:val="auto"/>
                      <w:sz w:val="21"/>
                      <w:szCs w:val="21"/>
                      <w:lang w:eastAsia="zh-CN"/>
                    </w:rPr>
                    <w:t>采用</w:t>
                  </w:r>
                  <w:r>
                    <w:rPr>
                      <w:rFonts w:hint="default" w:ascii="Times New Roman" w:hAnsi="Times New Roman" w:cs="Times New Roman"/>
                      <w:color w:val="auto"/>
                      <w:sz w:val="21"/>
                      <w:szCs w:val="21"/>
                    </w:rPr>
                    <w:t>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 号）中关于贮存周期和贮存量的要求，Ⅰ级、Ⅱ级、Ⅲ级危险废物贮存时间分别不得超过 30 天、60 天、90 天。最大贮存量不得超过 1 吨。</w:t>
                  </w:r>
                </w:p>
              </w:tc>
              <w:tc>
                <w:tcPr>
                  <w:tcW w:w="1410" w:type="pct"/>
                  <w:tcBorders>
                    <w:top w:val="single" w:color="auto" w:sz="8" w:space="0"/>
                    <w:left w:val="single" w:color="auto" w:sz="8" w:space="0"/>
                    <w:bottom w:val="single" w:color="auto" w:sz="8" w:space="0"/>
                    <w:right w:val="single" w:color="auto" w:sz="8" w:space="0"/>
                  </w:tcBorders>
                  <w:vAlign w:val="center"/>
                </w:tcPr>
                <w:p w14:paraId="7BBFB777">
                  <w:pPr>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本项目危险仓库将严格按照《危险废物贮存污染控制标准》（GB18597-2023）建设要求，符合相应的污染控制标准</w:t>
                  </w:r>
                  <w:r>
                    <w:rPr>
                      <w:rFonts w:hint="eastAsia" w:cs="Times New Roman"/>
                      <w:color w:val="auto"/>
                      <w:sz w:val="21"/>
                      <w:szCs w:val="21"/>
                      <w:lang w:eastAsia="zh-CN"/>
                    </w:rPr>
                    <w:t>。</w:t>
                  </w:r>
                </w:p>
              </w:tc>
              <w:tc>
                <w:tcPr>
                  <w:tcW w:w="492" w:type="pct"/>
                  <w:tcBorders>
                    <w:top w:val="single" w:color="auto" w:sz="8" w:space="0"/>
                    <w:left w:val="single" w:color="auto" w:sz="8" w:space="0"/>
                    <w:bottom w:val="single" w:color="auto" w:sz="8" w:space="0"/>
                    <w:right w:val="nil"/>
                  </w:tcBorders>
                  <w:vAlign w:val="center"/>
                </w:tcPr>
                <w:p w14:paraId="0199999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6260A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423" w:hRule="atLeast"/>
                <w:jc w:val="center"/>
              </w:trPr>
              <w:tc>
                <w:tcPr>
                  <w:tcW w:w="3096" w:type="pct"/>
                  <w:tcBorders>
                    <w:top w:val="single" w:color="auto" w:sz="8" w:space="0"/>
                    <w:left w:val="nil"/>
                    <w:bottom w:val="single" w:color="auto" w:sz="8" w:space="0"/>
                    <w:right w:val="single" w:color="auto" w:sz="8" w:space="0"/>
                  </w:tcBorders>
                  <w:vAlign w:val="center"/>
                </w:tcPr>
                <w:p w14:paraId="0ACA110E">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1410" w:type="pct"/>
                  <w:tcBorders>
                    <w:top w:val="single" w:color="auto" w:sz="8" w:space="0"/>
                    <w:left w:val="single" w:color="auto" w:sz="8" w:space="0"/>
                    <w:bottom w:val="single" w:color="auto" w:sz="8" w:space="0"/>
                    <w:right w:val="single" w:color="auto" w:sz="8" w:space="0"/>
                  </w:tcBorders>
                  <w:vAlign w:val="center"/>
                </w:tcPr>
                <w:p w14:paraId="5CADE3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本项目建成后须继续落实危险废物转移电子联单制度，本项目危废转移期间须严格按照该要求执行，向经营单位提供相关危险废物产生工艺、具体成分，以及是否易燃易爆等信息，杜绝出现违法委托情况。</w:t>
                  </w:r>
                </w:p>
              </w:tc>
              <w:tc>
                <w:tcPr>
                  <w:tcW w:w="492" w:type="pct"/>
                  <w:tcBorders>
                    <w:top w:val="single" w:color="auto" w:sz="8" w:space="0"/>
                    <w:left w:val="single" w:color="auto" w:sz="8" w:space="0"/>
                    <w:bottom w:val="single" w:color="auto" w:sz="8" w:space="0"/>
                    <w:right w:val="nil"/>
                  </w:tcBorders>
                  <w:vAlign w:val="center"/>
                </w:tcPr>
                <w:p w14:paraId="7A5E11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86460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380" w:hRule="atLeast"/>
                <w:jc w:val="center"/>
              </w:trPr>
              <w:tc>
                <w:tcPr>
                  <w:tcW w:w="3096" w:type="pct"/>
                  <w:tcBorders>
                    <w:top w:val="single" w:color="auto" w:sz="8" w:space="0"/>
                    <w:left w:val="nil"/>
                    <w:bottom w:val="single" w:color="auto" w:sz="8" w:space="0"/>
                    <w:right w:val="single" w:color="auto" w:sz="8" w:space="0"/>
                  </w:tcBorders>
                  <w:vAlign w:val="center"/>
                </w:tcPr>
                <w:p w14:paraId="1E58EF88">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1410" w:type="pct"/>
                  <w:tcBorders>
                    <w:top w:val="single" w:color="auto" w:sz="8" w:space="0"/>
                    <w:left w:val="single" w:color="auto" w:sz="8" w:space="0"/>
                    <w:bottom w:val="single" w:color="auto" w:sz="8" w:space="0"/>
                    <w:right w:val="single" w:color="auto" w:sz="8" w:space="0"/>
                  </w:tcBorders>
                  <w:vAlign w:val="center"/>
                </w:tcPr>
                <w:p w14:paraId="5E260B5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在危废仓库内部、厂区出入口、通道设置视频监控并与中控室联网，厂区门口已设置公开栏，危废仓库大门及内部已设置标志牌，已主动公开危险废物产生和利用处置等有关信息。本项目建成后，将按照规定对相关信息进行变更。</w:t>
                  </w:r>
                </w:p>
              </w:tc>
              <w:tc>
                <w:tcPr>
                  <w:tcW w:w="492" w:type="pct"/>
                  <w:tcBorders>
                    <w:top w:val="single" w:color="auto" w:sz="8" w:space="0"/>
                    <w:left w:val="single" w:color="auto" w:sz="8" w:space="0"/>
                    <w:bottom w:val="single" w:color="auto" w:sz="8" w:space="0"/>
                    <w:right w:val="nil"/>
                  </w:tcBorders>
                  <w:vAlign w:val="center"/>
                </w:tcPr>
                <w:p w14:paraId="2B16B7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89C15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1413" w:hRule="atLeast"/>
                <w:jc w:val="center"/>
              </w:trPr>
              <w:tc>
                <w:tcPr>
                  <w:tcW w:w="3096" w:type="pct"/>
                  <w:tcBorders>
                    <w:top w:val="single" w:color="auto" w:sz="8" w:space="0"/>
                    <w:left w:val="nil"/>
                    <w:bottom w:val="single" w:color="auto" w:sz="8" w:space="0"/>
                    <w:right w:val="single" w:color="auto" w:sz="8" w:space="0"/>
                  </w:tcBorders>
                  <w:vAlign w:val="center"/>
                </w:tcPr>
                <w:p w14:paraId="79B4F626">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产物中特征污染物含量超出标准限值的，仍须按照危险废物进行管理，严禁作为产品出售；因超标导致污染环境、破坏生态的，依法予以立案查处。</w:t>
                  </w:r>
                </w:p>
              </w:tc>
              <w:tc>
                <w:tcPr>
                  <w:tcW w:w="1410" w:type="pct"/>
                  <w:tcBorders>
                    <w:top w:val="single" w:color="auto" w:sz="8" w:space="0"/>
                    <w:left w:val="single" w:color="auto" w:sz="8" w:space="0"/>
                    <w:bottom w:val="single" w:color="auto" w:sz="8" w:space="0"/>
                    <w:right w:val="single" w:color="auto" w:sz="8" w:space="0"/>
                  </w:tcBorders>
                  <w:vAlign w:val="center"/>
                </w:tcPr>
                <w:p w14:paraId="5884D3AA">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本项目建成后特征污染物含量超出标准限制的成品按照危废管理，不作为产品出售，如出现污染环境现象，自愿接受处罚。</w:t>
                  </w:r>
                </w:p>
              </w:tc>
              <w:tc>
                <w:tcPr>
                  <w:tcW w:w="492" w:type="pct"/>
                  <w:tcBorders>
                    <w:top w:val="single" w:color="auto" w:sz="8" w:space="0"/>
                    <w:left w:val="single" w:color="auto" w:sz="8" w:space="0"/>
                    <w:bottom w:val="single" w:color="auto" w:sz="8" w:space="0"/>
                    <w:right w:val="nil"/>
                  </w:tcBorders>
                  <w:vAlign w:val="center"/>
                </w:tcPr>
                <w:p w14:paraId="5C0699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344F0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 w:type="dxa"/>
                  <w:bottom w:w="0" w:type="dxa"/>
                  <w:right w:w="10" w:type="dxa"/>
                </w:tblCellMar>
              </w:tblPrEx>
              <w:trPr>
                <w:trHeight w:val="2411" w:hRule="atLeast"/>
                <w:jc w:val="center"/>
              </w:trPr>
              <w:tc>
                <w:tcPr>
                  <w:tcW w:w="3096" w:type="pct"/>
                  <w:tcBorders>
                    <w:top w:val="single" w:color="auto" w:sz="8" w:space="0"/>
                    <w:left w:val="nil"/>
                    <w:bottom w:val="single" w:color="auto" w:sz="12" w:space="0"/>
                    <w:right w:val="single" w:color="auto" w:sz="8" w:space="0"/>
                  </w:tcBorders>
                  <w:vAlign w:val="center"/>
                </w:tcPr>
                <w:p w14:paraId="42CF9C6C">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企业需按照《一般工业固体废物管理台账制定指南（试行）》（生态环境部 2021 年第 82 号公告）要求，建立一般工业固废台账，污泥、矿渣等同时还需在固废管理信息系统申报，电子台账已有内容，不再另外制作纸质台账，各地要对辖区内一般工业固废利用处置要求和能力进行摸排，建立收运体系，一般工业固废用于矿山采坑回填和生态恢复的，参照《一般工业固体废物用于矿山采坑回填和生态恢复技术规范》（DB15/T2763-2022）执行；</w:t>
                  </w:r>
                </w:p>
              </w:tc>
              <w:tc>
                <w:tcPr>
                  <w:tcW w:w="1410" w:type="pct"/>
                  <w:tcBorders>
                    <w:top w:val="single" w:color="auto" w:sz="8" w:space="0"/>
                    <w:left w:val="single" w:color="auto" w:sz="8" w:space="0"/>
                    <w:bottom w:val="single" w:color="auto" w:sz="12" w:space="0"/>
                    <w:right w:val="single" w:color="auto" w:sz="8" w:space="0"/>
                  </w:tcBorders>
                  <w:vAlign w:val="center"/>
                </w:tcPr>
                <w:p w14:paraId="47010229">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本项目将按照《一般工业固体废物管理台账制定指南（试行）》（生态环境部 2021 年第 82号公告）建立一般工业固废台账。</w:t>
                  </w:r>
                </w:p>
              </w:tc>
              <w:tc>
                <w:tcPr>
                  <w:tcW w:w="492" w:type="pct"/>
                  <w:tcBorders>
                    <w:top w:val="single" w:color="auto" w:sz="8" w:space="0"/>
                    <w:left w:val="single" w:color="auto" w:sz="8" w:space="0"/>
                    <w:bottom w:val="single" w:color="auto" w:sz="12" w:space="0"/>
                    <w:right w:val="nil"/>
                  </w:tcBorders>
                  <w:vAlign w:val="center"/>
                </w:tcPr>
                <w:p w14:paraId="122F91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187172EA">
            <w:pPr>
              <w:autoSpaceDE w:val="0"/>
              <w:autoSpaceDN w:val="0"/>
              <w:adjustRightInd w:val="0"/>
              <w:snapToGrid w:val="0"/>
              <w:spacing w:line="360" w:lineRule="auto"/>
              <w:ind w:firstLine="420" w:firstLineChars="200"/>
              <w:jc w:val="left"/>
              <w:rPr>
                <w:color w:val="auto"/>
                <w:kern w:val="0"/>
                <w:szCs w:val="21"/>
              </w:rPr>
            </w:pPr>
            <w:r>
              <w:rPr>
                <w:rFonts w:hint="eastAsia"/>
                <w:color w:val="auto"/>
                <w:szCs w:val="21"/>
              </w:rPr>
              <w:t>本项目</w:t>
            </w:r>
            <w:r>
              <w:rPr>
                <w:color w:val="auto"/>
                <w:kern w:val="0"/>
                <w:szCs w:val="21"/>
              </w:rPr>
              <w:t>危废拟分类存放、贮存，不相容的危险废物除分类存放，拟设置隔离间隔断。</w:t>
            </w:r>
          </w:p>
          <w:p w14:paraId="3108709B">
            <w:pPr>
              <w:tabs>
                <w:tab w:val="left" w:pos="567"/>
                <w:tab w:val="left" w:pos="1843"/>
              </w:tabs>
              <w:adjustRightInd w:val="0"/>
              <w:snapToGrid w:val="0"/>
              <w:spacing w:line="360" w:lineRule="auto"/>
              <w:rPr>
                <w:rFonts w:hAnsi="宋体"/>
                <w:b/>
                <w:color w:val="auto"/>
                <w:szCs w:val="21"/>
              </w:rPr>
            </w:pPr>
            <w:r>
              <w:rPr>
                <w:rFonts w:hint="eastAsia"/>
                <w:color w:val="auto"/>
                <w:szCs w:val="21"/>
              </w:rPr>
              <w:t>危险废物贮存场所设施基本情况见表4-</w:t>
            </w:r>
            <w:r>
              <w:rPr>
                <w:rFonts w:hint="eastAsia"/>
                <w:color w:val="auto"/>
                <w:szCs w:val="21"/>
                <w:lang w:val="en-US" w:eastAsia="zh-CN"/>
              </w:rPr>
              <w:t>9</w:t>
            </w:r>
            <w:r>
              <w:rPr>
                <w:rFonts w:hint="eastAsia"/>
                <w:color w:val="auto"/>
                <w:szCs w:val="21"/>
              </w:rPr>
              <w:t>。</w:t>
            </w:r>
          </w:p>
          <w:p w14:paraId="79255E97">
            <w:pPr>
              <w:ind w:firstLine="482"/>
              <w:jc w:val="center"/>
              <w:rPr>
                <w:b/>
                <w:color w:val="auto"/>
                <w:szCs w:val="21"/>
              </w:rPr>
            </w:pPr>
            <w:r>
              <w:rPr>
                <w:rFonts w:hAnsi="宋体"/>
                <w:b/>
                <w:color w:val="auto"/>
                <w:szCs w:val="21"/>
              </w:rPr>
              <w:t>表</w:t>
            </w:r>
            <w:r>
              <w:rPr>
                <w:rFonts w:hint="eastAsia"/>
                <w:b/>
                <w:color w:val="auto"/>
                <w:szCs w:val="21"/>
              </w:rPr>
              <w:t>4-</w:t>
            </w:r>
            <w:r>
              <w:rPr>
                <w:rFonts w:hint="eastAsia"/>
                <w:b/>
                <w:color w:val="auto"/>
                <w:szCs w:val="21"/>
                <w:lang w:val="en-US" w:eastAsia="zh-CN"/>
              </w:rPr>
              <w:t>9</w:t>
            </w:r>
            <w:r>
              <w:rPr>
                <w:rFonts w:hAnsi="宋体"/>
                <w:b/>
                <w:color w:val="auto"/>
                <w:szCs w:val="21"/>
              </w:rPr>
              <w:t>建设项目危险废物贮存场所（设施）基本情况表</w:t>
            </w:r>
          </w:p>
          <w:tbl>
            <w:tblPr>
              <w:tblStyle w:val="25"/>
              <w:tblpPr w:leftFromText="180" w:rightFromText="180" w:vertAnchor="text" w:horzAnchor="page" w:tblpX="23" w:tblpY="133"/>
              <w:tblOverlap w:val="never"/>
              <w:tblW w:w="837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53"/>
              <w:gridCol w:w="675"/>
              <w:gridCol w:w="1335"/>
              <w:gridCol w:w="825"/>
              <w:gridCol w:w="1215"/>
              <w:gridCol w:w="555"/>
              <w:gridCol w:w="675"/>
              <w:gridCol w:w="810"/>
              <w:gridCol w:w="1020"/>
              <w:gridCol w:w="913"/>
            </w:tblGrid>
            <w:tr w14:paraId="2CC740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trPr>
              <w:tc>
                <w:tcPr>
                  <w:tcW w:w="210" w:type="pct"/>
                  <w:vAlign w:val="center"/>
                </w:tcPr>
                <w:p w14:paraId="4A6326B7">
                  <w:pPr>
                    <w:adjustRightInd w:val="0"/>
                    <w:snapToGrid w:val="0"/>
                    <w:jc w:val="center"/>
                    <w:rPr>
                      <w:b/>
                      <w:bCs/>
                      <w:color w:val="auto"/>
                      <w:szCs w:val="21"/>
                    </w:rPr>
                  </w:pPr>
                  <w:r>
                    <w:rPr>
                      <w:rFonts w:hAnsi="宋体"/>
                      <w:b/>
                      <w:bCs/>
                      <w:color w:val="auto"/>
                      <w:szCs w:val="21"/>
                    </w:rPr>
                    <w:t>序号</w:t>
                  </w:r>
                </w:p>
              </w:tc>
              <w:tc>
                <w:tcPr>
                  <w:tcW w:w="402" w:type="pct"/>
                  <w:vAlign w:val="center"/>
                </w:tcPr>
                <w:p w14:paraId="331F9BF2">
                  <w:pPr>
                    <w:adjustRightInd w:val="0"/>
                    <w:snapToGrid w:val="0"/>
                    <w:jc w:val="center"/>
                    <w:rPr>
                      <w:b/>
                      <w:bCs/>
                      <w:color w:val="auto"/>
                      <w:szCs w:val="21"/>
                    </w:rPr>
                  </w:pPr>
                  <w:r>
                    <w:rPr>
                      <w:rFonts w:hAnsi="宋体"/>
                      <w:b/>
                      <w:bCs/>
                      <w:color w:val="auto"/>
                      <w:szCs w:val="21"/>
                    </w:rPr>
                    <w:t>贮存场所名称</w:t>
                  </w:r>
                </w:p>
              </w:tc>
              <w:tc>
                <w:tcPr>
                  <w:tcW w:w="796" w:type="pct"/>
                  <w:vAlign w:val="center"/>
                </w:tcPr>
                <w:p w14:paraId="79BDF374">
                  <w:pPr>
                    <w:adjustRightInd w:val="0"/>
                    <w:snapToGrid w:val="0"/>
                    <w:jc w:val="center"/>
                    <w:rPr>
                      <w:b/>
                      <w:bCs/>
                      <w:color w:val="auto"/>
                      <w:szCs w:val="21"/>
                    </w:rPr>
                  </w:pPr>
                  <w:r>
                    <w:rPr>
                      <w:rFonts w:hAnsi="宋体"/>
                      <w:b/>
                      <w:bCs/>
                      <w:color w:val="auto"/>
                      <w:szCs w:val="21"/>
                    </w:rPr>
                    <w:t>危险废物名称</w:t>
                  </w:r>
                </w:p>
              </w:tc>
              <w:tc>
                <w:tcPr>
                  <w:tcW w:w="492" w:type="pct"/>
                  <w:vAlign w:val="center"/>
                </w:tcPr>
                <w:p w14:paraId="5FD5EE51">
                  <w:pPr>
                    <w:adjustRightInd w:val="0"/>
                    <w:snapToGrid w:val="0"/>
                    <w:jc w:val="center"/>
                    <w:rPr>
                      <w:b/>
                      <w:bCs/>
                      <w:color w:val="auto"/>
                      <w:szCs w:val="21"/>
                    </w:rPr>
                  </w:pPr>
                  <w:r>
                    <w:rPr>
                      <w:rFonts w:hAnsi="宋体"/>
                      <w:b/>
                      <w:bCs/>
                      <w:color w:val="auto"/>
                      <w:szCs w:val="21"/>
                    </w:rPr>
                    <w:t>危险废物类别</w:t>
                  </w:r>
                </w:p>
              </w:tc>
              <w:tc>
                <w:tcPr>
                  <w:tcW w:w="725" w:type="pct"/>
                  <w:vAlign w:val="center"/>
                </w:tcPr>
                <w:p w14:paraId="0E15576A">
                  <w:pPr>
                    <w:adjustRightInd w:val="0"/>
                    <w:snapToGrid w:val="0"/>
                    <w:jc w:val="center"/>
                    <w:rPr>
                      <w:b/>
                      <w:bCs/>
                      <w:color w:val="auto"/>
                      <w:szCs w:val="21"/>
                    </w:rPr>
                  </w:pPr>
                  <w:r>
                    <w:rPr>
                      <w:rFonts w:hAnsi="宋体"/>
                      <w:b/>
                      <w:bCs/>
                      <w:color w:val="auto"/>
                      <w:szCs w:val="21"/>
                    </w:rPr>
                    <w:t>危险废物代码</w:t>
                  </w:r>
                </w:p>
              </w:tc>
              <w:tc>
                <w:tcPr>
                  <w:tcW w:w="331" w:type="pct"/>
                  <w:vAlign w:val="center"/>
                </w:tcPr>
                <w:p w14:paraId="74E3C2F9">
                  <w:pPr>
                    <w:adjustRightInd w:val="0"/>
                    <w:snapToGrid w:val="0"/>
                    <w:jc w:val="center"/>
                    <w:rPr>
                      <w:b/>
                      <w:bCs/>
                      <w:color w:val="auto"/>
                      <w:szCs w:val="21"/>
                    </w:rPr>
                  </w:pPr>
                  <w:r>
                    <w:rPr>
                      <w:rFonts w:hAnsi="宋体"/>
                      <w:b/>
                      <w:bCs/>
                      <w:color w:val="auto"/>
                      <w:szCs w:val="21"/>
                    </w:rPr>
                    <w:t>位置</w:t>
                  </w:r>
                </w:p>
              </w:tc>
              <w:tc>
                <w:tcPr>
                  <w:tcW w:w="402" w:type="pct"/>
                  <w:vAlign w:val="center"/>
                </w:tcPr>
                <w:p w14:paraId="523A7BFA">
                  <w:pPr>
                    <w:adjustRightInd w:val="0"/>
                    <w:snapToGrid w:val="0"/>
                    <w:jc w:val="center"/>
                    <w:rPr>
                      <w:b/>
                      <w:bCs/>
                      <w:color w:val="auto"/>
                      <w:szCs w:val="21"/>
                    </w:rPr>
                  </w:pPr>
                  <w:r>
                    <w:rPr>
                      <w:rFonts w:hAnsi="宋体"/>
                      <w:b/>
                      <w:bCs/>
                      <w:color w:val="auto"/>
                      <w:szCs w:val="21"/>
                    </w:rPr>
                    <w:t>占地面积</w:t>
                  </w:r>
                </w:p>
              </w:tc>
              <w:tc>
                <w:tcPr>
                  <w:tcW w:w="483" w:type="pct"/>
                  <w:vAlign w:val="center"/>
                </w:tcPr>
                <w:p w14:paraId="7C2AC6AF">
                  <w:pPr>
                    <w:adjustRightInd w:val="0"/>
                    <w:snapToGrid w:val="0"/>
                    <w:jc w:val="center"/>
                    <w:rPr>
                      <w:b/>
                      <w:bCs/>
                      <w:color w:val="auto"/>
                      <w:szCs w:val="21"/>
                    </w:rPr>
                  </w:pPr>
                  <w:r>
                    <w:rPr>
                      <w:rFonts w:hAnsi="宋体"/>
                      <w:b/>
                      <w:bCs/>
                      <w:color w:val="auto"/>
                      <w:szCs w:val="21"/>
                    </w:rPr>
                    <w:t>贮存方式</w:t>
                  </w:r>
                </w:p>
              </w:tc>
              <w:tc>
                <w:tcPr>
                  <w:tcW w:w="608" w:type="pct"/>
                  <w:vAlign w:val="center"/>
                </w:tcPr>
                <w:p w14:paraId="0CEF6B69">
                  <w:pPr>
                    <w:adjustRightInd w:val="0"/>
                    <w:snapToGrid w:val="0"/>
                    <w:jc w:val="center"/>
                    <w:rPr>
                      <w:b/>
                      <w:bCs/>
                      <w:color w:val="auto"/>
                      <w:szCs w:val="21"/>
                    </w:rPr>
                  </w:pPr>
                  <w:r>
                    <w:rPr>
                      <w:rFonts w:hAnsi="宋体"/>
                      <w:b/>
                      <w:bCs/>
                      <w:color w:val="auto"/>
                      <w:szCs w:val="21"/>
                    </w:rPr>
                    <w:t>最大贮存能力（</w:t>
                  </w:r>
                  <w:r>
                    <w:rPr>
                      <w:b/>
                      <w:bCs/>
                      <w:color w:val="auto"/>
                      <w:szCs w:val="21"/>
                    </w:rPr>
                    <w:t>t/</w:t>
                  </w:r>
                  <w:r>
                    <w:rPr>
                      <w:rFonts w:hAnsi="宋体"/>
                      <w:b/>
                      <w:bCs/>
                      <w:color w:val="auto"/>
                      <w:szCs w:val="21"/>
                    </w:rPr>
                    <w:t>次）</w:t>
                  </w:r>
                </w:p>
              </w:tc>
              <w:tc>
                <w:tcPr>
                  <w:tcW w:w="545" w:type="pct"/>
                  <w:vAlign w:val="center"/>
                </w:tcPr>
                <w:p w14:paraId="71E4248F">
                  <w:pPr>
                    <w:adjustRightInd w:val="0"/>
                    <w:snapToGrid w:val="0"/>
                    <w:jc w:val="center"/>
                    <w:rPr>
                      <w:b/>
                      <w:bCs/>
                      <w:color w:val="auto"/>
                      <w:szCs w:val="21"/>
                    </w:rPr>
                  </w:pPr>
                  <w:r>
                    <w:rPr>
                      <w:rFonts w:hAnsi="宋体"/>
                      <w:b/>
                      <w:bCs/>
                      <w:color w:val="auto"/>
                      <w:szCs w:val="21"/>
                    </w:rPr>
                    <w:t>贮存</w:t>
                  </w:r>
                </w:p>
                <w:p w14:paraId="5D3C1531">
                  <w:pPr>
                    <w:adjustRightInd w:val="0"/>
                    <w:snapToGrid w:val="0"/>
                    <w:jc w:val="center"/>
                    <w:rPr>
                      <w:b/>
                      <w:bCs/>
                      <w:color w:val="auto"/>
                      <w:szCs w:val="21"/>
                    </w:rPr>
                  </w:pPr>
                  <w:r>
                    <w:rPr>
                      <w:rFonts w:hAnsi="宋体"/>
                      <w:b/>
                      <w:bCs/>
                      <w:color w:val="auto"/>
                      <w:szCs w:val="21"/>
                    </w:rPr>
                    <w:t>周期</w:t>
                  </w:r>
                </w:p>
              </w:tc>
            </w:tr>
            <w:tr w14:paraId="7F9FC1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9" w:hRule="atLeast"/>
              </w:trPr>
              <w:tc>
                <w:tcPr>
                  <w:tcW w:w="210" w:type="pct"/>
                  <w:vAlign w:val="center"/>
                </w:tcPr>
                <w:p w14:paraId="4E9C11AA">
                  <w:pPr>
                    <w:adjustRightInd w:val="0"/>
                    <w:snapToGrid w:val="0"/>
                    <w:jc w:val="center"/>
                    <w:rPr>
                      <w:rFonts w:hAnsi="宋体"/>
                      <w:color w:val="auto"/>
                      <w:szCs w:val="21"/>
                    </w:rPr>
                  </w:pPr>
                  <w:r>
                    <w:rPr>
                      <w:rFonts w:hint="eastAsia" w:hAnsi="宋体"/>
                      <w:color w:val="auto"/>
                      <w:szCs w:val="21"/>
                    </w:rPr>
                    <w:t>1</w:t>
                  </w:r>
                </w:p>
              </w:tc>
              <w:tc>
                <w:tcPr>
                  <w:tcW w:w="402" w:type="pct"/>
                  <w:vMerge w:val="restart"/>
                  <w:vAlign w:val="center"/>
                </w:tcPr>
                <w:p w14:paraId="324277A3">
                  <w:pPr>
                    <w:adjustRightInd w:val="0"/>
                    <w:snapToGrid w:val="0"/>
                    <w:jc w:val="center"/>
                    <w:rPr>
                      <w:rFonts w:hAnsi="宋体"/>
                      <w:color w:val="auto"/>
                      <w:szCs w:val="21"/>
                    </w:rPr>
                  </w:pPr>
                  <w:r>
                    <w:rPr>
                      <w:rFonts w:hAnsi="宋体"/>
                      <w:color w:val="auto"/>
                      <w:szCs w:val="21"/>
                    </w:rPr>
                    <w:t>危</w:t>
                  </w:r>
                </w:p>
                <w:p w14:paraId="3AEDB414">
                  <w:pPr>
                    <w:adjustRightInd w:val="0"/>
                    <w:snapToGrid w:val="0"/>
                    <w:jc w:val="center"/>
                    <w:rPr>
                      <w:rFonts w:hAnsi="宋体"/>
                      <w:color w:val="auto"/>
                      <w:szCs w:val="21"/>
                    </w:rPr>
                  </w:pPr>
                  <w:r>
                    <w:rPr>
                      <w:rFonts w:hAnsi="宋体"/>
                      <w:color w:val="auto"/>
                      <w:szCs w:val="21"/>
                    </w:rPr>
                    <w:t>废</w:t>
                  </w:r>
                </w:p>
                <w:p w14:paraId="28F5859A">
                  <w:pPr>
                    <w:adjustRightInd w:val="0"/>
                    <w:snapToGrid w:val="0"/>
                    <w:jc w:val="center"/>
                    <w:rPr>
                      <w:rFonts w:hint="eastAsia" w:hAnsi="宋体"/>
                      <w:color w:val="auto"/>
                      <w:szCs w:val="21"/>
                    </w:rPr>
                  </w:pPr>
                  <w:r>
                    <w:rPr>
                      <w:rFonts w:hint="eastAsia" w:hAnsi="宋体"/>
                      <w:color w:val="auto"/>
                      <w:szCs w:val="21"/>
                    </w:rPr>
                    <w:t>仓</w:t>
                  </w:r>
                </w:p>
                <w:p w14:paraId="0CBA27EF">
                  <w:pPr>
                    <w:adjustRightInd w:val="0"/>
                    <w:snapToGrid w:val="0"/>
                    <w:jc w:val="center"/>
                    <w:rPr>
                      <w:rFonts w:hAnsi="宋体"/>
                      <w:color w:val="auto"/>
                      <w:szCs w:val="21"/>
                    </w:rPr>
                  </w:pPr>
                  <w:r>
                    <w:rPr>
                      <w:rFonts w:hint="eastAsia" w:hAnsi="宋体"/>
                      <w:color w:val="auto"/>
                      <w:szCs w:val="21"/>
                    </w:rPr>
                    <w:t>库</w:t>
                  </w:r>
                </w:p>
              </w:tc>
              <w:tc>
                <w:tcPr>
                  <w:tcW w:w="796" w:type="pct"/>
                  <w:vAlign w:val="center"/>
                </w:tcPr>
                <w:p w14:paraId="7D37B816">
                  <w:pPr>
                    <w:autoSpaceDE w:val="0"/>
                    <w:autoSpaceDN w:val="0"/>
                    <w:adjustRightInd w:val="0"/>
                    <w:snapToGrid w:val="0"/>
                    <w:jc w:val="center"/>
                    <w:rPr>
                      <w:color w:val="auto"/>
                      <w:szCs w:val="21"/>
                    </w:rPr>
                  </w:pPr>
                  <w:r>
                    <w:rPr>
                      <w:rFonts w:hint="eastAsia"/>
                      <w:color w:val="auto"/>
                      <w:szCs w:val="21"/>
                      <w:lang w:val="en-US" w:eastAsia="zh-CN"/>
                    </w:rPr>
                    <w:t>炉</w:t>
                  </w:r>
                  <w:r>
                    <w:rPr>
                      <w:rFonts w:hint="eastAsia"/>
                      <w:color w:val="auto"/>
                      <w:szCs w:val="21"/>
                    </w:rPr>
                    <w:t>渣</w:t>
                  </w:r>
                </w:p>
              </w:tc>
              <w:tc>
                <w:tcPr>
                  <w:tcW w:w="492" w:type="pct"/>
                  <w:vAlign w:val="center"/>
                </w:tcPr>
                <w:p w14:paraId="52190F19">
                  <w:pPr>
                    <w:autoSpaceDE w:val="0"/>
                    <w:autoSpaceDN w:val="0"/>
                    <w:snapToGrid w:val="0"/>
                    <w:jc w:val="center"/>
                    <w:rPr>
                      <w:color w:val="auto"/>
                      <w:szCs w:val="21"/>
                    </w:rPr>
                  </w:pPr>
                  <w:r>
                    <w:rPr>
                      <w:rFonts w:hint="eastAsia"/>
                      <w:color w:val="auto"/>
                      <w:szCs w:val="21"/>
                    </w:rPr>
                    <w:t>HW48</w:t>
                  </w:r>
                </w:p>
              </w:tc>
              <w:tc>
                <w:tcPr>
                  <w:tcW w:w="725" w:type="pct"/>
                  <w:vAlign w:val="center"/>
                </w:tcPr>
                <w:p w14:paraId="4E5C6759">
                  <w:pPr>
                    <w:jc w:val="center"/>
                    <w:rPr>
                      <w:color w:val="auto"/>
                      <w:szCs w:val="21"/>
                    </w:rPr>
                  </w:pPr>
                  <w:r>
                    <w:rPr>
                      <w:rFonts w:hint="eastAsia"/>
                      <w:color w:val="auto"/>
                      <w:szCs w:val="21"/>
                    </w:rPr>
                    <w:t>321-026-48</w:t>
                  </w:r>
                </w:p>
              </w:tc>
              <w:tc>
                <w:tcPr>
                  <w:tcW w:w="331" w:type="pct"/>
                  <w:vMerge w:val="restart"/>
                  <w:vAlign w:val="center"/>
                </w:tcPr>
                <w:p w14:paraId="39071CE4">
                  <w:pPr>
                    <w:widowControl/>
                    <w:adjustRightInd w:val="0"/>
                    <w:snapToGrid w:val="0"/>
                    <w:jc w:val="center"/>
                    <w:rPr>
                      <w:color w:val="auto"/>
                      <w:szCs w:val="21"/>
                    </w:rPr>
                  </w:pPr>
                  <w:r>
                    <w:rPr>
                      <w:rFonts w:hint="eastAsia" w:hAnsi="宋体"/>
                      <w:color w:val="auto"/>
                      <w:szCs w:val="21"/>
                      <w:lang w:val="en-US" w:eastAsia="zh-CN"/>
                    </w:rPr>
                    <w:t>车间</w:t>
                  </w:r>
                  <w:r>
                    <w:rPr>
                      <w:rFonts w:hint="eastAsia" w:hAnsi="宋体"/>
                      <w:color w:val="auto"/>
                      <w:szCs w:val="21"/>
                    </w:rPr>
                    <w:t>西南角</w:t>
                  </w:r>
                </w:p>
              </w:tc>
              <w:tc>
                <w:tcPr>
                  <w:tcW w:w="402" w:type="pct"/>
                  <w:vMerge w:val="restart"/>
                  <w:vAlign w:val="center"/>
                </w:tcPr>
                <w:p w14:paraId="72F06518">
                  <w:pPr>
                    <w:widowControl/>
                    <w:adjustRightInd w:val="0"/>
                    <w:snapToGrid w:val="0"/>
                    <w:jc w:val="center"/>
                    <w:rPr>
                      <w:color w:val="auto"/>
                      <w:szCs w:val="21"/>
                    </w:rPr>
                  </w:pPr>
                  <w:r>
                    <w:rPr>
                      <w:rFonts w:hint="eastAsia"/>
                      <w:color w:val="auto"/>
                      <w:szCs w:val="21"/>
                    </w:rPr>
                    <w:t>20m</w:t>
                  </w:r>
                  <w:r>
                    <w:rPr>
                      <w:rFonts w:hint="eastAsia"/>
                      <w:color w:val="auto"/>
                      <w:szCs w:val="21"/>
                      <w:vertAlign w:val="superscript"/>
                    </w:rPr>
                    <w:t>2</w:t>
                  </w:r>
                </w:p>
              </w:tc>
              <w:tc>
                <w:tcPr>
                  <w:tcW w:w="483" w:type="pct"/>
                  <w:vAlign w:val="center"/>
                </w:tcPr>
                <w:p w14:paraId="71580858">
                  <w:pPr>
                    <w:widowControl/>
                    <w:adjustRightInd w:val="0"/>
                    <w:snapToGrid w:val="0"/>
                    <w:jc w:val="center"/>
                    <w:rPr>
                      <w:color w:val="auto"/>
                      <w:szCs w:val="21"/>
                    </w:rPr>
                  </w:pPr>
                  <w:r>
                    <w:rPr>
                      <w:rFonts w:hint="eastAsia" w:hAnsi="宋体"/>
                      <w:color w:val="auto"/>
                      <w:szCs w:val="21"/>
                    </w:rPr>
                    <w:t>桶装密闭</w:t>
                  </w:r>
                </w:p>
              </w:tc>
              <w:tc>
                <w:tcPr>
                  <w:tcW w:w="608" w:type="pct"/>
                  <w:vAlign w:val="center"/>
                </w:tcPr>
                <w:p w14:paraId="3717A6E2">
                  <w:pPr>
                    <w:autoSpaceDE w:val="0"/>
                    <w:autoSpaceDN w:val="0"/>
                    <w:adjustRightInd w:val="0"/>
                    <w:snapToGrid w:val="0"/>
                    <w:jc w:val="center"/>
                    <w:rPr>
                      <w:rFonts w:hint="default" w:hAnsi="宋体"/>
                      <w:color w:val="auto"/>
                      <w:szCs w:val="21"/>
                      <w:lang w:val="en-US"/>
                    </w:rPr>
                  </w:pPr>
                  <w:r>
                    <w:rPr>
                      <w:rFonts w:hint="eastAsia"/>
                      <w:color w:val="auto"/>
                      <w:szCs w:val="21"/>
                      <w:lang w:val="en-US" w:eastAsia="zh-CN"/>
                    </w:rPr>
                    <w:t>0.75</w:t>
                  </w:r>
                </w:p>
              </w:tc>
              <w:tc>
                <w:tcPr>
                  <w:tcW w:w="545" w:type="pct"/>
                  <w:vAlign w:val="center"/>
                </w:tcPr>
                <w:p w14:paraId="6BA1F544">
                  <w:pPr>
                    <w:autoSpaceDE w:val="0"/>
                    <w:autoSpaceDN w:val="0"/>
                    <w:adjustRightInd w:val="0"/>
                    <w:snapToGrid w:val="0"/>
                    <w:jc w:val="center"/>
                    <w:rPr>
                      <w:rFonts w:hAnsi="宋体"/>
                      <w:color w:val="auto"/>
                      <w:szCs w:val="21"/>
                    </w:rPr>
                  </w:pPr>
                  <w:r>
                    <w:rPr>
                      <w:rFonts w:hint="eastAsia"/>
                      <w:color w:val="auto"/>
                      <w:szCs w:val="21"/>
                      <w:lang w:val="en-US" w:eastAsia="zh-CN"/>
                    </w:rPr>
                    <w:t>3</w:t>
                  </w:r>
                  <w:r>
                    <w:rPr>
                      <w:rFonts w:hint="eastAsia"/>
                      <w:color w:val="auto"/>
                      <w:szCs w:val="21"/>
                    </w:rPr>
                    <w:t>个月</w:t>
                  </w:r>
                </w:p>
              </w:tc>
            </w:tr>
            <w:tr w14:paraId="376560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0" w:type="pct"/>
                  <w:vAlign w:val="center"/>
                </w:tcPr>
                <w:p w14:paraId="0E0A2CC4">
                  <w:pPr>
                    <w:adjustRightInd w:val="0"/>
                    <w:snapToGrid w:val="0"/>
                    <w:jc w:val="center"/>
                    <w:rPr>
                      <w:rFonts w:hAnsi="宋体"/>
                      <w:color w:val="auto"/>
                      <w:szCs w:val="21"/>
                    </w:rPr>
                  </w:pPr>
                  <w:r>
                    <w:rPr>
                      <w:rFonts w:hint="eastAsia" w:hAnsi="宋体"/>
                      <w:color w:val="auto"/>
                      <w:szCs w:val="21"/>
                    </w:rPr>
                    <w:t>2</w:t>
                  </w:r>
                </w:p>
              </w:tc>
              <w:tc>
                <w:tcPr>
                  <w:tcW w:w="402" w:type="pct"/>
                  <w:vMerge w:val="continue"/>
                  <w:vAlign w:val="center"/>
                </w:tcPr>
                <w:p w14:paraId="391AA790">
                  <w:pPr>
                    <w:adjustRightInd w:val="0"/>
                    <w:snapToGrid w:val="0"/>
                    <w:jc w:val="center"/>
                    <w:rPr>
                      <w:rFonts w:hAnsi="宋体"/>
                      <w:color w:val="auto"/>
                      <w:szCs w:val="21"/>
                    </w:rPr>
                  </w:pPr>
                </w:p>
              </w:tc>
              <w:tc>
                <w:tcPr>
                  <w:tcW w:w="796" w:type="pct"/>
                  <w:vAlign w:val="center"/>
                </w:tcPr>
                <w:p w14:paraId="1D3FE744">
                  <w:pPr>
                    <w:autoSpaceDE w:val="0"/>
                    <w:autoSpaceDN w:val="0"/>
                    <w:adjustRightInd w:val="0"/>
                    <w:snapToGrid w:val="0"/>
                    <w:jc w:val="center"/>
                    <w:rPr>
                      <w:color w:val="auto"/>
                      <w:szCs w:val="21"/>
                    </w:rPr>
                  </w:pPr>
                  <w:r>
                    <w:rPr>
                      <w:rFonts w:hint="eastAsia" w:hAnsi="宋体"/>
                      <w:color w:val="auto"/>
                      <w:szCs w:val="21"/>
                    </w:rPr>
                    <w:t>废油</w:t>
                  </w:r>
                </w:p>
              </w:tc>
              <w:tc>
                <w:tcPr>
                  <w:tcW w:w="492" w:type="pct"/>
                  <w:vAlign w:val="center"/>
                </w:tcPr>
                <w:p w14:paraId="62A13C2F">
                  <w:pPr>
                    <w:jc w:val="center"/>
                    <w:rPr>
                      <w:color w:val="auto"/>
                      <w:szCs w:val="21"/>
                    </w:rPr>
                  </w:pPr>
                  <w:r>
                    <w:rPr>
                      <w:rFonts w:hint="eastAsia"/>
                      <w:color w:val="auto"/>
                      <w:szCs w:val="21"/>
                    </w:rPr>
                    <w:t>HW08</w:t>
                  </w:r>
                </w:p>
              </w:tc>
              <w:tc>
                <w:tcPr>
                  <w:tcW w:w="725" w:type="pct"/>
                  <w:vAlign w:val="center"/>
                </w:tcPr>
                <w:p w14:paraId="2007CD1F">
                  <w:pPr>
                    <w:jc w:val="center"/>
                    <w:rPr>
                      <w:color w:val="auto"/>
                      <w:kern w:val="0"/>
                      <w:szCs w:val="21"/>
                    </w:rPr>
                  </w:pPr>
                  <w:r>
                    <w:rPr>
                      <w:rFonts w:hint="eastAsia"/>
                      <w:color w:val="auto"/>
                      <w:szCs w:val="21"/>
                    </w:rPr>
                    <w:t>900-21</w:t>
                  </w:r>
                  <w:r>
                    <w:rPr>
                      <w:rFonts w:hint="eastAsia"/>
                      <w:color w:val="auto"/>
                      <w:szCs w:val="21"/>
                      <w:lang w:val="en-US" w:eastAsia="zh-CN"/>
                    </w:rPr>
                    <w:t>4</w:t>
                  </w:r>
                  <w:r>
                    <w:rPr>
                      <w:rFonts w:hint="eastAsia"/>
                      <w:color w:val="auto"/>
                      <w:szCs w:val="21"/>
                    </w:rPr>
                    <w:t>-08</w:t>
                  </w:r>
                </w:p>
              </w:tc>
              <w:tc>
                <w:tcPr>
                  <w:tcW w:w="331" w:type="pct"/>
                  <w:vMerge w:val="continue"/>
                  <w:vAlign w:val="center"/>
                </w:tcPr>
                <w:p w14:paraId="76CA2D8B">
                  <w:pPr>
                    <w:widowControl/>
                    <w:adjustRightInd w:val="0"/>
                    <w:snapToGrid w:val="0"/>
                    <w:jc w:val="center"/>
                    <w:rPr>
                      <w:rFonts w:hAnsi="宋体"/>
                      <w:color w:val="auto"/>
                      <w:szCs w:val="21"/>
                    </w:rPr>
                  </w:pPr>
                </w:p>
              </w:tc>
              <w:tc>
                <w:tcPr>
                  <w:tcW w:w="402" w:type="pct"/>
                  <w:vMerge w:val="continue"/>
                  <w:vAlign w:val="center"/>
                </w:tcPr>
                <w:p w14:paraId="415B1DDD">
                  <w:pPr>
                    <w:widowControl/>
                    <w:adjustRightInd w:val="0"/>
                    <w:snapToGrid w:val="0"/>
                    <w:jc w:val="center"/>
                    <w:rPr>
                      <w:color w:val="auto"/>
                      <w:szCs w:val="21"/>
                    </w:rPr>
                  </w:pPr>
                </w:p>
              </w:tc>
              <w:tc>
                <w:tcPr>
                  <w:tcW w:w="483" w:type="pct"/>
                  <w:vAlign w:val="center"/>
                </w:tcPr>
                <w:p w14:paraId="4F86FE0B">
                  <w:pPr>
                    <w:widowControl/>
                    <w:adjustRightInd w:val="0"/>
                    <w:snapToGrid w:val="0"/>
                    <w:jc w:val="center"/>
                    <w:rPr>
                      <w:rFonts w:hAnsi="宋体"/>
                      <w:color w:val="auto"/>
                      <w:szCs w:val="21"/>
                    </w:rPr>
                  </w:pPr>
                  <w:r>
                    <w:rPr>
                      <w:rFonts w:hint="eastAsia" w:hAnsi="宋体"/>
                      <w:color w:val="auto"/>
                      <w:szCs w:val="21"/>
                    </w:rPr>
                    <w:t>桶装密闭</w:t>
                  </w:r>
                </w:p>
              </w:tc>
              <w:tc>
                <w:tcPr>
                  <w:tcW w:w="608" w:type="pct"/>
                  <w:vAlign w:val="center"/>
                </w:tcPr>
                <w:p w14:paraId="0028753D">
                  <w:pPr>
                    <w:autoSpaceDE w:val="0"/>
                    <w:autoSpaceDN w:val="0"/>
                    <w:adjustRightInd w:val="0"/>
                    <w:snapToGrid w:val="0"/>
                    <w:jc w:val="center"/>
                    <w:rPr>
                      <w:rFonts w:hAnsi="宋体"/>
                      <w:color w:val="auto"/>
                      <w:szCs w:val="21"/>
                    </w:rPr>
                  </w:pPr>
                  <w:r>
                    <w:rPr>
                      <w:rFonts w:hint="eastAsia"/>
                      <w:color w:val="auto"/>
                      <w:szCs w:val="21"/>
                    </w:rPr>
                    <w:t>0.5</w:t>
                  </w:r>
                </w:p>
              </w:tc>
              <w:tc>
                <w:tcPr>
                  <w:tcW w:w="545" w:type="pct"/>
                  <w:vAlign w:val="center"/>
                </w:tcPr>
                <w:p w14:paraId="58D24007">
                  <w:pPr>
                    <w:autoSpaceDE w:val="0"/>
                    <w:autoSpaceDN w:val="0"/>
                    <w:adjustRightInd w:val="0"/>
                    <w:snapToGrid w:val="0"/>
                    <w:jc w:val="center"/>
                    <w:rPr>
                      <w:rFonts w:hAnsi="宋体"/>
                      <w:color w:val="auto"/>
                      <w:szCs w:val="21"/>
                    </w:rPr>
                  </w:pPr>
                  <w:r>
                    <w:rPr>
                      <w:rFonts w:hint="eastAsia"/>
                      <w:color w:val="auto"/>
                      <w:szCs w:val="21"/>
                      <w:lang w:val="en-US" w:eastAsia="zh-CN"/>
                    </w:rPr>
                    <w:t>12</w:t>
                  </w:r>
                  <w:r>
                    <w:rPr>
                      <w:rFonts w:hint="eastAsia"/>
                      <w:color w:val="auto"/>
                      <w:szCs w:val="21"/>
                    </w:rPr>
                    <w:t>个月</w:t>
                  </w:r>
                </w:p>
              </w:tc>
            </w:tr>
            <w:tr w14:paraId="546B8D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10" w:type="pct"/>
                  <w:vAlign w:val="center"/>
                </w:tcPr>
                <w:p w14:paraId="026B9B8F">
                  <w:pPr>
                    <w:adjustRightInd w:val="0"/>
                    <w:snapToGrid w:val="0"/>
                    <w:jc w:val="center"/>
                    <w:rPr>
                      <w:rFonts w:hAnsi="宋体"/>
                      <w:color w:val="auto"/>
                      <w:szCs w:val="21"/>
                    </w:rPr>
                  </w:pPr>
                  <w:r>
                    <w:rPr>
                      <w:rFonts w:hint="eastAsia" w:hAnsi="宋体"/>
                      <w:color w:val="auto"/>
                      <w:szCs w:val="21"/>
                    </w:rPr>
                    <w:t>3</w:t>
                  </w:r>
                </w:p>
              </w:tc>
              <w:tc>
                <w:tcPr>
                  <w:tcW w:w="402" w:type="pct"/>
                  <w:vMerge w:val="continue"/>
                  <w:vAlign w:val="center"/>
                </w:tcPr>
                <w:p w14:paraId="49A71339">
                  <w:pPr>
                    <w:adjustRightInd w:val="0"/>
                    <w:snapToGrid w:val="0"/>
                    <w:jc w:val="center"/>
                    <w:rPr>
                      <w:rFonts w:hAnsi="宋体"/>
                      <w:color w:val="auto"/>
                      <w:szCs w:val="21"/>
                    </w:rPr>
                  </w:pPr>
                </w:p>
              </w:tc>
              <w:tc>
                <w:tcPr>
                  <w:tcW w:w="796" w:type="pct"/>
                  <w:vAlign w:val="center"/>
                </w:tcPr>
                <w:p w14:paraId="0F3D34D1">
                  <w:pPr>
                    <w:autoSpaceDE w:val="0"/>
                    <w:autoSpaceDN w:val="0"/>
                    <w:adjustRightInd w:val="0"/>
                    <w:snapToGrid w:val="0"/>
                    <w:jc w:val="center"/>
                    <w:rPr>
                      <w:rFonts w:hint="default"/>
                      <w:color w:val="auto"/>
                      <w:szCs w:val="21"/>
                      <w:lang w:val="en-US"/>
                    </w:rPr>
                  </w:pPr>
                  <w:r>
                    <w:rPr>
                      <w:rFonts w:hint="eastAsia"/>
                      <w:color w:val="auto"/>
                      <w:szCs w:val="21"/>
                      <w:lang w:val="en-US" w:eastAsia="zh-CN"/>
                    </w:rPr>
                    <w:t>熔融、打磨工序收集尘</w:t>
                  </w:r>
                </w:p>
              </w:tc>
              <w:tc>
                <w:tcPr>
                  <w:tcW w:w="492" w:type="pct"/>
                  <w:vAlign w:val="center"/>
                </w:tcPr>
                <w:p w14:paraId="4BAB12CC">
                  <w:pPr>
                    <w:autoSpaceDE w:val="0"/>
                    <w:autoSpaceDN w:val="0"/>
                    <w:snapToGrid w:val="0"/>
                    <w:jc w:val="center"/>
                    <w:rPr>
                      <w:color w:val="auto"/>
                      <w:szCs w:val="21"/>
                    </w:rPr>
                  </w:pPr>
                  <w:r>
                    <w:rPr>
                      <w:rFonts w:hint="eastAsia"/>
                      <w:color w:val="auto"/>
                      <w:szCs w:val="21"/>
                    </w:rPr>
                    <w:t>HW48</w:t>
                  </w:r>
                </w:p>
              </w:tc>
              <w:tc>
                <w:tcPr>
                  <w:tcW w:w="725" w:type="pct"/>
                  <w:vAlign w:val="center"/>
                </w:tcPr>
                <w:p w14:paraId="5609ACDE">
                  <w:pPr>
                    <w:jc w:val="center"/>
                    <w:rPr>
                      <w:color w:val="auto"/>
                      <w:kern w:val="0"/>
                      <w:szCs w:val="21"/>
                    </w:rPr>
                  </w:pPr>
                  <w:r>
                    <w:rPr>
                      <w:rFonts w:hint="eastAsia"/>
                      <w:color w:val="auto"/>
                      <w:szCs w:val="21"/>
                    </w:rPr>
                    <w:t>321-034-48</w:t>
                  </w:r>
                </w:p>
              </w:tc>
              <w:tc>
                <w:tcPr>
                  <w:tcW w:w="331" w:type="pct"/>
                  <w:vMerge w:val="continue"/>
                  <w:vAlign w:val="center"/>
                </w:tcPr>
                <w:p w14:paraId="68202F88">
                  <w:pPr>
                    <w:widowControl/>
                    <w:adjustRightInd w:val="0"/>
                    <w:snapToGrid w:val="0"/>
                    <w:jc w:val="center"/>
                    <w:rPr>
                      <w:rFonts w:hAnsi="宋体"/>
                      <w:color w:val="auto"/>
                      <w:szCs w:val="21"/>
                    </w:rPr>
                  </w:pPr>
                </w:p>
              </w:tc>
              <w:tc>
                <w:tcPr>
                  <w:tcW w:w="402" w:type="pct"/>
                  <w:vMerge w:val="continue"/>
                  <w:vAlign w:val="center"/>
                </w:tcPr>
                <w:p w14:paraId="4DC18A9C">
                  <w:pPr>
                    <w:widowControl/>
                    <w:adjustRightInd w:val="0"/>
                    <w:snapToGrid w:val="0"/>
                    <w:jc w:val="center"/>
                    <w:rPr>
                      <w:color w:val="auto"/>
                      <w:szCs w:val="21"/>
                    </w:rPr>
                  </w:pPr>
                </w:p>
              </w:tc>
              <w:tc>
                <w:tcPr>
                  <w:tcW w:w="483" w:type="pct"/>
                  <w:vAlign w:val="center"/>
                </w:tcPr>
                <w:p w14:paraId="3F28E1D1">
                  <w:pPr>
                    <w:widowControl/>
                    <w:adjustRightInd w:val="0"/>
                    <w:snapToGrid w:val="0"/>
                    <w:jc w:val="center"/>
                    <w:rPr>
                      <w:rFonts w:hAnsi="宋体"/>
                      <w:color w:val="auto"/>
                      <w:szCs w:val="21"/>
                    </w:rPr>
                  </w:pPr>
                  <w:r>
                    <w:rPr>
                      <w:rFonts w:hint="eastAsia" w:hAnsi="宋体"/>
                      <w:color w:val="auto"/>
                      <w:szCs w:val="21"/>
                      <w:lang w:val="en-US" w:eastAsia="zh-CN"/>
                    </w:rPr>
                    <w:t>吨袋</w:t>
                  </w:r>
                  <w:r>
                    <w:rPr>
                      <w:rFonts w:hint="eastAsia" w:hAnsi="宋体"/>
                      <w:color w:val="auto"/>
                      <w:szCs w:val="21"/>
                    </w:rPr>
                    <w:t>密闭</w:t>
                  </w:r>
                </w:p>
              </w:tc>
              <w:tc>
                <w:tcPr>
                  <w:tcW w:w="608" w:type="pct"/>
                  <w:vAlign w:val="center"/>
                </w:tcPr>
                <w:p w14:paraId="08A72828">
                  <w:pPr>
                    <w:autoSpaceDE w:val="0"/>
                    <w:autoSpaceDN w:val="0"/>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1.892</w:t>
                  </w:r>
                </w:p>
              </w:tc>
              <w:tc>
                <w:tcPr>
                  <w:tcW w:w="545" w:type="pct"/>
                  <w:vAlign w:val="center"/>
                </w:tcPr>
                <w:p w14:paraId="5115853A">
                  <w:pPr>
                    <w:autoSpaceDE w:val="0"/>
                    <w:autoSpaceDN w:val="0"/>
                    <w:adjustRightInd w:val="0"/>
                    <w:snapToGrid w:val="0"/>
                    <w:jc w:val="center"/>
                    <w:rPr>
                      <w:rFonts w:hAnsi="宋体"/>
                      <w:color w:val="auto"/>
                      <w:szCs w:val="21"/>
                    </w:rPr>
                  </w:pPr>
                  <w:r>
                    <w:rPr>
                      <w:rFonts w:hint="eastAsia"/>
                      <w:color w:val="auto"/>
                      <w:szCs w:val="21"/>
                      <w:lang w:val="en-US" w:eastAsia="zh-CN"/>
                    </w:rPr>
                    <w:t>3</w:t>
                  </w:r>
                  <w:r>
                    <w:rPr>
                      <w:rFonts w:hint="eastAsia"/>
                      <w:color w:val="auto"/>
                      <w:szCs w:val="21"/>
                    </w:rPr>
                    <w:t>个月</w:t>
                  </w:r>
                </w:p>
              </w:tc>
            </w:tr>
            <w:tr w14:paraId="6F6D02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trPr>
              <w:tc>
                <w:tcPr>
                  <w:tcW w:w="210" w:type="pct"/>
                  <w:vAlign w:val="center"/>
                </w:tcPr>
                <w:p w14:paraId="34B9D568">
                  <w:pPr>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4</w:t>
                  </w:r>
                </w:p>
              </w:tc>
              <w:tc>
                <w:tcPr>
                  <w:tcW w:w="402" w:type="pct"/>
                  <w:vMerge w:val="continue"/>
                  <w:vAlign w:val="center"/>
                </w:tcPr>
                <w:p w14:paraId="3239BD47">
                  <w:pPr>
                    <w:adjustRightInd w:val="0"/>
                    <w:snapToGrid w:val="0"/>
                    <w:jc w:val="center"/>
                    <w:rPr>
                      <w:rFonts w:hAnsi="宋体"/>
                      <w:color w:val="auto"/>
                      <w:szCs w:val="21"/>
                    </w:rPr>
                  </w:pPr>
                </w:p>
              </w:tc>
              <w:tc>
                <w:tcPr>
                  <w:tcW w:w="796" w:type="pct"/>
                  <w:vAlign w:val="center"/>
                </w:tcPr>
                <w:p w14:paraId="7959DAA4">
                  <w:pPr>
                    <w:autoSpaceDE w:val="0"/>
                    <w:autoSpaceDN w:val="0"/>
                    <w:adjustRightInd w:val="0"/>
                    <w:snapToGrid w:val="0"/>
                    <w:jc w:val="center"/>
                    <w:rPr>
                      <w:color w:val="auto"/>
                      <w:szCs w:val="21"/>
                    </w:rPr>
                  </w:pPr>
                  <w:r>
                    <w:rPr>
                      <w:rFonts w:hint="eastAsia"/>
                      <w:color w:val="auto"/>
                      <w:szCs w:val="21"/>
                    </w:rPr>
                    <w:t>废活性炭</w:t>
                  </w:r>
                </w:p>
              </w:tc>
              <w:tc>
                <w:tcPr>
                  <w:tcW w:w="492" w:type="pct"/>
                  <w:vAlign w:val="center"/>
                </w:tcPr>
                <w:p w14:paraId="619D16CA">
                  <w:pPr>
                    <w:autoSpaceDE w:val="0"/>
                    <w:autoSpaceDN w:val="0"/>
                    <w:snapToGrid w:val="0"/>
                    <w:jc w:val="center"/>
                    <w:rPr>
                      <w:color w:val="auto"/>
                      <w:szCs w:val="21"/>
                    </w:rPr>
                  </w:pPr>
                  <w:r>
                    <w:rPr>
                      <w:color w:val="auto"/>
                      <w:szCs w:val="21"/>
                    </w:rPr>
                    <w:t>HW49</w:t>
                  </w:r>
                </w:p>
              </w:tc>
              <w:tc>
                <w:tcPr>
                  <w:tcW w:w="725" w:type="pct"/>
                  <w:vAlign w:val="center"/>
                </w:tcPr>
                <w:p w14:paraId="57021E1C">
                  <w:pPr>
                    <w:jc w:val="center"/>
                    <w:rPr>
                      <w:color w:val="auto"/>
                      <w:kern w:val="0"/>
                      <w:szCs w:val="21"/>
                    </w:rPr>
                  </w:pPr>
                  <w:r>
                    <w:rPr>
                      <w:color w:val="auto"/>
                      <w:szCs w:val="21"/>
                    </w:rPr>
                    <w:t>900-039-49</w:t>
                  </w:r>
                </w:p>
              </w:tc>
              <w:tc>
                <w:tcPr>
                  <w:tcW w:w="331" w:type="pct"/>
                  <w:vMerge w:val="continue"/>
                  <w:vAlign w:val="center"/>
                </w:tcPr>
                <w:p w14:paraId="6F7AD7D4">
                  <w:pPr>
                    <w:widowControl/>
                    <w:adjustRightInd w:val="0"/>
                    <w:snapToGrid w:val="0"/>
                    <w:jc w:val="center"/>
                    <w:rPr>
                      <w:rFonts w:hAnsi="宋体"/>
                      <w:color w:val="auto"/>
                      <w:szCs w:val="21"/>
                    </w:rPr>
                  </w:pPr>
                </w:p>
              </w:tc>
              <w:tc>
                <w:tcPr>
                  <w:tcW w:w="402" w:type="pct"/>
                  <w:vMerge w:val="continue"/>
                  <w:vAlign w:val="center"/>
                </w:tcPr>
                <w:p w14:paraId="7EC0669C">
                  <w:pPr>
                    <w:widowControl/>
                    <w:adjustRightInd w:val="0"/>
                    <w:snapToGrid w:val="0"/>
                    <w:jc w:val="center"/>
                    <w:rPr>
                      <w:color w:val="auto"/>
                      <w:szCs w:val="21"/>
                    </w:rPr>
                  </w:pPr>
                </w:p>
              </w:tc>
              <w:tc>
                <w:tcPr>
                  <w:tcW w:w="483" w:type="pct"/>
                  <w:vAlign w:val="center"/>
                </w:tcPr>
                <w:p w14:paraId="3D8C0E26">
                  <w:pPr>
                    <w:widowControl/>
                    <w:adjustRightInd w:val="0"/>
                    <w:snapToGrid w:val="0"/>
                    <w:jc w:val="center"/>
                    <w:rPr>
                      <w:rFonts w:hAnsi="宋体"/>
                      <w:color w:val="auto"/>
                      <w:szCs w:val="21"/>
                    </w:rPr>
                  </w:pPr>
                  <w:r>
                    <w:rPr>
                      <w:rFonts w:hint="eastAsia" w:hAnsi="宋体"/>
                      <w:color w:val="auto"/>
                      <w:szCs w:val="21"/>
                      <w:lang w:val="en-US" w:eastAsia="zh-CN"/>
                    </w:rPr>
                    <w:t>吨袋</w:t>
                  </w:r>
                  <w:r>
                    <w:rPr>
                      <w:rFonts w:hint="eastAsia" w:hAnsi="宋体"/>
                      <w:color w:val="auto"/>
                      <w:szCs w:val="21"/>
                    </w:rPr>
                    <w:t>密闭</w:t>
                  </w:r>
                </w:p>
              </w:tc>
              <w:tc>
                <w:tcPr>
                  <w:tcW w:w="608" w:type="pct"/>
                  <w:vAlign w:val="center"/>
                </w:tcPr>
                <w:p w14:paraId="2E7B939C">
                  <w:pPr>
                    <w:autoSpaceDE w:val="0"/>
                    <w:autoSpaceDN w:val="0"/>
                    <w:adjustRightInd w:val="0"/>
                    <w:snapToGrid w:val="0"/>
                    <w:jc w:val="center"/>
                    <w:rPr>
                      <w:rFonts w:hint="default" w:hAnsi="宋体"/>
                      <w:color w:val="auto"/>
                      <w:szCs w:val="21"/>
                      <w:lang w:val="en-US"/>
                    </w:rPr>
                  </w:pPr>
                  <w:r>
                    <w:rPr>
                      <w:rFonts w:hint="eastAsia"/>
                      <w:color w:val="auto"/>
                      <w:szCs w:val="21"/>
                      <w:lang w:val="en-US" w:eastAsia="zh-CN"/>
                    </w:rPr>
                    <w:t>7.9</w:t>
                  </w:r>
                </w:p>
              </w:tc>
              <w:tc>
                <w:tcPr>
                  <w:tcW w:w="545" w:type="pct"/>
                  <w:vAlign w:val="center"/>
                </w:tcPr>
                <w:p w14:paraId="1E4304B0">
                  <w:pPr>
                    <w:autoSpaceDE w:val="0"/>
                    <w:autoSpaceDN w:val="0"/>
                    <w:adjustRightInd w:val="0"/>
                    <w:snapToGrid w:val="0"/>
                    <w:jc w:val="center"/>
                    <w:rPr>
                      <w:rFonts w:hAnsi="宋体"/>
                      <w:color w:val="auto"/>
                      <w:szCs w:val="21"/>
                    </w:rPr>
                  </w:pPr>
                  <w:r>
                    <w:rPr>
                      <w:rFonts w:hint="eastAsia"/>
                      <w:color w:val="auto"/>
                      <w:szCs w:val="21"/>
                      <w:lang w:val="en-US" w:eastAsia="zh-CN"/>
                    </w:rPr>
                    <w:t>3</w:t>
                  </w:r>
                  <w:r>
                    <w:rPr>
                      <w:rFonts w:hint="eastAsia"/>
                      <w:color w:val="auto"/>
                      <w:szCs w:val="21"/>
                    </w:rPr>
                    <w:t>个月</w:t>
                  </w:r>
                </w:p>
              </w:tc>
            </w:tr>
            <w:tr w14:paraId="10ACF7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9" w:hRule="atLeast"/>
              </w:trPr>
              <w:tc>
                <w:tcPr>
                  <w:tcW w:w="210" w:type="pct"/>
                  <w:vAlign w:val="center"/>
                </w:tcPr>
                <w:p w14:paraId="1EDAACDA">
                  <w:pPr>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5</w:t>
                  </w:r>
                </w:p>
              </w:tc>
              <w:tc>
                <w:tcPr>
                  <w:tcW w:w="402" w:type="pct"/>
                  <w:vMerge w:val="continue"/>
                  <w:vAlign w:val="center"/>
                </w:tcPr>
                <w:p w14:paraId="559434F8">
                  <w:pPr>
                    <w:adjustRightInd w:val="0"/>
                    <w:snapToGrid w:val="0"/>
                    <w:jc w:val="center"/>
                    <w:rPr>
                      <w:rFonts w:hAnsi="宋体"/>
                      <w:color w:val="auto"/>
                      <w:szCs w:val="21"/>
                    </w:rPr>
                  </w:pPr>
                </w:p>
              </w:tc>
              <w:tc>
                <w:tcPr>
                  <w:tcW w:w="796" w:type="pct"/>
                  <w:vAlign w:val="center"/>
                </w:tcPr>
                <w:p w14:paraId="2412189B">
                  <w:pPr>
                    <w:autoSpaceDE w:val="0"/>
                    <w:autoSpaceDN w:val="0"/>
                    <w:adjustRightInd w:val="0"/>
                    <w:snapToGrid w:val="0"/>
                    <w:jc w:val="center"/>
                    <w:rPr>
                      <w:color w:val="auto"/>
                      <w:szCs w:val="21"/>
                    </w:rPr>
                  </w:pPr>
                  <w:r>
                    <w:rPr>
                      <w:rFonts w:hint="eastAsia"/>
                      <w:color w:val="auto"/>
                      <w:szCs w:val="21"/>
                    </w:rPr>
                    <w:t>废包装桶</w:t>
                  </w:r>
                </w:p>
              </w:tc>
              <w:tc>
                <w:tcPr>
                  <w:tcW w:w="492" w:type="pct"/>
                  <w:vAlign w:val="center"/>
                </w:tcPr>
                <w:p w14:paraId="25050D40">
                  <w:pPr>
                    <w:autoSpaceDE w:val="0"/>
                    <w:autoSpaceDN w:val="0"/>
                    <w:snapToGrid w:val="0"/>
                    <w:jc w:val="center"/>
                    <w:rPr>
                      <w:color w:val="auto"/>
                      <w:szCs w:val="21"/>
                    </w:rPr>
                  </w:pPr>
                  <w:r>
                    <w:rPr>
                      <w:rFonts w:hint="eastAsia"/>
                      <w:color w:val="auto"/>
                      <w:szCs w:val="21"/>
                    </w:rPr>
                    <w:t>HW49</w:t>
                  </w:r>
                </w:p>
              </w:tc>
              <w:tc>
                <w:tcPr>
                  <w:tcW w:w="725" w:type="pct"/>
                  <w:vAlign w:val="center"/>
                </w:tcPr>
                <w:p w14:paraId="0FDF6AC9">
                  <w:pPr>
                    <w:jc w:val="center"/>
                    <w:rPr>
                      <w:color w:val="auto"/>
                      <w:kern w:val="0"/>
                      <w:szCs w:val="21"/>
                    </w:rPr>
                  </w:pPr>
                  <w:r>
                    <w:rPr>
                      <w:rFonts w:hint="eastAsia"/>
                      <w:color w:val="auto"/>
                      <w:szCs w:val="21"/>
                    </w:rPr>
                    <w:t>900-041-49</w:t>
                  </w:r>
                </w:p>
              </w:tc>
              <w:tc>
                <w:tcPr>
                  <w:tcW w:w="331" w:type="pct"/>
                  <w:vMerge w:val="continue"/>
                  <w:vAlign w:val="center"/>
                </w:tcPr>
                <w:p w14:paraId="5560E5B4">
                  <w:pPr>
                    <w:widowControl/>
                    <w:adjustRightInd w:val="0"/>
                    <w:snapToGrid w:val="0"/>
                    <w:jc w:val="center"/>
                    <w:rPr>
                      <w:rFonts w:hAnsi="宋体"/>
                      <w:color w:val="auto"/>
                      <w:szCs w:val="21"/>
                    </w:rPr>
                  </w:pPr>
                </w:p>
              </w:tc>
              <w:tc>
                <w:tcPr>
                  <w:tcW w:w="402" w:type="pct"/>
                  <w:vMerge w:val="continue"/>
                  <w:vAlign w:val="center"/>
                </w:tcPr>
                <w:p w14:paraId="586D7DD1">
                  <w:pPr>
                    <w:widowControl/>
                    <w:adjustRightInd w:val="0"/>
                    <w:snapToGrid w:val="0"/>
                    <w:jc w:val="center"/>
                    <w:rPr>
                      <w:color w:val="auto"/>
                      <w:szCs w:val="21"/>
                    </w:rPr>
                  </w:pPr>
                </w:p>
              </w:tc>
              <w:tc>
                <w:tcPr>
                  <w:tcW w:w="483" w:type="pct"/>
                  <w:vAlign w:val="center"/>
                </w:tcPr>
                <w:p w14:paraId="63AA0B1B">
                  <w:pPr>
                    <w:widowControl/>
                    <w:adjustRightInd w:val="0"/>
                    <w:snapToGrid w:val="0"/>
                    <w:jc w:val="center"/>
                    <w:rPr>
                      <w:rFonts w:hAnsi="宋体"/>
                      <w:color w:val="auto"/>
                      <w:szCs w:val="21"/>
                    </w:rPr>
                  </w:pPr>
                  <w:r>
                    <w:rPr>
                      <w:rFonts w:hint="eastAsia" w:hAnsi="宋体"/>
                      <w:color w:val="auto"/>
                      <w:szCs w:val="21"/>
                      <w:lang w:val="en-US" w:eastAsia="zh-CN"/>
                    </w:rPr>
                    <w:t>加盖</w:t>
                  </w:r>
                  <w:r>
                    <w:rPr>
                      <w:rFonts w:hint="eastAsia" w:hAnsi="宋体"/>
                      <w:color w:val="auto"/>
                      <w:szCs w:val="21"/>
                    </w:rPr>
                    <w:t>密闭</w:t>
                  </w:r>
                </w:p>
              </w:tc>
              <w:tc>
                <w:tcPr>
                  <w:tcW w:w="608" w:type="pct"/>
                  <w:vAlign w:val="center"/>
                </w:tcPr>
                <w:p w14:paraId="592401DB">
                  <w:pPr>
                    <w:autoSpaceDE w:val="0"/>
                    <w:autoSpaceDN w:val="0"/>
                    <w:adjustRightInd w:val="0"/>
                    <w:snapToGrid w:val="0"/>
                    <w:jc w:val="center"/>
                    <w:rPr>
                      <w:rFonts w:hAnsi="宋体"/>
                      <w:color w:val="auto"/>
                      <w:szCs w:val="21"/>
                    </w:rPr>
                  </w:pPr>
                  <w:r>
                    <w:rPr>
                      <w:rFonts w:hint="eastAsia"/>
                      <w:color w:val="auto"/>
                      <w:szCs w:val="21"/>
                      <w:lang w:val="en-US" w:eastAsia="zh-CN"/>
                    </w:rPr>
                    <w:t>0.164</w:t>
                  </w:r>
                </w:p>
              </w:tc>
              <w:tc>
                <w:tcPr>
                  <w:tcW w:w="545" w:type="pct"/>
                  <w:vAlign w:val="center"/>
                </w:tcPr>
                <w:p w14:paraId="4D8C730F">
                  <w:pPr>
                    <w:autoSpaceDE w:val="0"/>
                    <w:autoSpaceDN w:val="0"/>
                    <w:adjustRightInd w:val="0"/>
                    <w:snapToGrid w:val="0"/>
                    <w:jc w:val="center"/>
                    <w:rPr>
                      <w:rFonts w:hAnsi="宋体"/>
                      <w:color w:val="auto"/>
                      <w:szCs w:val="21"/>
                    </w:rPr>
                  </w:pPr>
                  <w:r>
                    <w:rPr>
                      <w:rFonts w:hint="eastAsia"/>
                      <w:color w:val="auto"/>
                      <w:szCs w:val="21"/>
                      <w:lang w:val="en-US" w:eastAsia="zh-CN"/>
                    </w:rPr>
                    <w:t>12</w:t>
                  </w:r>
                  <w:r>
                    <w:rPr>
                      <w:rFonts w:hint="eastAsia"/>
                      <w:color w:val="auto"/>
                      <w:szCs w:val="21"/>
                    </w:rPr>
                    <w:t>个月</w:t>
                  </w:r>
                </w:p>
              </w:tc>
            </w:tr>
            <w:tr w14:paraId="6420D7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9" w:hRule="atLeast"/>
              </w:trPr>
              <w:tc>
                <w:tcPr>
                  <w:tcW w:w="210" w:type="pct"/>
                  <w:vAlign w:val="center"/>
                </w:tcPr>
                <w:p w14:paraId="4A01FF9E">
                  <w:pPr>
                    <w:adjustRightInd w:val="0"/>
                    <w:snapToGrid w:val="0"/>
                    <w:jc w:val="center"/>
                    <w:rPr>
                      <w:rFonts w:hint="default" w:hAnsi="宋体"/>
                      <w:color w:val="auto"/>
                      <w:szCs w:val="21"/>
                      <w:lang w:val="en-US" w:eastAsia="zh-CN"/>
                    </w:rPr>
                  </w:pPr>
                  <w:r>
                    <w:rPr>
                      <w:rFonts w:hint="eastAsia" w:hAnsi="宋体"/>
                      <w:color w:val="auto"/>
                      <w:szCs w:val="21"/>
                      <w:lang w:val="en-US" w:eastAsia="zh-CN"/>
                    </w:rPr>
                    <w:t>6</w:t>
                  </w:r>
                </w:p>
              </w:tc>
              <w:tc>
                <w:tcPr>
                  <w:tcW w:w="402" w:type="pct"/>
                  <w:vMerge w:val="continue"/>
                  <w:vAlign w:val="center"/>
                </w:tcPr>
                <w:p w14:paraId="3C399208">
                  <w:pPr>
                    <w:adjustRightInd w:val="0"/>
                    <w:snapToGrid w:val="0"/>
                    <w:jc w:val="center"/>
                    <w:rPr>
                      <w:rFonts w:hAnsi="宋体"/>
                      <w:color w:val="auto"/>
                      <w:szCs w:val="21"/>
                    </w:rPr>
                  </w:pPr>
                </w:p>
              </w:tc>
              <w:tc>
                <w:tcPr>
                  <w:tcW w:w="796" w:type="pct"/>
                  <w:vAlign w:val="center"/>
                </w:tcPr>
                <w:p w14:paraId="2B1DBFFD">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沾染危废的废布袋</w:t>
                  </w:r>
                </w:p>
              </w:tc>
              <w:tc>
                <w:tcPr>
                  <w:tcW w:w="492" w:type="pct"/>
                  <w:vAlign w:val="center"/>
                </w:tcPr>
                <w:p w14:paraId="0A6B974E">
                  <w:pPr>
                    <w:autoSpaceDE w:val="0"/>
                    <w:autoSpaceDN w:val="0"/>
                    <w:snapToGrid w:val="0"/>
                    <w:jc w:val="center"/>
                    <w:rPr>
                      <w:rFonts w:hint="eastAsia"/>
                      <w:color w:val="auto"/>
                      <w:szCs w:val="21"/>
                    </w:rPr>
                  </w:pPr>
                  <w:r>
                    <w:rPr>
                      <w:rFonts w:hint="eastAsia"/>
                      <w:color w:val="auto"/>
                      <w:szCs w:val="21"/>
                    </w:rPr>
                    <w:t>HW49</w:t>
                  </w:r>
                </w:p>
              </w:tc>
              <w:tc>
                <w:tcPr>
                  <w:tcW w:w="725" w:type="pct"/>
                  <w:vAlign w:val="center"/>
                </w:tcPr>
                <w:p w14:paraId="58A34A5F">
                  <w:pPr>
                    <w:jc w:val="center"/>
                    <w:rPr>
                      <w:rFonts w:hint="eastAsia"/>
                      <w:color w:val="auto"/>
                      <w:szCs w:val="21"/>
                    </w:rPr>
                  </w:pPr>
                  <w:r>
                    <w:rPr>
                      <w:rFonts w:hint="eastAsia"/>
                      <w:color w:val="auto"/>
                      <w:szCs w:val="21"/>
                    </w:rPr>
                    <w:t>900-041-49</w:t>
                  </w:r>
                </w:p>
              </w:tc>
              <w:tc>
                <w:tcPr>
                  <w:tcW w:w="331" w:type="pct"/>
                  <w:vMerge w:val="continue"/>
                  <w:vAlign w:val="center"/>
                </w:tcPr>
                <w:p w14:paraId="5E6443E8">
                  <w:pPr>
                    <w:widowControl/>
                    <w:adjustRightInd w:val="0"/>
                    <w:snapToGrid w:val="0"/>
                    <w:jc w:val="center"/>
                    <w:rPr>
                      <w:rFonts w:hAnsi="宋体"/>
                      <w:color w:val="auto"/>
                      <w:szCs w:val="21"/>
                    </w:rPr>
                  </w:pPr>
                </w:p>
              </w:tc>
              <w:tc>
                <w:tcPr>
                  <w:tcW w:w="402" w:type="pct"/>
                  <w:vMerge w:val="continue"/>
                  <w:vAlign w:val="center"/>
                </w:tcPr>
                <w:p w14:paraId="659938F4">
                  <w:pPr>
                    <w:widowControl/>
                    <w:adjustRightInd w:val="0"/>
                    <w:snapToGrid w:val="0"/>
                    <w:jc w:val="center"/>
                    <w:rPr>
                      <w:color w:val="auto"/>
                      <w:szCs w:val="21"/>
                    </w:rPr>
                  </w:pPr>
                </w:p>
              </w:tc>
              <w:tc>
                <w:tcPr>
                  <w:tcW w:w="483" w:type="pct"/>
                  <w:vAlign w:val="center"/>
                </w:tcPr>
                <w:p w14:paraId="1639A835">
                  <w:pPr>
                    <w:widowControl/>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吨袋</w:t>
                  </w:r>
                  <w:r>
                    <w:rPr>
                      <w:rFonts w:hint="eastAsia" w:hAnsi="宋体"/>
                      <w:color w:val="auto"/>
                      <w:szCs w:val="21"/>
                    </w:rPr>
                    <w:t>密闭</w:t>
                  </w:r>
                </w:p>
              </w:tc>
              <w:tc>
                <w:tcPr>
                  <w:tcW w:w="608" w:type="pct"/>
                  <w:vAlign w:val="center"/>
                </w:tcPr>
                <w:p w14:paraId="2713C7AF">
                  <w:pPr>
                    <w:autoSpaceDE w:val="0"/>
                    <w:autoSpaceDN w:val="0"/>
                    <w:adjustRightInd w:val="0"/>
                    <w:snapToGrid w:val="0"/>
                    <w:jc w:val="center"/>
                    <w:rPr>
                      <w:rFonts w:hint="default" w:hAnsi="宋体"/>
                      <w:color w:val="auto"/>
                      <w:szCs w:val="21"/>
                      <w:lang w:val="en-US"/>
                    </w:rPr>
                  </w:pPr>
                  <w:r>
                    <w:rPr>
                      <w:rFonts w:hint="eastAsia"/>
                      <w:color w:val="auto"/>
                      <w:szCs w:val="21"/>
                      <w:lang w:val="en-US" w:eastAsia="zh-CN"/>
                    </w:rPr>
                    <w:t>0.1496</w:t>
                  </w:r>
                </w:p>
              </w:tc>
              <w:tc>
                <w:tcPr>
                  <w:tcW w:w="545" w:type="pct"/>
                  <w:vAlign w:val="center"/>
                </w:tcPr>
                <w:p w14:paraId="43824E7F">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12个月</w:t>
                  </w:r>
                </w:p>
              </w:tc>
            </w:tr>
            <w:tr w14:paraId="0EBD1D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9" w:hRule="atLeast"/>
              </w:trPr>
              <w:tc>
                <w:tcPr>
                  <w:tcW w:w="210" w:type="pct"/>
                  <w:vAlign w:val="center"/>
                </w:tcPr>
                <w:p w14:paraId="0EE25D7D">
                  <w:pPr>
                    <w:adjustRightInd w:val="0"/>
                    <w:snapToGrid w:val="0"/>
                    <w:jc w:val="center"/>
                    <w:rPr>
                      <w:rFonts w:hint="default" w:hAnsi="宋体"/>
                      <w:color w:val="auto"/>
                      <w:szCs w:val="21"/>
                      <w:lang w:val="en-US" w:eastAsia="zh-CN"/>
                    </w:rPr>
                  </w:pPr>
                  <w:r>
                    <w:rPr>
                      <w:rFonts w:hint="eastAsia" w:hAnsi="宋体"/>
                      <w:color w:val="auto"/>
                      <w:szCs w:val="21"/>
                      <w:lang w:val="en-US" w:eastAsia="zh-CN"/>
                    </w:rPr>
                    <w:t>7</w:t>
                  </w:r>
                </w:p>
              </w:tc>
              <w:tc>
                <w:tcPr>
                  <w:tcW w:w="402" w:type="pct"/>
                  <w:vMerge w:val="continue"/>
                  <w:vAlign w:val="center"/>
                </w:tcPr>
                <w:p w14:paraId="63FF4EC7">
                  <w:pPr>
                    <w:adjustRightInd w:val="0"/>
                    <w:snapToGrid w:val="0"/>
                    <w:jc w:val="center"/>
                    <w:rPr>
                      <w:rFonts w:hAnsi="宋体"/>
                      <w:color w:val="auto"/>
                      <w:szCs w:val="21"/>
                    </w:rPr>
                  </w:pPr>
                </w:p>
              </w:tc>
              <w:tc>
                <w:tcPr>
                  <w:tcW w:w="796" w:type="pct"/>
                  <w:vAlign w:val="center"/>
                </w:tcPr>
                <w:p w14:paraId="568CD609">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含油铝屑</w:t>
                  </w:r>
                </w:p>
              </w:tc>
              <w:tc>
                <w:tcPr>
                  <w:tcW w:w="492" w:type="pct"/>
                  <w:vAlign w:val="center"/>
                </w:tcPr>
                <w:p w14:paraId="6CFE6782">
                  <w:pPr>
                    <w:autoSpaceDE w:val="0"/>
                    <w:autoSpaceDN w:val="0"/>
                    <w:snapToGrid w:val="0"/>
                    <w:jc w:val="center"/>
                    <w:rPr>
                      <w:rFonts w:hint="eastAsia"/>
                      <w:color w:val="auto"/>
                      <w:szCs w:val="21"/>
                    </w:rPr>
                  </w:pPr>
                  <w:r>
                    <w:rPr>
                      <w:rFonts w:hint="eastAsia" w:ascii="Times New Roman" w:hAnsi="Times New Roman" w:eastAsia="宋体" w:cs="Times New Roman"/>
                      <w:color w:val="auto"/>
                      <w:szCs w:val="21"/>
                      <w:lang w:val="en-US" w:eastAsia="zh-CN"/>
                    </w:rPr>
                    <w:t>HW09</w:t>
                  </w:r>
                </w:p>
              </w:tc>
              <w:tc>
                <w:tcPr>
                  <w:tcW w:w="725" w:type="pct"/>
                  <w:vAlign w:val="center"/>
                </w:tcPr>
                <w:p w14:paraId="7FB6EA76">
                  <w:pPr>
                    <w:jc w:val="center"/>
                    <w:rPr>
                      <w:rFonts w:hint="eastAsia"/>
                      <w:color w:val="auto"/>
                      <w:szCs w:val="21"/>
                    </w:rPr>
                  </w:pPr>
                  <w:r>
                    <w:rPr>
                      <w:rFonts w:hint="eastAsia" w:ascii="Times New Roman" w:hAnsi="Times New Roman" w:eastAsia="宋体" w:cs="Times New Roman"/>
                      <w:color w:val="auto"/>
                      <w:szCs w:val="21"/>
                      <w:lang w:val="en-US" w:eastAsia="zh-CN"/>
                    </w:rPr>
                    <w:t>900-006-09</w:t>
                  </w:r>
                </w:p>
              </w:tc>
              <w:tc>
                <w:tcPr>
                  <w:tcW w:w="331" w:type="pct"/>
                  <w:vMerge w:val="continue"/>
                  <w:vAlign w:val="center"/>
                </w:tcPr>
                <w:p w14:paraId="73FAEB37">
                  <w:pPr>
                    <w:widowControl/>
                    <w:adjustRightInd w:val="0"/>
                    <w:snapToGrid w:val="0"/>
                    <w:jc w:val="center"/>
                    <w:rPr>
                      <w:rFonts w:hAnsi="宋体"/>
                      <w:color w:val="auto"/>
                      <w:szCs w:val="21"/>
                    </w:rPr>
                  </w:pPr>
                </w:p>
              </w:tc>
              <w:tc>
                <w:tcPr>
                  <w:tcW w:w="402" w:type="pct"/>
                  <w:vMerge w:val="continue"/>
                  <w:vAlign w:val="center"/>
                </w:tcPr>
                <w:p w14:paraId="679F7B78">
                  <w:pPr>
                    <w:widowControl/>
                    <w:adjustRightInd w:val="0"/>
                    <w:snapToGrid w:val="0"/>
                    <w:jc w:val="center"/>
                    <w:rPr>
                      <w:color w:val="auto"/>
                      <w:szCs w:val="21"/>
                    </w:rPr>
                  </w:pPr>
                </w:p>
              </w:tc>
              <w:tc>
                <w:tcPr>
                  <w:tcW w:w="483" w:type="pct"/>
                  <w:vAlign w:val="center"/>
                </w:tcPr>
                <w:p w14:paraId="53DBBEB7">
                  <w:pPr>
                    <w:widowControl/>
                    <w:adjustRightInd w:val="0"/>
                    <w:snapToGrid w:val="0"/>
                    <w:jc w:val="center"/>
                    <w:rPr>
                      <w:rFonts w:hint="eastAsia" w:hAnsi="宋体"/>
                      <w:color w:val="auto"/>
                      <w:szCs w:val="21"/>
                      <w:lang w:val="en-US" w:eastAsia="zh-CN"/>
                    </w:rPr>
                  </w:pPr>
                  <w:r>
                    <w:rPr>
                      <w:rFonts w:hint="eastAsia" w:hAnsi="宋体"/>
                      <w:color w:val="auto"/>
                      <w:szCs w:val="21"/>
                    </w:rPr>
                    <w:t>桶装密闭</w:t>
                  </w:r>
                </w:p>
              </w:tc>
              <w:tc>
                <w:tcPr>
                  <w:tcW w:w="608" w:type="pct"/>
                  <w:vAlign w:val="center"/>
                </w:tcPr>
                <w:p w14:paraId="70A5B05C">
                  <w:pPr>
                    <w:autoSpaceDE w:val="0"/>
                    <w:autoSpaceDN w:val="0"/>
                    <w:adjustRightInd w:val="0"/>
                    <w:snapToGrid w:val="0"/>
                    <w:jc w:val="center"/>
                    <w:rPr>
                      <w:rFonts w:hAnsi="宋体"/>
                      <w:color w:val="auto"/>
                      <w:szCs w:val="21"/>
                    </w:rPr>
                  </w:pPr>
                  <w:r>
                    <w:rPr>
                      <w:rFonts w:hint="eastAsia"/>
                      <w:color w:val="auto"/>
                      <w:szCs w:val="21"/>
                      <w:lang w:val="en-US" w:eastAsia="zh-CN"/>
                    </w:rPr>
                    <w:t>0.5</w:t>
                  </w:r>
                </w:p>
              </w:tc>
              <w:tc>
                <w:tcPr>
                  <w:tcW w:w="545" w:type="pct"/>
                  <w:vAlign w:val="center"/>
                </w:tcPr>
                <w:p w14:paraId="2DCA440F">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12个月</w:t>
                  </w:r>
                </w:p>
              </w:tc>
            </w:tr>
            <w:tr w14:paraId="167AD2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4" w:hRule="atLeast"/>
              </w:trPr>
              <w:tc>
                <w:tcPr>
                  <w:tcW w:w="210" w:type="pct"/>
                  <w:vAlign w:val="center"/>
                </w:tcPr>
                <w:p w14:paraId="187B61AC">
                  <w:pPr>
                    <w:adjustRightInd w:val="0"/>
                    <w:snapToGrid w:val="0"/>
                    <w:jc w:val="center"/>
                    <w:rPr>
                      <w:rFonts w:hint="default" w:hAnsi="宋体"/>
                      <w:color w:val="auto"/>
                      <w:szCs w:val="21"/>
                      <w:lang w:val="en-US" w:eastAsia="zh-CN"/>
                    </w:rPr>
                  </w:pPr>
                  <w:r>
                    <w:rPr>
                      <w:rFonts w:hint="eastAsia" w:hAnsi="宋体"/>
                      <w:color w:val="auto"/>
                      <w:szCs w:val="21"/>
                      <w:lang w:val="en-US" w:eastAsia="zh-CN"/>
                    </w:rPr>
                    <w:t>8</w:t>
                  </w:r>
                </w:p>
              </w:tc>
              <w:tc>
                <w:tcPr>
                  <w:tcW w:w="402" w:type="pct"/>
                  <w:vMerge w:val="continue"/>
                  <w:vAlign w:val="center"/>
                </w:tcPr>
                <w:p w14:paraId="3F9A69B0">
                  <w:pPr>
                    <w:adjustRightInd w:val="0"/>
                    <w:snapToGrid w:val="0"/>
                    <w:jc w:val="center"/>
                    <w:rPr>
                      <w:rFonts w:hAnsi="宋体"/>
                      <w:color w:val="auto"/>
                      <w:szCs w:val="21"/>
                    </w:rPr>
                  </w:pPr>
                </w:p>
              </w:tc>
              <w:tc>
                <w:tcPr>
                  <w:tcW w:w="796" w:type="pct"/>
                  <w:vAlign w:val="center"/>
                </w:tcPr>
                <w:p w14:paraId="3D9E3295">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废液</w:t>
                  </w:r>
                </w:p>
              </w:tc>
              <w:tc>
                <w:tcPr>
                  <w:tcW w:w="825" w:type="dxa"/>
                  <w:vAlign w:val="center"/>
                </w:tcPr>
                <w:p w14:paraId="237EB272">
                  <w:pPr>
                    <w:jc w:val="center"/>
                    <w:rPr>
                      <w:rFonts w:hint="eastAsia"/>
                      <w:color w:val="auto"/>
                      <w:szCs w:val="21"/>
                    </w:rPr>
                  </w:pPr>
                  <w:r>
                    <w:rPr>
                      <w:rFonts w:hint="eastAsia"/>
                      <w:color w:val="auto"/>
                      <w:sz w:val="21"/>
                      <w:szCs w:val="21"/>
                      <w:lang w:val="en-US" w:eastAsia="zh-CN"/>
                    </w:rPr>
                    <w:t>HW09</w:t>
                  </w:r>
                </w:p>
              </w:tc>
              <w:tc>
                <w:tcPr>
                  <w:tcW w:w="1215" w:type="dxa"/>
                  <w:vAlign w:val="center"/>
                </w:tcPr>
                <w:p w14:paraId="274DFDA7">
                  <w:pPr>
                    <w:jc w:val="center"/>
                    <w:rPr>
                      <w:rFonts w:hint="eastAsia"/>
                      <w:color w:val="auto"/>
                      <w:szCs w:val="21"/>
                    </w:rPr>
                  </w:pPr>
                  <w:r>
                    <w:rPr>
                      <w:rFonts w:hint="eastAsia" w:ascii="Times New Roman" w:hAnsi="Times New Roman" w:eastAsia="宋体" w:cs="Times New Roman"/>
                      <w:color w:val="auto"/>
                      <w:szCs w:val="21"/>
                      <w:lang w:val="en-US" w:eastAsia="zh-CN"/>
                    </w:rPr>
                    <w:t>900-00</w:t>
                  </w:r>
                  <w:r>
                    <w:rPr>
                      <w:rFonts w:hint="eastAsia" w:cs="Times New Roman"/>
                      <w:color w:val="auto"/>
                      <w:szCs w:val="21"/>
                      <w:lang w:val="en-US" w:eastAsia="zh-CN"/>
                    </w:rPr>
                    <w:t>7-</w:t>
                  </w:r>
                  <w:r>
                    <w:rPr>
                      <w:rFonts w:hint="eastAsia" w:ascii="Times New Roman" w:hAnsi="Times New Roman" w:eastAsia="宋体" w:cs="Times New Roman"/>
                      <w:color w:val="auto"/>
                      <w:szCs w:val="21"/>
                      <w:lang w:val="en-US" w:eastAsia="zh-CN"/>
                    </w:rPr>
                    <w:t>09</w:t>
                  </w:r>
                </w:p>
              </w:tc>
              <w:tc>
                <w:tcPr>
                  <w:tcW w:w="331" w:type="pct"/>
                  <w:vMerge w:val="continue"/>
                  <w:vAlign w:val="center"/>
                </w:tcPr>
                <w:p w14:paraId="144213FA">
                  <w:pPr>
                    <w:widowControl/>
                    <w:adjustRightInd w:val="0"/>
                    <w:snapToGrid w:val="0"/>
                    <w:jc w:val="center"/>
                    <w:rPr>
                      <w:rFonts w:hAnsi="宋体"/>
                      <w:color w:val="auto"/>
                      <w:szCs w:val="21"/>
                    </w:rPr>
                  </w:pPr>
                </w:p>
              </w:tc>
              <w:tc>
                <w:tcPr>
                  <w:tcW w:w="402" w:type="pct"/>
                  <w:vMerge w:val="continue"/>
                  <w:vAlign w:val="center"/>
                </w:tcPr>
                <w:p w14:paraId="79EFEC68">
                  <w:pPr>
                    <w:widowControl/>
                    <w:adjustRightInd w:val="0"/>
                    <w:snapToGrid w:val="0"/>
                    <w:jc w:val="center"/>
                    <w:rPr>
                      <w:color w:val="auto"/>
                      <w:szCs w:val="21"/>
                    </w:rPr>
                  </w:pPr>
                </w:p>
              </w:tc>
              <w:tc>
                <w:tcPr>
                  <w:tcW w:w="483" w:type="pct"/>
                  <w:vAlign w:val="center"/>
                </w:tcPr>
                <w:p w14:paraId="10956FE9">
                  <w:pPr>
                    <w:widowControl/>
                    <w:adjustRightInd w:val="0"/>
                    <w:snapToGrid w:val="0"/>
                    <w:jc w:val="center"/>
                    <w:rPr>
                      <w:rFonts w:hint="eastAsia" w:hAnsi="宋体"/>
                      <w:color w:val="auto"/>
                      <w:szCs w:val="21"/>
                      <w:lang w:val="en-US" w:eastAsia="zh-CN"/>
                    </w:rPr>
                  </w:pPr>
                  <w:r>
                    <w:rPr>
                      <w:rFonts w:hint="eastAsia" w:hAnsi="宋体"/>
                      <w:color w:val="auto"/>
                      <w:szCs w:val="21"/>
                    </w:rPr>
                    <w:t>桶装密闭</w:t>
                  </w:r>
                </w:p>
              </w:tc>
              <w:tc>
                <w:tcPr>
                  <w:tcW w:w="608" w:type="pct"/>
                  <w:vAlign w:val="center"/>
                </w:tcPr>
                <w:p w14:paraId="3FD11039">
                  <w:pPr>
                    <w:autoSpaceDE w:val="0"/>
                    <w:autoSpaceDN w:val="0"/>
                    <w:adjustRightInd w:val="0"/>
                    <w:snapToGrid w:val="0"/>
                    <w:jc w:val="center"/>
                    <w:rPr>
                      <w:rFonts w:hint="default" w:hAnsi="宋体"/>
                      <w:color w:val="auto"/>
                      <w:szCs w:val="21"/>
                      <w:lang w:val="en-US"/>
                    </w:rPr>
                  </w:pPr>
                  <w:r>
                    <w:rPr>
                      <w:rFonts w:hint="eastAsia"/>
                      <w:color w:val="auto"/>
                      <w:szCs w:val="21"/>
                      <w:lang w:val="en-US" w:eastAsia="zh-CN"/>
                    </w:rPr>
                    <w:t>2.725</w:t>
                  </w:r>
                </w:p>
              </w:tc>
              <w:tc>
                <w:tcPr>
                  <w:tcW w:w="545" w:type="pct"/>
                  <w:vAlign w:val="center"/>
                </w:tcPr>
                <w:p w14:paraId="3F9509EB">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3</w:t>
                  </w:r>
                  <w:r>
                    <w:rPr>
                      <w:rFonts w:hint="eastAsia"/>
                      <w:color w:val="auto"/>
                      <w:szCs w:val="21"/>
                    </w:rPr>
                    <w:t>个月</w:t>
                  </w:r>
                </w:p>
              </w:tc>
            </w:tr>
            <w:tr w14:paraId="12E0C9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19" w:hRule="atLeast"/>
              </w:trPr>
              <w:tc>
                <w:tcPr>
                  <w:tcW w:w="210" w:type="pct"/>
                  <w:vAlign w:val="center"/>
                </w:tcPr>
                <w:p w14:paraId="29A62893">
                  <w:pPr>
                    <w:adjustRightInd w:val="0"/>
                    <w:snapToGrid w:val="0"/>
                    <w:jc w:val="center"/>
                    <w:rPr>
                      <w:rFonts w:hint="default" w:hAnsi="宋体"/>
                      <w:color w:val="auto"/>
                      <w:szCs w:val="21"/>
                      <w:lang w:val="en-US" w:eastAsia="zh-CN"/>
                    </w:rPr>
                  </w:pPr>
                  <w:r>
                    <w:rPr>
                      <w:rFonts w:hint="eastAsia" w:hAnsi="宋体"/>
                      <w:color w:val="auto"/>
                      <w:szCs w:val="21"/>
                      <w:lang w:val="en-US" w:eastAsia="zh-CN"/>
                    </w:rPr>
                    <w:t>9</w:t>
                  </w:r>
                </w:p>
              </w:tc>
              <w:tc>
                <w:tcPr>
                  <w:tcW w:w="402" w:type="pct"/>
                  <w:vMerge w:val="continue"/>
                  <w:vAlign w:val="center"/>
                </w:tcPr>
                <w:p w14:paraId="155E47B3">
                  <w:pPr>
                    <w:adjustRightInd w:val="0"/>
                    <w:snapToGrid w:val="0"/>
                    <w:jc w:val="center"/>
                    <w:rPr>
                      <w:rFonts w:hAnsi="宋体"/>
                      <w:color w:val="auto"/>
                      <w:szCs w:val="21"/>
                    </w:rPr>
                  </w:pPr>
                </w:p>
              </w:tc>
              <w:tc>
                <w:tcPr>
                  <w:tcW w:w="796" w:type="pct"/>
                  <w:vAlign w:val="center"/>
                </w:tcPr>
                <w:p w14:paraId="688DEFE1">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废切削液</w:t>
                  </w:r>
                </w:p>
              </w:tc>
              <w:tc>
                <w:tcPr>
                  <w:tcW w:w="492" w:type="pct"/>
                  <w:vAlign w:val="center"/>
                </w:tcPr>
                <w:p w14:paraId="301EEBB2">
                  <w:pPr>
                    <w:autoSpaceDE w:val="0"/>
                    <w:autoSpaceDN w:val="0"/>
                    <w:snapToGrid w:val="0"/>
                    <w:jc w:val="center"/>
                    <w:rPr>
                      <w:rFonts w:hint="eastAsia"/>
                      <w:color w:val="auto"/>
                      <w:szCs w:val="21"/>
                    </w:rPr>
                  </w:pPr>
                  <w:r>
                    <w:rPr>
                      <w:rFonts w:hint="eastAsia" w:ascii="Times New Roman" w:hAnsi="Times New Roman" w:eastAsia="宋体" w:cs="Times New Roman"/>
                      <w:color w:val="auto"/>
                      <w:szCs w:val="21"/>
                      <w:lang w:val="en-US" w:eastAsia="zh-CN"/>
                    </w:rPr>
                    <w:t>HW09</w:t>
                  </w:r>
                </w:p>
              </w:tc>
              <w:tc>
                <w:tcPr>
                  <w:tcW w:w="725" w:type="pct"/>
                  <w:vAlign w:val="center"/>
                </w:tcPr>
                <w:p w14:paraId="08A11330">
                  <w:pPr>
                    <w:jc w:val="center"/>
                    <w:rPr>
                      <w:rFonts w:hint="eastAsia"/>
                      <w:color w:val="auto"/>
                      <w:szCs w:val="21"/>
                    </w:rPr>
                  </w:pPr>
                  <w:r>
                    <w:rPr>
                      <w:rFonts w:hint="eastAsia" w:ascii="Times New Roman" w:hAnsi="Times New Roman" w:eastAsia="宋体" w:cs="Times New Roman"/>
                      <w:color w:val="auto"/>
                      <w:szCs w:val="21"/>
                      <w:lang w:val="en-US" w:eastAsia="zh-CN"/>
                    </w:rPr>
                    <w:t>900-006-09</w:t>
                  </w:r>
                </w:p>
              </w:tc>
              <w:tc>
                <w:tcPr>
                  <w:tcW w:w="331" w:type="pct"/>
                  <w:vMerge w:val="continue"/>
                  <w:vAlign w:val="center"/>
                </w:tcPr>
                <w:p w14:paraId="6CD41832">
                  <w:pPr>
                    <w:widowControl/>
                    <w:adjustRightInd w:val="0"/>
                    <w:snapToGrid w:val="0"/>
                    <w:jc w:val="center"/>
                    <w:rPr>
                      <w:rFonts w:hAnsi="宋体"/>
                      <w:color w:val="auto"/>
                      <w:szCs w:val="21"/>
                    </w:rPr>
                  </w:pPr>
                </w:p>
              </w:tc>
              <w:tc>
                <w:tcPr>
                  <w:tcW w:w="402" w:type="pct"/>
                  <w:vMerge w:val="continue"/>
                  <w:vAlign w:val="center"/>
                </w:tcPr>
                <w:p w14:paraId="2F79E518">
                  <w:pPr>
                    <w:widowControl/>
                    <w:adjustRightInd w:val="0"/>
                    <w:snapToGrid w:val="0"/>
                    <w:jc w:val="center"/>
                    <w:rPr>
                      <w:color w:val="auto"/>
                      <w:szCs w:val="21"/>
                    </w:rPr>
                  </w:pPr>
                </w:p>
              </w:tc>
              <w:tc>
                <w:tcPr>
                  <w:tcW w:w="483" w:type="pct"/>
                  <w:vAlign w:val="center"/>
                </w:tcPr>
                <w:p w14:paraId="49B0E0E8">
                  <w:pPr>
                    <w:widowControl/>
                    <w:adjustRightInd w:val="0"/>
                    <w:snapToGrid w:val="0"/>
                    <w:jc w:val="center"/>
                    <w:rPr>
                      <w:rFonts w:hint="eastAsia" w:hAnsi="宋体"/>
                      <w:color w:val="auto"/>
                      <w:szCs w:val="21"/>
                      <w:lang w:val="en-US" w:eastAsia="zh-CN"/>
                    </w:rPr>
                  </w:pPr>
                  <w:r>
                    <w:rPr>
                      <w:rFonts w:hint="eastAsia" w:hAnsi="宋体"/>
                      <w:color w:val="auto"/>
                      <w:szCs w:val="21"/>
                    </w:rPr>
                    <w:t>桶装密闭</w:t>
                  </w:r>
                </w:p>
              </w:tc>
              <w:tc>
                <w:tcPr>
                  <w:tcW w:w="608" w:type="pct"/>
                  <w:vAlign w:val="center"/>
                </w:tcPr>
                <w:p w14:paraId="760AE27D">
                  <w:pPr>
                    <w:autoSpaceDE w:val="0"/>
                    <w:autoSpaceDN w:val="0"/>
                    <w:adjustRightInd w:val="0"/>
                    <w:snapToGrid w:val="0"/>
                    <w:jc w:val="center"/>
                    <w:rPr>
                      <w:rFonts w:hint="default" w:hAnsi="宋体"/>
                      <w:color w:val="auto"/>
                      <w:szCs w:val="21"/>
                      <w:lang w:val="en-US"/>
                    </w:rPr>
                  </w:pPr>
                  <w:r>
                    <w:rPr>
                      <w:rFonts w:hint="eastAsia"/>
                      <w:color w:val="auto"/>
                      <w:szCs w:val="21"/>
                      <w:lang w:val="en-US" w:eastAsia="zh-CN"/>
                    </w:rPr>
                    <w:t>0.75</w:t>
                  </w:r>
                </w:p>
              </w:tc>
              <w:tc>
                <w:tcPr>
                  <w:tcW w:w="545" w:type="pct"/>
                  <w:vAlign w:val="center"/>
                </w:tcPr>
                <w:p w14:paraId="76A47F7D">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6</w:t>
                  </w:r>
                  <w:r>
                    <w:rPr>
                      <w:rFonts w:hint="eastAsia"/>
                      <w:color w:val="auto"/>
                      <w:szCs w:val="21"/>
                    </w:rPr>
                    <w:t>个月</w:t>
                  </w:r>
                </w:p>
              </w:tc>
            </w:tr>
          </w:tbl>
          <w:p w14:paraId="744A5488">
            <w:pPr>
              <w:adjustRightInd w:val="0"/>
              <w:snapToGrid w:val="0"/>
              <w:spacing w:line="360" w:lineRule="auto"/>
              <w:ind w:firstLine="480"/>
              <w:rPr>
                <w:rFonts w:hint="eastAsia" w:hAnsi="宋体"/>
                <w:b/>
                <w:color w:val="auto"/>
                <w:szCs w:val="21"/>
              </w:rPr>
            </w:pPr>
            <w:r>
              <w:rPr>
                <w:rFonts w:hint="eastAsia" w:hAnsi="宋体"/>
                <w:color w:val="auto"/>
                <w:szCs w:val="21"/>
              </w:rPr>
              <w:t>3）</w:t>
            </w:r>
            <w:r>
              <w:rPr>
                <w:rFonts w:hAnsi="宋体"/>
                <w:color w:val="auto"/>
                <w:szCs w:val="21"/>
              </w:rPr>
              <w:t>收集的危险废物及时贮存至危废仓库，同时建立危险废物管理制度，设置储存台账，如实记录危险废物储存及处理情况，贮存场所拟在出入口设置在线视频监控。</w:t>
            </w:r>
          </w:p>
          <w:p w14:paraId="053EEE8B">
            <w:pPr>
              <w:adjustRightInd w:val="0"/>
              <w:snapToGrid w:val="0"/>
              <w:spacing w:line="360" w:lineRule="auto"/>
              <w:ind w:firstLine="482"/>
              <w:rPr>
                <w:rFonts w:hAnsi="宋体"/>
                <w:b/>
                <w:color w:val="auto"/>
                <w:szCs w:val="21"/>
              </w:rPr>
            </w:pPr>
            <w:r>
              <w:rPr>
                <w:rFonts w:hint="eastAsia" w:hAnsi="宋体"/>
                <w:b/>
                <w:color w:val="auto"/>
                <w:szCs w:val="21"/>
              </w:rPr>
              <w:t>4.4</w:t>
            </w:r>
            <w:r>
              <w:rPr>
                <w:rFonts w:hAnsi="宋体"/>
                <w:b/>
                <w:color w:val="auto"/>
                <w:szCs w:val="21"/>
              </w:rPr>
              <w:t>运输过程的环境影响分析</w:t>
            </w:r>
          </w:p>
          <w:p w14:paraId="076E608B">
            <w:pPr>
              <w:adjustRightInd w:val="0"/>
              <w:snapToGrid w:val="0"/>
              <w:spacing w:line="360" w:lineRule="auto"/>
              <w:ind w:firstLine="482"/>
              <w:rPr>
                <w:rFonts w:hAnsi="宋体"/>
                <w:color w:val="auto"/>
                <w:szCs w:val="21"/>
              </w:rPr>
            </w:pPr>
            <w:r>
              <w:rPr>
                <w:rFonts w:hAnsi="宋体"/>
                <w:color w:val="auto"/>
                <w:szCs w:val="21"/>
              </w:rPr>
              <w:t>（1）噪声影响</w:t>
            </w:r>
          </w:p>
          <w:p w14:paraId="0B714D2E">
            <w:pPr>
              <w:adjustRightInd w:val="0"/>
              <w:snapToGrid w:val="0"/>
              <w:spacing w:line="360" w:lineRule="auto"/>
              <w:ind w:firstLine="482"/>
              <w:rPr>
                <w:rFonts w:hAnsi="宋体"/>
                <w:color w:val="auto"/>
                <w:szCs w:val="21"/>
              </w:rPr>
            </w:pPr>
            <w:r>
              <w:rPr>
                <w:rFonts w:hAnsi="宋体"/>
                <w:color w:val="auto"/>
                <w:szCs w:val="21"/>
              </w:rPr>
              <w:t>废物在运输过程中，运输车辆将对环境造成一定的噪声影响，一方面本项目危险废物是不定期地进行运输，不会对环境造成持续频发的噪声污染。</w:t>
            </w:r>
          </w:p>
          <w:p w14:paraId="1BB209D0">
            <w:pPr>
              <w:adjustRightInd w:val="0"/>
              <w:snapToGrid w:val="0"/>
              <w:spacing w:line="360" w:lineRule="auto"/>
              <w:ind w:firstLine="482"/>
              <w:rPr>
                <w:rFonts w:hAnsi="宋体"/>
                <w:color w:val="auto"/>
                <w:szCs w:val="21"/>
              </w:rPr>
            </w:pPr>
            <w:r>
              <w:rPr>
                <w:rFonts w:hAnsi="宋体"/>
                <w:color w:val="auto"/>
                <w:szCs w:val="21"/>
              </w:rPr>
              <w:t>（2）气味影响</w:t>
            </w:r>
          </w:p>
          <w:p w14:paraId="68664EB0">
            <w:pPr>
              <w:adjustRightInd w:val="0"/>
              <w:snapToGrid w:val="0"/>
              <w:spacing w:line="360" w:lineRule="auto"/>
              <w:ind w:firstLine="482"/>
              <w:rPr>
                <w:rFonts w:hAnsi="宋体"/>
                <w:color w:val="auto"/>
                <w:szCs w:val="21"/>
              </w:rPr>
            </w:pPr>
            <w:r>
              <w:rPr>
                <w:rFonts w:hAnsi="宋体"/>
                <w:color w:val="auto"/>
                <w:szCs w:val="21"/>
              </w:rPr>
              <w:t>危险废物在运输的过程中，可能对环境造成一定的气味影响，因此，危险废物采用密封式运输车辆，运输过程中基本可以控制运输车辆的气味</w:t>
            </w:r>
            <w:r>
              <w:rPr>
                <w:rFonts w:hint="eastAsia" w:hAnsi="宋体"/>
                <w:color w:val="auto"/>
                <w:szCs w:val="21"/>
                <w:lang w:eastAsia="zh-CN"/>
              </w:rPr>
              <w:t>泄漏</w:t>
            </w:r>
            <w:r>
              <w:rPr>
                <w:rFonts w:hAnsi="宋体"/>
                <w:color w:val="auto"/>
                <w:szCs w:val="21"/>
              </w:rPr>
              <w:t>问题。</w:t>
            </w:r>
          </w:p>
          <w:p w14:paraId="40BF1BD3">
            <w:pPr>
              <w:adjustRightInd w:val="0"/>
              <w:snapToGrid w:val="0"/>
              <w:spacing w:line="360" w:lineRule="auto"/>
              <w:ind w:firstLine="482"/>
              <w:rPr>
                <w:rFonts w:hAnsi="宋体"/>
                <w:color w:val="auto"/>
                <w:szCs w:val="21"/>
              </w:rPr>
            </w:pPr>
            <w:r>
              <w:rPr>
                <w:rFonts w:hAnsi="宋体"/>
                <w:color w:val="auto"/>
                <w:szCs w:val="21"/>
              </w:rPr>
              <w:t>（3）废水影响</w:t>
            </w:r>
          </w:p>
          <w:p w14:paraId="58EF8659">
            <w:pPr>
              <w:adjustRightInd w:val="0"/>
              <w:snapToGrid w:val="0"/>
              <w:spacing w:line="360" w:lineRule="auto"/>
              <w:ind w:firstLine="482"/>
              <w:rPr>
                <w:rFonts w:hAnsi="宋体"/>
                <w:color w:val="auto"/>
                <w:szCs w:val="21"/>
              </w:rPr>
            </w:pPr>
            <w:r>
              <w:rPr>
                <w:rFonts w:hAnsi="宋体"/>
                <w:color w:val="auto"/>
                <w:szCs w:val="21"/>
              </w:rPr>
              <w:t>在车辆密封良好的情况下，运输过程中可有效控制运输车的渗滤液泄漏，对车辆所经过的道路两旁水体水质影响不大。但若运输车辆出现沿路洒漏，则会由雨水冲刷路面而对附近水体造成污染。因此，建设单位和废物运输单位要严格按照要求进行包装和运输过程管理，确保运输过程中不发生洒漏。</w:t>
            </w:r>
          </w:p>
          <w:p w14:paraId="5EEED73A">
            <w:pPr>
              <w:adjustRightInd w:val="0"/>
              <w:snapToGrid w:val="0"/>
              <w:spacing w:line="360" w:lineRule="auto"/>
              <w:ind w:firstLine="480"/>
              <w:rPr>
                <w:rFonts w:hAnsi="宋体"/>
                <w:b/>
                <w:color w:val="auto"/>
                <w:szCs w:val="21"/>
              </w:rPr>
            </w:pPr>
            <w:r>
              <w:rPr>
                <w:rFonts w:hint="eastAsia" w:hAnsi="宋体"/>
                <w:b/>
                <w:color w:val="auto"/>
                <w:szCs w:val="21"/>
              </w:rPr>
              <w:t>4.5</w:t>
            </w:r>
            <w:r>
              <w:rPr>
                <w:rFonts w:hAnsi="宋体"/>
                <w:b/>
                <w:color w:val="auto"/>
                <w:szCs w:val="21"/>
              </w:rPr>
              <w:t>委托处置的环境影响分析</w:t>
            </w:r>
          </w:p>
          <w:p w14:paraId="116CA6EB">
            <w:pPr>
              <w:adjustRightInd w:val="0"/>
              <w:snapToGrid w:val="0"/>
              <w:spacing w:line="360" w:lineRule="auto"/>
              <w:ind w:firstLine="480"/>
              <w:rPr>
                <w:rFonts w:hAnsi="宋体"/>
                <w:color w:val="auto"/>
                <w:szCs w:val="21"/>
              </w:rPr>
            </w:pPr>
            <w:r>
              <w:rPr>
                <w:color w:val="auto"/>
                <w:kern w:val="0"/>
                <w:sz w:val="21"/>
                <w:szCs w:val="21"/>
              </w:rPr>
              <w:t>根据《中华人民共和国固体废物污染环境防治法》及《国家危险固废名录》（202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rPr>
              <w:t>、</w:t>
            </w:r>
            <w:r>
              <w:rPr>
                <w:color w:val="auto"/>
                <w:kern w:val="0"/>
                <w:sz w:val="21"/>
                <w:szCs w:val="21"/>
              </w:rPr>
              <w:t>《危险废物转移管理办法》</w:t>
            </w:r>
            <w:r>
              <w:rPr>
                <w:rFonts w:hint="eastAsia"/>
                <w:color w:val="auto"/>
                <w:kern w:val="0"/>
                <w:sz w:val="21"/>
                <w:szCs w:val="21"/>
              </w:rPr>
              <w:t>等管理要求</w:t>
            </w:r>
            <w:r>
              <w:rPr>
                <w:color w:val="auto"/>
                <w:kern w:val="0"/>
                <w:sz w:val="21"/>
                <w:szCs w:val="21"/>
              </w:rPr>
              <w:t>，项目产生的危险废物交有资质的单位进行处理处置，不自行处置。</w:t>
            </w:r>
            <w:r>
              <w:rPr>
                <w:rFonts w:hint="eastAsia"/>
                <w:color w:val="auto"/>
                <w:kern w:val="0"/>
                <w:sz w:val="21"/>
                <w:szCs w:val="21"/>
              </w:rPr>
              <w:t>企业每年在江苏企业“环保脸谱”（一企一档）填报危险废物管理计划，转移危险废物，及时在系统里面填报危险废物转移联单，并根据危险废物管理计划中填报的危险废物转移等备案信息填写、运行。委托有资质运输单位进行运输，运输过程中，车厢为密闭状态，不对沿线环境敏感点产生影响，同时对运输路线的选择要尽量避开敏感点，减少对敏感点产生影响的风险</w:t>
            </w:r>
            <w:r>
              <w:rPr>
                <w:rFonts w:hAnsi="宋体"/>
                <w:color w:val="auto"/>
                <w:szCs w:val="21"/>
              </w:rPr>
              <w:t>。</w:t>
            </w:r>
          </w:p>
          <w:p w14:paraId="7B6EAF1D">
            <w:pPr>
              <w:adjustRightInd w:val="0"/>
              <w:snapToGrid w:val="0"/>
              <w:spacing w:line="360" w:lineRule="auto"/>
              <w:ind w:firstLine="480"/>
              <w:rPr>
                <w:b/>
                <w:color w:val="auto"/>
                <w:szCs w:val="21"/>
              </w:rPr>
            </w:pPr>
            <w:r>
              <w:rPr>
                <w:rFonts w:hint="eastAsia"/>
                <w:b/>
                <w:color w:val="auto"/>
                <w:szCs w:val="21"/>
              </w:rPr>
              <w:t>4.6</w:t>
            </w:r>
            <w:r>
              <w:rPr>
                <w:b/>
                <w:bCs/>
                <w:color w:val="auto"/>
                <w:szCs w:val="21"/>
              </w:rPr>
              <w:t>危险废物暂存污染防治措施分析</w:t>
            </w:r>
          </w:p>
          <w:p w14:paraId="1AEA01A7">
            <w:pPr>
              <w:spacing w:line="351" w:lineRule="auto"/>
              <w:ind w:firstLine="420" w:firstLineChars="200"/>
              <w:rPr>
                <w:color w:val="auto"/>
                <w:kern w:val="24"/>
                <w:szCs w:val="21"/>
              </w:rPr>
            </w:pPr>
            <w:r>
              <w:rPr>
                <w:rFonts w:hint="eastAsia"/>
                <w:color w:val="auto"/>
                <w:kern w:val="24"/>
                <w:szCs w:val="21"/>
              </w:rPr>
              <w:t>对照《省生态环境厅关于做好&lt;危险废物贮存污染控制标准&gt;等标准规范实施后危险废物环境管理衔接工作的通知》（苏环办</w:t>
            </w:r>
            <w:r>
              <w:rPr>
                <w:rFonts w:hint="eastAsia"/>
                <w:color w:val="auto"/>
                <w:kern w:val="24"/>
                <w:szCs w:val="21"/>
                <w:lang w:eastAsia="zh-CN"/>
              </w:rPr>
              <w:t>〔</w:t>
            </w:r>
            <w:r>
              <w:rPr>
                <w:rFonts w:hint="eastAsia"/>
                <w:color w:val="auto"/>
                <w:kern w:val="24"/>
                <w:szCs w:val="21"/>
              </w:rPr>
              <w:t>2023</w:t>
            </w:r>
            <w:r>
              <w:rPr>
                <w:rFonts w:hint="eastAsia"/>
                <w:color w:val="auto"/>
                <w:kern w:val="24"/>
                <w:szCs w:val="21"/>
                <w:lang w:eastAsia="zh-CN"/>
              </w:rPr>
              <w:t>〕</w:t>
            </w:r>
            <w:r>
              <w:rPr>
                <w:rFonts w:hint="eastAsia"/>
                <w:color w:val="auto"/>
                <w:kern w:val="24"/>
                <w:szCs w:val="21"/>
              </w:rPr>
              <w:t>154号），项目危险废物贮存场所应按照《危险废物贮存污染控制标准》（GB18597-2023）中相关要求设置，具体要求如下：</w:t>
            </w:r>
          </w:p>
          <w:p w14:paraId="7ED55154">
            <w:pPr>
              <w:spacing w:line="351" w:lineRule="auto"/>
              <w:ind w:firstLine="420" w:firstLineChars="200"/>
              <w:rPr>
                <w:color w:val="auto"/>
                <w:kern w:val="24"/>
                <w:szCs w:val="21"/>
              </w:rPr>
            </w:pPr>
            <w:r>
              <w:rPr>
                <w:rFonts w:hint="eastAsia"/>
                <w:color w:val="auto"/>
                <w:kern w:val="24"/>
                <w:szCs w:val="21"/>
              </w:rPr>
              <w:t>A.贮存设施应根据危险废物的形态、物理化学性质、包装形式和污染物迁移途径，采取必要的防风、防晒、防雨、防漏、防渗、防腐以及其他环境污染防治措施，不应露天堆放危险废物。</w:t>
            </w:r>
          </w:p>
          <w:p w14:paraId="382AD305">
            <w:pPr>
              <w:spacing w:line="351" w:lineRule="auto"/>
              <w:ind w:firstLine="420" w:firstLineChars="200"/>
              <w:rPr>
                <w:color w:val="auto"/>
                <w:kern w:val="24"/>
                <w:szCs w:val="21"/>
              </w:rPr>
            </w:pPr>
            <w:r>
              <w:rPr>
                <w:rFonts w:hint="eastAsia"/>
                <w:color w:val="auto"/>
                <w:kern w:val="24"/>
                <w:szCs w:val="21"/>
              </w:rPr>
              <w:t>B.贮存设施应根据危险废物的类别、数量、形态、物理化学性质和污染防治等要求设置必要的贮存分区，避免不相容的危险废物接触、混合。C.贮存设施或贮存分区内地面、墙面裙脚、堵截泄漏的围堰、接触危险废物的隔板和墙体等应采用坚固的材料建造，表面无裂缝。</w:t>
            </w:r>
          </w:p>
          <w:p w14:paraId="20DD8CE3">
            <w:pPr>
              <w:spacing w:line="351" w:lineRule="auto"/>
              <w:ind w:firstLine="420" w:firstLineChars="200"/>
              <w:rPr>
                <w:color w:val="auto"/>
                <w:kern w:val="24"/>
                <w:szCs w:val="21"/>
              </w:rPr>
            </w:pPr>
            <w:r>
              <w:rPr>
                <w:rFonts w:hint="eastAsia"/>
                <w:color w:val="auto"/>
                <w:kern w:val="24"/>
                <w:szCs w:val="21"/>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厚黏层(渗透系数不大于10</w:t>
            </w:r>
            <w:r>
              <w:rPr>
                <w:rFonts w:hint="eastAsia"/>
                <w:color w:val="auto"/>
                <w:kern w:val="24"/>
                <w:szCs w:val="21"/>
                <w:vertAlign w:val="superscript"/>
              </w:rPr>
              <w:t>-7</w:t>
            </w:r>
            <w:r>
              <w:rPr>
                <w:rFonts w:hint="eastAsia"/>
                <w:color w:val="auto"/>
                <w:kern w:val="24"/>
                <w:szCs w:val="21"/>
              </w:rPr>
              <w:t>cm/s)，或至少2 mm 厚高密度聚乙烯膜等人工防渗材料(渗透系数不大于10</w:t>
            </w:r>
            <w:r>
              <w:rPr>
                <w:rFonts w:hint="eastAsia"/>
                <w:color w:val="auto"/>
                <w:kern w:val="24"/>
                <w:szCs w:val="21"/>
                <w:vertAlign w:val="superscript"/>
              </w:rPr>
              <w:t>-10</w:t>
            </w:r>
            <w:r>
              <w:rPr>
                <w:rFonts w:hint="eastAsia"/>
                <w:color w:val="auto"/>
                <w:kern w:val="24"/>
                <w:szCs w:val="21"/>
              </w:rPr>
              <w:t xml:space="preserve"> cm/s)，或其他防渗性能等效的材料。</w:t>
            </w:r>
          </w:p>
          <w:p w14:paraId="09CF76F3">
            <w:pPr>
              <w:spacing w:line="351" w:lineRule="auto"/>
              <w:ind w:firstLine="420" w:firstLineChars="200"/>
              <w:rPr>
                <w:color w:val="auto"/>
                <w:kern w:val="24"/>
                <w:szCs w:val="21"/>
              </w:rPr>
            </w:pPr>
            <w:r>
              <w:rPr>
                <w:rFonts w:hint="eastAsia"/>
                <w:color w:val="auto"/>
                <w:kern w:val="24"/>
                <w:szCs w:val="21"/>
              </w:rPr>
              <w:t>E.同一贮存设施宜采用相同的防渗、防腐工艺(包括防渗、防腐结构或材料)，防渗、防腐材料应覆盖所有可能与废物及其渗滤液、渗漏液等接触的构筑物表面：采用不同防渗、防腐工艺应分别建设贮存分区。</w:t>
            </w:r>
          </w:p>
          <w:p w14:paraId="474BDC69">
            <w:pPr>
              <w:spacing w:line="351" w:lineRule="auto"/>
              <w:ind w:firstLine="420" w:firstLineChars="200"/>
              <w:rPr>
                <w:color w:val="auto"/>
                <w:kern w:val="24"/>
                <w:szCs w:val="21"/>
              </w:rPr>
            </w:pPr>
            <w:r>
              <w:rPr>
                <w:rFonts w:hint="eastAsia"/>
                <w:color w:val="auto"/>
                <w:kern w:val="24"/>
                <w:szCs w:val="21"/>
              </w:rPr>
              <w:t>F.贮存设施应采取技术和管理措施防止无关人员进入。</w:t>
            </w:r>
          </w:p>
          <w:p w14:paraId="2ACA2EBB">
            <w:pPr>
              <w:spacing w:line="351" w:lineRule="auto"/>
              <w:ind w:firstLine="420" w:firstLineChars="200"/>
              <w:rPr>
                <w:color w:val="auto"/>
                <w:kern w:val="24"/>
                <w:szCs w:val="21"/>
              </w:rPr>
            </w:pPr>
            <w:r>
              <w:rPr>
                <w:rFonts w:hint="eastAsia"/>
                <w:color w:val="auto"/>
                <w:kern w:val="24"/>
                <w:szCs w:val="21"/>
              </w:rPr>
              <w:t>同时应对危险废物存放库实施严格的管理：</w:t>
            </w:r>
          </w:p>
          <w:p w14:paraId="412C6A4A">
            <w:pPr>
              <w:spacing w:line="351" w:lineRule="auto"/>
              <w:ind w:firstLine="420" w:firstLineChars="200"/>
              <w:rPr>
                <w:color w:val="auto"/>
                <w:kern w:val="24"/>
                <w:szCs w:val="21"/>
              </w:rPr>
            </w:pPr>
            <w:r>
              <w:rPr>
                <w:rFonts w:hint="eastAsia"/>
                <w:color w:val="auto"/>
                <w:kern w:val="24"/>
                <w:szCs w:val="21"/>
              </w:rPr>
              <w:t>A.危险废物贮存设施都必须《环境保护图形标志(GB15562-1995)》修改单、《危险废物识别标志设置技术规范》（HJ 1276 2022）规定设置警示标志。</w:t>
            </w:r>
          </w:p>
          <w:p w14:paraId="2C0824C5">
            <w:pPr>
              <w:spacing w:line="351" w:lineRule="auto"/>
              <w:ind w:firstLine="420" w:firstLineChars="200"/>
              <w:rPr>
                <w:color w:val="auto"/>
                <w:kern w:val="24"/>
                <w:szCs w:val="21"/>
              </w:rPr>
            </w:pPr>
            <w:r>
              <w:rPr>
                <w:rFonts w:hint="eastAsia"/>
                <w:color w:val="auto"/>
                <w:kern w:val="24"/>
                <w:szCs w:val="21"/>
              </w:rPr>
              <w:t>B.贮存库内不同贮存分区之间应采取隔离措施。隔离措施可根据危险废物特性采用过道、隔板或隔墙等方式。</w:t>
            </w:r>
          </w:p>
          <w:p w14:paraId="513B6C0E">
            <w:pPr>
              <w:spacing w:line="351" w:lineRule="auto"/>
              <w:ind w:firstLine="420" w:firstLineChars="200"/>
              <w:rPr>
                <w:color w:val="auto"/>
                <w:kern w:val="24"/>
                <w:szCs w:val="21"/>
              </w:rPr>
            </w:pPr>
            <w:r>
              <w:rPr>
                <w:rFonts w:hint="eastAsia"/>
                <w:color w:val="auto"/>
                <w:kern w:val="24"/>
                <w:szCs w:val="21"/>
              </w:rPr>
              <w:t>C.在贮存库内或通过贮存分区方式贮存液态危险废物的，应具有液体泄漏堵截设施，堵截设施最小容积不应低于对应贮存区域最大液态废物容器容积或液态废物总储量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14:paraId="6D36EEF2">
            <w:pPr>
              <w:adjustRightInd w:val="0"/>
              <w:snapToGrid w:val="0"/>
              <w:spacing w:line="360" w:lineRule="auto"/>
              <w:ind w:firstLine="480"/>
              <w:rPr>
                <w:color w:val="auto"/>
                <w:kern w:val="24"/>
                <w:szCs w:val="21"/>
              </w:rPr>
            </w:pPr>
            <w:r>
              <w:rPr>
                <w:rFonts w:hint="eastAsia"/>
                <w:color w:val="auto"/>
                <w:kern w:val="24"/>
                <w:szCs w:val="21"/>
              </w:rPr>
              <w:t>D.贮存易产生粉尘、VOCs、酸雾、有毒有害大气污染物和刺激性气味气体的危险废物贮存库，应设置气体收集装置和气体净化设施：气体净化设施的排气筒高度应符合 GB 16297 要求。</w:t>
            </w:r>
          </w:p>
          <w:p w14:paraId="24AA3F60">
            <w:pPr>
              <w:adjustRightInd w:val="0"/>
              <w:snapToGrid w:val="0"/>
              <w:spacing w:line="360" w:lineRule="auto"/>
              <w:ind w:firstLine="480"/>
              <w:rPr>
                <w:rFonts w:hAnsi="宋体"/>
                <w:color w:val="auto"/>
              </w:rPr>
            </w:pPr>
            <w:r>
              <w:rPr>
                <w:rFonts w:hint="eastAsia" w:hAnsi="宋体"/>
                <w:color w:val="auto"/>
                <w:szCs w:val="21"/>
              </w:rPr>
              <w:t>根据江苏省生态环境厅相关管理要求</w:t>
            </w:r>
            <w:r>
              <w:rPr>
                <w:rFonts w:hAnsi="宋体"/>
                <w:color w:val="auto"/>
                <w:szCs w:val="21"/>
              </w:rPr>
              <w:t>，建设单位按照《环境保护图形标志</w:t>
            </w:r>
            <w:r>
              <w:rPr>
                <w:color w:val="auto"/>
                <w:szCs w:val="21"/>
              </w:rPr>
              <w:t>—</w:t>
            </w:r>
            <w:r>
              <w:rPr>
                <w:rFonts w:hAnsi="宋体"/>
                <w:color w:val="auto"/>
                <w:szCs w:val="21"/>
              </w:rPr>
              <w:t>固体废物贮存（处置）场》（</w:t>
            </w:r>
            <w:r>
              <w:rPr>
                <w:color w:val="auto"/>
                <w:szCs w:val="21"/>
              </w:rPr>
              <w:t>GB15562.2-1995</w:t>
            </w:r>
            <w:r>
              <w:rPr>
                <w:rFonts w:hAnsi="宋体"/>
                <w:color w:val="auto"/>
                <w:szCs w:val="21"/>
              </w:rPr>
              <w:t>）</w:t>
            </w:r>
            <w:r>
              <w:rPr>
                <w:rFonts w:hint="eastAsia" w:hAnsi="宋体"/>
                <w:color w:val="auto"/>
                <w:szCs w:val="21"/>
              </w:rPr>
              <w:t>、</w:t>
            </w:r>
            <w:r>
              <w:rPr>
                <w:rFonts w:hint="eastAsia"/>
                <w:color w:val="auto"/>
                <w:szCs w:val="21"/>
              </w:rPr>
              <w:t>《危险废物识别标志设置技术规范》（HJ 1276-2022）</w:t>
            </w:r>
            <w:r>
              <w:rPr>
                <w:rFonts w:hAnsi="宋体"/>
                <w:color w:val="auto"/>
                <w:szCs w:val="21"/>
              </w:rPr>
              <w:t>设置固体废物堆放场的环境保护图形标志。</w:t>
            </w:r>
          </w:p>
          <w:p w14:paraId="1F9FE62D">
            <w:pPr>
              <w:pStyle w:val="38"/>
              <w:ind w:firstLine="482"/>
              <w:rPr>
                <w:color w:val="auto"/>
              </w:rPr>
            </w:pPr>
            <w:r>
              <w:rPr>
                <w:rFonts w:hAnsi="宋体"/>
                <w:color w:val="auto"/>
              </w:rPr>
              <w:t>表</w:t>
            </w:r>
            <w:r>
              <w:rPr>
                <w:rFonts w:hint="eastAsia"/>
                <w:color w:val="auto"/>
              </w:rPr>
              <w:t>4-</w:t>
            </w:r>
            <w:r>
              <w:rPr>
                <w:rFonts w:hint="eastAsia"/>
                <w:color w:val="auto"/>
                <w:lang w:val="en-US" w:eastAsia="zh-CN"/>
              </w:rPr>
              <w:t>10</w:t>
            </w:r>
            <w:r>
              <w:rPr>
                <w:rFonts w:hAnsi="宋体"/>
                <w:color w:val="auto"/>
              </w:rPr>
              <w:t>固废堆场的环境保护图形标志一览表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68"/>
              <w:gridCol w:w="1222"/>
              <w:gridCol w:w="984"/>
              <w:gridCol w:w="1093"/>
              <w:gridCol w:w="2251"/>
            </w:tblGrid>
            <w:tr w14:paraId="46CE2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pct"/>
                  <w:vAlign w:val="center"/>
                </w:tcPr>
                <w:p w14:paraId="4299B497">
                  <w:pPr>
                    <w:topLinePunct/>
                    <w:adjustRightInd w:val="0"/>
                    <w:snapToGrid w:val="0"/>
                    <w:jc w:val="center"/>
                    <w:rPr>
                      <w:b/>
                      <w:bCs/>
                      <w:color w:val="auto"/>
                      <w:kern w:val="0"/>
                      <w:szCs w:val="21"/>
                    </w:rPr>
                  </w:pPr>
                  <w:r>
                    <w:rPr>
                      <w:rFonts w:hAnsi="宋体"/>
                      <w:b/>
                      <w:bCs/>
                      <w:color w:val="auto"/>
                      <w:kern w:val="0"/>
                      <w:szCs w:val="21"/>
                    </w:rPr>
                    <w:t>排放口名称</w:t>
                  </w:r>
                </w:p>
              </w:tc>
              <w:tc>
                <w:tcPr>
                  <w:tcW w:w="831" w:type="pct"/>
                  <w:vAlign w:val="center"/>
                </w:tcPr>
                <w:p w14:paraId="463514D6">
                  <w:pPr>
                    <w:topLinePunct/>
                    <w:adjustRightInd w:val="0"/>
                    <w:snapToGrid w:val="0"/>
                    <w:jc w:val="center"/>
                    <w:rPr>
                      <w:b/>
                      <w:bCs/>
                      <w:color w:val="auto"/>
                      <w:kern w:val="0"/>
                      <w:szCs w:val="21"/>
                    </w:rPr>
                  </w:pPr>
                  <w:r>
                    <w:rPr>
                      <w:rFonts w:hAnsi="宋体"/>
                      <w:b/>
                      <w:bCs/>
                      <w:color w:val="auto"/>
                      <w:kern w:val="0"/>
                      <w:szCs w:val="21"/>
                    </w:rPr>
                    <w:t>图形标志</w:t>
                  </w:r>
                </w:p>
              </w:tc>
              <w:tc>
                <w:tcPr>
                  <w:tcW w:w="742" w:type="pct"/>
                  <w:vAlign w:val="center"/>
                </w:tcPr>
                <w:p w14:paraId="6AD2B00C">
                  <w:pPr>
                    <w:topLinePunct/>
                    <w:adjustRightInd w:val="0"/>
                    <w:snapToGrid w:val="0"/>
                    <w:jc w:val="center"/>
                    <w:rPr>
                      <w:b/>
                      <w:bCs/>
                      <w:color w:val="auto"/>
                      <w:kern w:val="0"/>
                      <w:szCs w:val="21"/>
                    </w:rPr>
                  </w:pPr>
                  <w:r>
                    <w:rPr>
                      <w:rFonts w:hAnsi="宋体"/>
                      <w:b/>
                      <w:bCs/>
                      <w:color w:val="auto"/>
                      <w:kern w:val="0"/>
                      <w:szCs w:val="21"/>
                    </w:rPr>
                    <w:t>形状</w:t>
                  </w:r>
                </w:p>
              </w:tc>
              <w:tc>
                <w:tcPr>
                  <w:tcW w:w="598" w:type="pct"/>
                  <w:vAlign w:val="center"/>
                </w:tcPr>
                <w:p w14:paraId="6CFAA021">
                  <w:pPr>
                    <w:topLinePunct/>
                    <w:adjustRightInd w:val="0"/>
                    <w:snapToGrid w:val="0"/>
                    <w:jc w:val="center"/>
                    <w:rPr>
                      <w:b/>
                      <w:bCs/>
                      <w:color w:val="auto"/>
                      <w:kern w:val="0"/>
                      <w:szCs w:val="21"/>
                    </w:rPr>
                  </w:pPr>
                  <w:r>
                    <w:rPr>
                      <w:rFonts w:hAnsi="宋体"/>
                      <w:b/>
                      <w:bCs/>
                      <w:color w:val="auto"/>
                      <w:kern w:val="0"/>
                      <w:szCs w:val="21"/>
                    </w:rPr>
                    <w:t>背景颜色</w:t>
                  </w:r>
                </w:p>
              </w:tc>
              <w:tc>
                <w:tcPr>
                  <w:tcW w:w="664" w:type="pct"/>
                  <w:vAlign w:val="center"/>
                </w:tcPr>
                <w:p w14:paraId="22ABFA6C">
                  <w:pPr>
                    <w:topLinePunct/>
                    <w:adjustRightInd w:val="0"/>
                    <w:snapToGrid w:val="0"/>
                    <w:jc w:val="center"/>
                    <w:rPr>
                      <w:b/>
                      <w:bCs/>
                      <w:color w:val="auto"/>
                      <w:kern w:val="0"/>
                      <w:szCs w:val="21"/>
                    </w:rPr>
                  </w:pPr>
                  <w:r>
                    <w:rPr>
                      <w:rFonts w:hAnsi="宋体"/>
                      <w:b/>
                      <w:bCs/>
                      <w:color w:val="auto"/>
                      <w:kern w:val="0"/>
                      <w:szCs w:val="21"/>
                    </w:rPr>
                    <w:t>图形颜色</w:t>
                  </w:r>
                </w:p>
              </w:tc>
              <w:tc>
                <w:tcPr>
                  <w:tcW w:w="1368" w:type="pct"/>
                  <w:vAlign w:val="center"/>
                </w:tcPr>
                <w:p w14:paraId="5B172CE9">
                  <w:pPr>
                    <w:topLinePunct/>
                    <w:adjustRightInd w:val="0"/>
                    <w:snapToGrid w:val="0"/>
                    <w:jc w:val="center"/>
                    <w:rPr>
                      <w:b/>
                      <w:bCs/>
                      <w:color w:val="auto"/>
                      <w:kern w:val="0"/>
                      <w:szCs w:val="21"/>
                    </w:rPr>
                  </w:pPr>
                  <w:r>
                    <w:rPr>
                      <w:rFonts w:hAnsi="宋体"/>
                      <w:b/>
                      <w:bCs/>
                      <w:color w:val="auto"/>
                      <w:kern w:val="0"/>
                      <w:szCs w:val="21"/>
                    </w:rPr>
                    <w:t>图形标志</w:t>
                  </w:r>
                </w:p>
              </w:tc>
            </w:tr>
            <w:tr w14:paraId="55C97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0" w:type="dxa"/>
                  <w:vAlign w:val="center"/>
                </w:tcPr>
                <w:p w14:paraId="1AAB5D19">
                  <w:pPr>
                    <w:jc w:val="center"/>
                    <w:textAlignment w:val="baseline"/>
                    <w:rPr>
                      <w:rFonts w:hAnsi="宋体"/>
                      <w:b/>
                      <w:bCs/>
                      <w:color w:val="auto"/>
                      <w:kern w:val="0"/>
                      <w:szCs w:val="21"/>
                    </w:rPr>
                  </w:pPr>
                  <w:r>
                    <w:rPr>
                      <w:color w:val="auto"/>
                      <w:kern w:val="21"/>
                      <w:szCs w:val="21"/>
                    </w:rPr>
                    <w:t>一般固废暂存场所</w:t>
                  </w:r>
                </w:p>
              </w:tc>
              <w:tc>
                <w:tcPr>
                  <w:tcW w:w="1313" w:type="dxa"/>
                  <w:vAlign w:val="center"/>
                </w:tcPr>
                <w:p w14:paraId="6F87D1F7">
                  <w:pPr>
                    <w:jc w:val="center"/>
                    <w:textAlignment w:val="baseline"/>
                    <w:rPr>
                      <w:rFonts w:hAnsi="宋体"/>
                      <w:b/>
                      <w:bCs/>
                      <w:color w:val="auto"/>
                      <w:kern w:val="0"/>
                      <w:szCs w:val="21"/>
                    </w:rPr>
                  </w:pPr>
                  <w:r>
                    <w:rPr>
                      <w:color w:val="auto"/>
                      <w:kern w:val="21"/>
                      <w:szCs w:val="21"/>
                    </w:rPr>
                    <w:t>提示标志</w:t>
                  </w:r>
                </w:p>
              </w:tc>
              <w:tc>
                <w:tcPr>
                  <w:tcW w:w="1173" w:type="dxa"/>
                  <w:vAlign w:val="center"/>
                </w:tcPr>
                <w:p w14:paraId="391A470F">
                  <w:pPr>
                    <w:jc w:val="center"/>
                    <w:textAlignment w:val="baseline"/>
                    <w:rPr>
                      <w:rFonts w:hAnsi="宋体"/>
                      <w:b/>
                      <w:bCs/>
                      <w:color w:val="auto"/>
                      <w:kern w:val="0"/>
                      <w:szCs w:val="21"/>
                    </w:rPr>
                  </w:pPr>
                  <w:r>
                    <w:rPr>
                      <w:color w:val="auto"/>
                      <w:kern w:val="21"/>
                      <w:szCs w:val="21"/>
                    </w:rPr>
                    <w:t>正方形边框</w:t>
                  </w:r>
                </w:p>
              </w:tc>
              <w:tc>
                <w:tcPr>
                  <w:tcW w:w="945" w:type="dxa"/>
                  <w:vAlign w:val="center"/>
                </w:tcPr>
                <w:p w14:paraId="42F9F20B">
                  <w:pPr>
                    <w:jc w:val="center"/>
                    <w:textAlignment w:val="baseline"/>
                    <w:rPr>
                      <w:rFonts w:hAnsi="宋体"/>
                      <w:b/>
                      <w:bCs/>
                      <w:color w:val="auto"/>
                      <w:kern w:val="0"/>
                      <w:szCs w:val="21"/>
                    </w:rPr>
                  </w:pPr>
                  <w:r>
                    <w:rPr>
                      <w:color w:val="auto"/>
                      <w:kern w:val="21"/>
                      <w:szCs w:val="21"/>
                    </w:rPr>
                    <w:t>绿色</w:t>
                  </w:r>
                </w:p>
              </w:tc>
              <w:tc>
                <w:tcPr>
                  <w:tcW w:w="1049" w:type="dxa"/>
                  <w:vAlign w:val="center"/>
                </w:tcPr>
                <w:p w14:paraId="7F800BE6">
                  <w:pPr>
                    <w:jc w:val="center"/>
                    <w:textAlignment w:val="baseline"/>
                    <w:rPr>
                      <w:rFonts w:hAnsi="宋体"/>
                      <w:b/>
                      <w:bCs/>
                      <w:color w:val="auto"/>
                      <w:kern w:val="0"/>
                      <w:szCs w:val="21"/>
                    </w:rPr>
                  </w:pPr>
                  <w:r>
                    <w:rPr>
                      <w:color w:val="auto"/>
                      <w:kern w:val="21"/>
                      <w:szCs w:val="21"/>
                    </w:rPr>
                    <w:t>白色</w:t>
                  </w:r>
                </w:p>
              </w:tc>
              <w:tc>
                <w:tcPr>
                  <w:tcW w:w="2162" w:type="dxa"/>
                  <w:vAlign w:val="center"/>
                </w:tcPr>
                <w:p w14:paraId="3747258B">
                  <w:pPr>
                    <w:jc w:val="center"/>
                    <w:textAlignment w:val="baseline"/>
                    <w:rPr>
                      <w:rFonts w:hAnsi="宋体"/>
                      <w:b/>
                      <w:bCs/>
                      <w:color w:val="auto"/>
                      <w:kern w:val="0"/>
                      <w:szCs w:val="21"/>
                    </w:rPr>
                  </w:pPr>
                  <w:r>
                    <w:rPr>
                      <w:color w:val="auto"/>
                      <w:kern w:val="21"/>
                      <w:szCs w:val="21"/>
                    </w:rPr>
                    <w:drawing>
                      <wp:inline distT="0" distB="0" distL="0" distR="0">
                        <wp:extent cx="993775" cy="702310"/>
                        <wp:effectExtent l="0" t="0" r="15875" b="254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93775" cy="702310"/>
                                </a:xfrm>
                                <a:prstGeom prst="rect">
                                  <a:avLst/>
                                </a:prstGeom>
                                <a:noFill/>
                                <a:ln>
                                  <a:noFill/>
                                </a:ln>
                              </pic:spPr>
                            </pic:pic>
                          </a:graphicData>
                        </a:graphic>
                      </wp:inline>
                    </w:drawing>
                  </w:r>
                </w:p>
              </w:tc>
            </w:tr>
            <w:tr w14:paraId="2083C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pct"/>
                  <w:vAlign w:val="center"/>
                </w:tcPr>
                <w:p w14:paraId="40347DCF">
                  <w:pPr>
                    <w:topLinePunct/>
                    <w:adjustRightInd w:val="0"/>
                    <w:snapToGrid w:val="0"/>
                    <w:rPr>
                      <w:color w:val="auto"/>
                      <w:kern w:val="0"/>
                      <w:szCs w:val="21"/>
                    </w:rPr>
                  </w:pPr>
                  <w:r>
                    <w:rPr>
                      <w:rFonts w:hAnsi="宋体"/>
                      <w:color w:val="auto"/>
                      <w:kern w:val="0"/>
                      <w:szCs w:val="21"/>
                    </w:rPr>
                    <w:t>厂区门口</w:t>
                  </w:r>
                </w:p>
              </w:tc>
              <w:tc>
                <w:tcPr>
                  <w:tcW w:w="831" w:type="pct"/>
                  <w:vAlign w:val="center"/>
                </w:tcPr>
                <w:p w14:paraId="5D7EBA60">
                  <w:pPr>
                    <w:topLinePunct/>
                    <w:adjustRightInd w:val="0"/>
                    <w:snapToGrid w:val="0"/>
                    <w:jc w:val="center"/>
                    <w:rPr>
                      <w:color w:val="auto"/>
                      <w:kern w:val="0"/>
                      <w:szCs w:val="21"/>
                    </w:rPr>
                  </w:pPr>
                  <w:r>
                    <w:rPr>
                      <w:rFonts w:hAnsi="宋体"/>
                      <w:color w:val="auto"/>
                      <w:kern w:val="0"/>
                      <w:szCs w:val="21"/>
                    </w:rPr>
                    <w:t>提示标志</w:t>
                  </w:r>
                </w:p>
              </w:tc>
              <w:tc>
                <w:tcPr>
                  <w:tcW w:w="742" w:type="pct"/>
                  <w:vAlign w:val="center"/>
                </w:tcPr>
                <w:p w14:paraId="5270192A">
                  <w:pPr>
                    <w:topLinePunct/>
                    <w:adjustRightInd w:val="0"/>
                    <w:snapToGrid w:val="0"/>
                    <w:jc w:val="center"/>
                    <w:rPr>
                      <w:color w:val="auto"/>
                      <w:kern w:val="0"/>
                      <w:szCs w:val="21"/>
                    </w:rPr>
                  </w:pPr>
                  <w:r>
                    <w:rPr>
                      <w:color w:val="auto"/>
                      <w:szCs w:val="21"/>
                    </w:rPr>
                    <w:t>120×80cm</w:t>
                  </w:r>
                </w:p>
              </w:tc>
              <w:tc>
                <w:tcPr>
                  <w:tcW w:w="598" w:type="pct"/>
                  <w:vAlign w:val="center"/>
                </w:tcPr>
                <w:p w14:paraId="39B87C85">
                  <w:pPr>
                    <w:topLinePunct/>
                    <w:adjustRightInd w:val="0"/>
                    <w:snapToGrid w:val="0"/>
                    <w:jc w:val="center"/>
                    <w:rPr>
                      <w:color w:val="auto"/>
                      <w:kern w:val="0"/>
                      <w:szCs w:val="21"/>
                    </w:rPr>
                  </w:pPr>
                  <w:r>
                    <w:rPr>
                      <w:rFonts w:hAnsi="宋体"/>
                      <w:color w:val="auto"/>
                      <w:kern w:val="0"/>
                      <w:szCs w:val="21"/>
                    </w:rPr>
                    <w:t>蓝色</w:t>
                  </w:r>
                </w:p>
              </w:tc>
              <w:tc>
                <w:tcPr>
                  <w:tcW w:w="664" w:type="pct"/>
                  <w:vAlign w:val="center"/>
                </w:tcPr>
                <w:p w14:paraId="5540143D">
                  <w:pPr>
                    <w:topLinePunct/>
                    <w:adjustRightInd w:val="0"/>
                    <w:snapToGrid w:val="0"/>
                    <w:jc w:val="center"/>
                    <w:rPr>
                      <w:color w:val="auto"/>
                      <w:kern w:val="0"/>
                      <w:szCs w:val="21"/>
                    </w:rPr>
                  </w:pPr>
                  <w:r>
                    <w:rPr>
                      <w:rFonts w:hAnsi="宋体"/>
                      <w:color w:val="auto"/>
                      <w:kern w:val="0"/>
                      <w:szCs w:val="21"/>
                    </w:rPr>
                    <w:t>白色</w:t>
                  </w:r>
                </w:p>
              </w:tc>
              <w:tc>
                <w:tcPr>
                  <w:tcW w:w="1368" w:type="pct"/>
                  <w:vAlign w:val="center"/>
                </w:tcPr>
                <w:p w14:paraId="62A404AA">
                  <w:pPr>
                    <w:topLinePunct/>
                    <w:adjustRightInd w:val="0"/>
                    <w:snapToGrid w:val="0"/>
                    <w:jc w:val="center"/>
                    <w:rPr>
                      <w:color w:val="auto"/>
                      <w:kern w:val="0"/>
                      <w:szCs w:val="21"/>
                    </w:rPr>
                  </w:pPr>
                  <w:r>
                    <w:rPr>
                      <w:color w:val="auto"/>
                      <w:szCs w:val="21"/>
                    </w:rPr>
                    <w:drawing>
                      <wp:inline distT="0" distB="0" distL="0" distR="0">
                        <wp:extent cx="924560" cy="619760"/>
                        <wp:effectExtent l="0" t="0" r="8890" b="8890"/>
                        <wp:docPr id="2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24560" cy="619760"/>
                                </a:xfrm>
                                <a:prstGeom prst="rect">
                                  <a:avLst/>
                                </a:prstGeom>
                                <a:noFill/>
                                <a:ln>
                                  <a:noFill/>
                                </a:ln>
                              </pic:spPr>
                            </pic:pic>
                          </a:graphicData>
                        </a:graphic>
                      </wp:inline>
                    </w:drawing>
                  </w:r>
                </w:p>
              </w:tc>
            </w:tr>
            <w:tr w14:paraId="6C9CB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pct"/>
                  <w:vMerge w:val="restart"/>
                  <w:vAlign w:val="center"/>
                </w:tcPr>
                <w:p w14:paraId="0AE6E5C0">
                  <w:pPr>
                    <w:topLinePunct/>
                    <w:adjustRightInd w:val="0"/>
                    <w:snapToGrid w:val="0"/>
                    <w:jc w:val="center"/>
                    <w:rPr>
                      <w:color w:val="auto"/>
                      <w:kern w:val="0"/>
                      <w:szCs w:val="21"/>
                    </w:rPr>
                  </w:pPr>
                  <w:r>
                    <w:rPr>
                      <w:rFonts w:hAnsi="宋体"/>
                      <w:color w:val="auto"/>
                      <w:kern w:val="0"/>
                      <w:szCs w:val="21"/>
                    </w:rPr>
                    <w:t>危险废物暂存场所</w:t>
                  </w:r>
                </w:p>
              </w:tc>
              <w:tc>
                <w:tcPr>
                  <w:tcW w:w="1313" w:type="dxa"/>
                  <w:vAlign w:val="center"/>
                </w:tcPr>
                <w:p w14:paraId="5826146D">
                  <w:pPr>
                    <w:jc w:val="center"/>
                    <w:textAlignment w:val="baseline"/>
                    <w:rPr>
                      <w:color w:val="auto"/>
                      <w:kern w:val="0"/>
                      <w:szCs w:val="21"/>
                    </w:rPr>
                  </w:pPr>
                  <w:r>
                    <w:rPr>
                      <w:color w:val="auto"/>
                      <w:kern w:val="21"/>
                      <w:szCs w:val="21"/>
                    </w:rPr>
                    <w:t>贮存设施内部分区警示标志牌</w:t>
                  </w:r>
                </w:p>
              </w:tc>
              <w:tc>
                <w:tcPr>
                  <w:tcW w:w="1173" w:type="dxa"/>
                  <w:vAlign w:val="center"/>
                </w:tcPr>
                <w:p w14:paraId="17E4BCD4">
                  <w:pPr>
                    <w:jc w:val="center"/>
                    <w:textAlignment w:val="baseline"/>
                    <w:rPr>
                      <w:color w:val="auto"/>
                      <w:kern w:val="0"/>
                      <w:szCs w:val="21"/>
                    </w:rPr>
                  </w:pPr>
                  <w:r>
                    <w:rPr>
                      <w:color w:val="auto"/>
                      <w:kern w:val="21"/>
                      <w:szCs w:val="21"/>
                    </w:rPr>
                    <w:t>长方形边框</w:t>
                  </w:r>
                </w:p>
              </w:tc>
              <w:tc>
                <w:tcPr>
                  <w:tcW w:w="945" w:type="dxa"/>
                  <w:vAlign w:val="center"/>
                </w:tcPr>
                <w:p w14:paraId="78ED527A">
                  <w:pPr>
                    <w:jc w:val="center"/>
                    <w:textAlignment w:val="baseline"/>
                    <w:rPr>
                      <w:color w:val="auto"/>
                      <w:kern w:val="0"/>
                      <w:szCs w:val="21"/>
                    </w:rPr>
                  </w:pPr>
                  <w:r>
                    <w:rPr>
                      <w:color w:val="auto"/>
                      <w:kern w:val="21"/>
                      <w:szCs w:val="21"/>
                    </w:rPr>
                    <w:t>黄色</w:t>
                  </w:r>
                </w:p>
              </w:tc>
              <w:tc>
                <w:tcPr>
                  <w:tcW w:w="1049" w:type="dxa"/>
                  <w:vAlign w:val="center"/>
                </w:tcPr>
                <w:p w14:paraId="1B8D2968">
                  <w:pPr>
                    <w:jc w:val="center"/>
                    <w:textAlignment w:val="baseline"/>
                    <w:rPr>
                      <w:color w:val="auto"/>
                      <w:kern w:val="0"/>
                      <w:szCs w:val="21"/>
                    </w:rPr>
                  </w:pPr>
                  <w:r>
                    <w:rPr>
                      <w:color w:val="auto"/>
                      <w:kern w:val="21"/>
                      <w:szCs w:val="21"/>
                    </w:rPr>
                    <w:t>黑色</w:t>
                  </w:r>
                </w:p>
              </w:tc>
              <w:tc>
                <w:tcPr>
                  <w:tcW w:w="2162" w:type="dxa"/>
                  <w:vAlign w:val="center"/>
                </w:tcPr>
                <w:p w14:paraId="32BB1C10">
                  <w:pPr>
                    <w:jc w:val="center"/>
                    <w:textAlignment w:val="baseline"/>
                    <w:rPr>
                      <w:color w:val="auto"/>
                      <w:kern w:val="0"/>
                      <w:szCs w:val="21"/>
                    </w:rPr>
                  </w:pPr>
                  <w:r>
                    <w:rPr>
                      <w:color w:val="auto"/>
                      <w:kern w:val="0"/>
                      <w:szCs w:val="21"/>
                    </w:rPr>
                    <w:drawing>
                      <wp:inline distT="0" distB="0" distL="0" distR="0">
                        <wp:extent cx="1031240" cy="824230"/>
                        <wp:effectExtent l="0" t="0" r="16510" b="1397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4968" r="3535" b="3107"/>
                                <a:stretch>
                                  <a:fillRect/>
                                </a:stretch>
                              </pic:blipFill>
                              <pic:spPr>
                                <a:xfrm>
                                  <a:off x="0" y="0"/>
                                  <a:ext cx="1031240" cy="824230"/>
                                </a:xfrm>
                                <a:prstGeom prst="rect">
                                  <a:avLst/>
                                </a:prstGeom>
                                <a:noFill/>
                                <a:ln>
                                  <a:noFill/>
                                </a:ln>
                              </pic:spPr>
                            </pic:pic>
                          </a:graphicData>
                        </a:graphic>
                      </wp:inline>
                    </w:drawing>
                  </w:r>
                  <w:r>
                    <w:rPr>
                      <w:color w:val="auto"/>
                      <w:szCs w:val="21"/>
                    </w:rPr>
                    <w:drawing>
                      <wp:anchor distT="0" distB="0" distL="114300" distR="114300" simplePos="0" relativeHeight="251664384" behindDoc="0" locked="0" layoutInCell="1" allowOverlap="1">
                        <wp:simplePos x="0" y="0"/>
                        <wp:positionH relativeFrom="column">
                          <wp:posOffset>5945505</wp:posOffset>
                        </wp:positionH>
                        <wp:positionV relativeFrom="paragraph">
                          <wp:posOffset>1118870</wp:posOffset>
                        </wp:positionV>
                        <wp:extent cx="499110" cy="439420"/>
                        <wp:effectExtent l="0" t="0" r="15240" b="17780"/>
                        <wp:wrapNone/>
                        <wp:docPr id="15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9110" cy="439420"/>
                                </a:xfrm>
                                <a:prstGeom prst="rect">
                                  <a:avLst/>
                                </a:prstGeom>
                                <a:noFill/>
                                <a:ln>
                                  <a:noFill/>
                                </a:ln>
                              </pic:spPr>
                            </pic:pic>
                          </a:graphicData>
                        </a:graphic>
                      </wp:anchor>
                    </w:drawing>
                  </w:r>
                </w:p>
              </w:tc>
            </w:tr>
            <w:tr w14:paraId="29A40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pct"/>
                  <w:vMerge w:val="continue"/>
                  <w:vAlign w:val="center"/>
                </w:tcPr>
                <w:p w14:paraId="34A69E59">
                  <w:pPr>
                    <w:widowControl/>
                    <w:jc w:val="left"/>
                    <w:rPr>
                      <w:color w:val="auto"/>
                      <w:kern w:val="0"/>
                      <w:szCs w:val="21"/>
                    </w:rPr>
                  </w:pPr>
                </w:p>
              </w:tc>
              <w:tc>
                <w:tcPr>
                  <w:tcW w:w="831" w:type="pct"/>
                  <w:vAlign w:val="center"/>
                </w:tcPr>
                <w:p w14:paraId="5CD480BA">
                  <w:pPr>
                    <w:topLinePunct/>
                    <w:adjustRightInd w:val="0"/>
                    <w:snapToGrid w:val="0"/>
                    <w:jc w:val="center"/>
                    <w:rPr>
                      <w:color w:val="auto"/>
                      <w:kern w:val="0"/>
                      <w:szCs w:val="21"/>
                    </w:rPr>
                  </w:pPr>
                  <w:r>
                    <w:rPr>
                      <w:rFonts w:hAnsi="宋体"/>
                      <w:color w:val="auto"/>
                      <w:kern w:val="0"/>
                      <w:szCs w:val="21"/>
                    </w:rPr>
                    <w:t>贮存设施内部分区域警示标志牌</w:t>
                  </w:r>
                </w:p>
              </w:tc>
              <w:tc>
                <w:tcPr>
                  <w:tcW w:w="742" w:type="pct"/>
                  <w:vAlign w:val="center"/>
                </w:tcPr>
                <w:p w14:paraId="36E013CE">
                  <w:pPr>
                    <w:topLinePunct/>
                    <w:adjustRightInd w:val="0"/>
                    <w:snapToGrid w:val="0"/>
                    <w:jc w:val="center"/>
                    <w:rPr>
                      <w:color w:val="auto"/>
                      <w:kern w:val="0"/>
                      <w:szCs w:val="21"/>
                    </w:rPr>
                  </w:pPr>
                  <w:r>
                    <w:rPr>
                      <w:color w:val="auto"/>
                      <w:szCs w:val="21"/>
                    </w:rPr>
                    <w:t>75×45cm</w:t>
                  </w:r>
                </w:p>
              </w:tc>
              <w:tc>
                <w:tcPr>
                  <w:tcW w:w="598" w:type="pct"/>
                  <w:vAlign w:val="center"/>
                </w:tcPr>
                <w:p w14:paraId="66A026A2">
                  <w:pPr>
                    <w:topLinePunct/>
                    <w:adjustRightInd w:val="0"/>
                    <w:snapToGrid w:val="0"/>
                    <w:jc w:val="center"/>
                    <w:rPr>
                      <w:color w:val="auto"/>
                      <w:kern w:val="0"/>
                      <w:szCs w:val="21"/>
                    </w:rPr>
                  </w:pPr>
                  <w:r>
                    <w:rPr>
                      <w:rFonts w:hAnsi="宋体"/>
                      <w:color w:val="auto"/>
                      <w:kern w:val="0"/>
                      <w:szCs w:val="21"/>
                    </w:rPr>
                    <w:t>黄色</w:t>
                  </w:r>
                </w:p>
              </w:tc>
              <w:tc>
                <w:tcPr>
                  <w:tcW w:w="664" w:type="pct"/>
                  <w:vAlign w:val="center"/>
                </w:tcPr>
                <w:p w14:paraId="702F2B40">
                  <w:pPr>
                    <w:topLinePunct/>
                    <w:adjustRightInd w:val="0"/>
                    <w:snapToGrid w:val="0"/>
                    <w:jc w:val="center"/>
                    <w:rPr>
                      <w:color w:val="auto"/>
                      <w:kern w:val="0"/>
                      <w:szCs w:val="21"/>
                    </w:rPr>
                  </w:pPr>
                  <w:r>
                    <w:rPr>
                      <w:rFonts w:hAnsi="宋体"/>
                      <w:color w:val="auto"/>
                      <w:kern w:val="0"/>
                      <w:szCs w:val="21"/>
                    </w:rPr>
                    <w:t>黑色</w:t>
                  </w:r>
                </w:p>
              </w:tc>
              <w:tc>
                <w:tcPr>
                  <w:tcW w:w="1368" w:type="pct"/>
                  <w:vAlign w:val="center"/>
                </w:tcPr>
                <w:p w14:paraId="314BA3F8">
                  <w:pPr>
                    <w:topLinePunct/>
                    <w:adjustRightInd w:val="0"/>
                    <w:snapToGrid w:val="0"/>
                    <w:jc w:val="center"/>
                    <w:rPr>
                      <w:color w:val="auto"/>
                      <w:kern w:val="0"/>
                      <w:szCs w:val="21"/>
                    </w:rPr>
                  </w:pPr>
                  <w:r>
                    <w:rPr>
                      <w:color w:val="auto"/>
                      <w:szCs w:val="21"/>
                    </w:rPr>
                    <w:drawing>
                      <wp:inline distT="0" distB="0" distL="0" distR="0">
                        <wp:extent cx="1175385" cy="731520"/>
                        <wp:effectExtent l="0" t="0" r="571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75385" cy="731520"/>
                                </a:xfrm>
                                <a:prstGeom prst="rect">
                                  <a:avLst/>
                                </a:prstGeom>
                                <a:noFill/>
                                <a:ln>
                                  <a:noFill/>
                                </a:ln>
                              </pic:spPr>
                            </pic:pic>
                          </a:graphicData>
                        </a:graphic>
                      </wp:inline>
                    </w:drawing>
                  </w:r>
                </w:p>
              </w:tc>
            </w:tr>
            <w:tr w14:paraId="74DD7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pct"/>
                  <w:vMerge w:val="continue"/>
                  <w:vAlign w:val="center"/>
                </w:tcPr>
                <w:p w14:paraId="5E8E79A7">
                  <w:pPr>
                    <w:widowControl/>
                    <w:jc w:val="left"/>
                    <w:rPr>
                      <w:color w:val="auto"/>
                      <w:kern w:val="0"/>
                      <w:szCs w:val="21"/>
                    </w:rPr>
                  </w:pPr>
                </w:p>
              </w:tc>
              <w:tc>
                <w:tcPr>
                  <w:tcW w:w="831" w:type="pct"/>
                  <w:vAlign w:val="center"/>
                </w:tcPr>
                <w:p w14:paraId="424E60C7">
                  <w:pPr>
                    <w:topLinePunct/>
                    <w:adjustRightInd w:val="0"/>
                    <w:snapToGrid w:val="0"/>
                    <w:jc w:val="center"/>
                    <w:rPr>
                      <w:color w:val="auto"/>
                      <w:kern w:val="0"/>
                      <w:szCs w:val="21"/>
                    </w:rPr>
                  </w:pPr>
                  <w:r>
                    <w:rPr>
                      <w:rFonts w:hAnsi="宋体"/>
                      <w:color w:val="auto"/>
                      <w:kern w:val="0"/>
                      <w:szCs w:val="21"/>
                    </w:rPr>
                    <w:t>包装识别标签</w:t>
                  </w:r>
                </w:p>
              </w:tc>
              <w:tc>
                <w:tcPr>
                  <w:tcW w:w="742" w:type="pct"/>
                  <w:vAlign w:val="center"/>
                </w:tcPr>
                <w:p w14:paraId="35185CCD">
                  <w:pPr>
                    <w:topLinePunct/>
                    <w:adjustRightInd w:val="0"/>
                    <w:snapToGrid w:val="0"/>
                    <w:jc w:val="center"/>
                    <w:rPr>
                      <w:color w:val="auto"/>
                      <w:kern w:val="0"/>
                      <w:szCs w:val="21"/>
                    </w:rPr>
                  </w:pPr>
                  <w:r>
                    <w:rPr>
                      <w:color w:val="auto"/>
                      <w:kern w:val="0"/>
                      <w:szCs w:val="21"/>
                    </w:rPr>
                    <w:t>20*20cm</w:t>
                  </w:r>
                </w:p>
              </w:tc>
              <w:tc>
                <w:tcPr>
                  <w:tcW w:w="598" w:type="pct"/>
                  <w:vAlign w:val="center"/>
                </w:tcPr>
                <w:p w14:paraId="39F1517F">
                  <w:pPr>
                    <w:topLinePunct/>
                    <w:adjustRightInd w:val="0"/>
                    <w:snapToGrid w:val="0"/>
                    <w:jc w:val="center"/>
                    <w:rPr>
                      <w:color w:val="auto"/>
                      <w:kern w:val="0"/>
                      <w:szCs w:val="21"/>
                    </w:rPr>
                  </w:pPr>
                  <w:r>
                    <w:rPr>
                      <w:rFonts w:hAnsi="宋体"/>
                      <w:color w:val="auto"/>
                      <w:kern w:val="0"/>
                      <w:szCs w:val="21"/>
                    </w:rPr>
                    <w:t>桔黄色</w:t>
                  </w:r>
                </w:p>
              </w:tc>
              <w:tc>
                <w:tcPr>
                  <w:tcW w:w="664" w:type="pct"/>
                  <w:vAlign w:val="center"/>
                </w:tcPr>
                <w:p w14:paraId="40C5549D">
                  <w:pPr>
                    <w:topLinePunct/>
                    <w:adjustRightInd w:val="0"/>
                    <w:snapToGrid w:val="0"/>
                    <w:jc w:val="center"/>
                    <w:rPr>
                      <w:color w:val="auto"/>
                      <w:kern w:val="0"/>
                      <w:szCs w:val="21"/>
                    </w:rPr>
                  </w:pPr>
                  <w:r>
                    <w:rPr>
                      <w:rFonts w:hAnsi="宋体"/>
                      <w:color w:val="auto"/>
                      <w:kern w:val="0"/>
                      <w:szCs w:val="21"/>
                    </w:rPr>
                    <w:t>黑色</w:t>
                  </w:r>
                </w:p>
              </w:tc>
              <w:tc>
                <w:tcPr>
                  <w:tcW w:w="1368" w:type="pct"/>
                  <w:vAlign w:val="center"/>
                </w:tcPr>
                <w:p w14:paraId="0F755CF3">
                  <w:pPr>
                    <w:topLinePunct/>
                    <w:adjustRightInd w:val="0"/>
                    <w:snapToGrid w:val="0"/>
                    <w:jc w:val="center"/>
                    <w:rPr>
                      <w:color w:val="auto"/>
                      <w:kern w:val="0"/>
                      <w:szCs w:val="21"/>
                    </w:rPr>
                  </w:pPr>
                  <w:r>
                    <w:rPr>
                      <w:color w:val="auto"/>
                      <w:szCs w:val="21"/>
                    </w:rPr>
                    <w:drawing>
                      <wp:inline distT="0" distB="0" distL="0" distR="0">
                        <wp:extent cx="852170" cy="814070"/>
                        <wp:effectExtent l="0" t="0" r="5080" b="508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52170" cy="814070"/>
                                </a:xfrm>
                                <a:prstGeom prst="rect">
                                  <a:avLst/>
                                </a:prstGeom>
                                <a:noFill/>
                                <a:ln>
                                  <a:noFill/>
                                </a:ln>
                              </pic:spPr>
                            </pic:pic>
                          </a:graphicData>
                        </a:graphic>
                      </wp:inline>
                    </w:drawing>
                  </w:r>
                </w:p>
              </w:tc>
            </w:tr>
          </w:tbl>
          <w:p w14:paraId="5C20167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Times New Roman" w:hAnsi="宋体" w:eastAsia="宋体" w:cs="Times New Roman"/>
                <w:b/>
                <w:bCs/>
                <w:color w:val="auto"/>
                <w:kern w:val="0"/>
                <w:szCs w:val="21"/>
              </w:rPr>
            </w:pPr>
            <w:r>
              <w:rPr>
                <w:rFonts w:hint="eastAsia" w:ascii="Times New Roman" w:hAnsi="宋体" w:eastAsia="宋体" w:cs="Times New Roman"/>
                <w:b/>
                <w:bCs/>
                <w:color w:val="auto"/>
                <w:kern w:val="0"/>
                <w:szCs w:val="21"/>
              </w:rPr>
              <w:t>4.7</w:t>
            </w:r>
            <w:r>
              <w:rPr>
                <w:rFonts w:ascii="Times New Roman" w:hAnsi="宋体" w:eastAsia="宋体" w:cs="Times New Roman"/>
                <w:b/>
                <w:bCs/>
                <w:color w:val="auto"/>
                <w:kern w:val="0"/>
                <w:szCs w:val="21"/>
                <w:lang w:val="en-US" w:eastAsia="zh-CN"/>
              </w:rPr>
              <w:t>铝灰渣收集、贮存过程中环境风险防范措施</w:t>
            </w:r>
          </w:p>
          <w:p w14:paraId="010CE7F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eastAsia"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val="en-US" w:eastAsia="zh-CN"/>
              </w:rPr>
              <w:t>1</w:t>
            </w:r>
            <w:r>
              <w:rPr>
                <w:rFonts w:hint="eastAsia" w:ascii="Times New Roman" w:hAnsi="宋体" w:eastAsia="宋体" w:cs="Times New Roman"/>
                <w:color w:val="auto"/>
                <w:kern w:val="0"/>
                <w:szCs w:val="21"/>
                <w:lang w:eastAsia="zh-CN"/>
              </w:rPr>
              <w:t>）</w:t>
            </w:r>
            <w:r>
              <w:rPr>
                <w:rFonts w:hint="default" w:ascii="Times New Roman" w:hAnsi="宋体" w:eastAsia="宋体" w:cs="Times New Roman"/>
                <w:color w:val="auto"/>
                <w:kern w:val="0"/>
                <w:szCs w:val="21"/>
              </w:rPr>
              <w:t>收集环节措施</w:t>
            </w:r>
          </w:p>
          <w:p w14:paraId="6108EDE2">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ascii="Times New Roman" w:hAnsi="宋体" w:eastAsia="宋体" w:cs="Times New Roman"/>
                <w:color w:val="auto"/>
                <w:kern w:val="0"/>
                <w:szCs w:val="21"/>
              </w:rPr>
            </w:pPr>
            <w:r>
              <w:rPr>
                <w:rFonts w:hint="eastAsia" w:ascii="Times New Roman" w:hAnsi="宋体" w:eastAsia="宋体" w:cs="Times New Roman"/>
                <w:color w:val="auto"/>
                <w:kern w:val="0"/>
                <w:szCs w:val="21"/>
                <w:lang w:val="en-US" w:eastAsia="zh-CN"/>
              </w:rPr>
              <w:t>1、</w:t>
            </w:r>
            <w:r>
              <w:rPr>
                <w:rFonts w:hint="default" w:ascii="Times New Roman" w:hAnsi="宋体" w:eastAsia="宋体" w:cs="Times New Roman"/>
                <w:color w:val="auto"/>
                <w:kern w:val="0"/>
                <w:szCs w:val="21"/>
              </w:rPr>
              <w:t>‌分类密闭收集‌</w:t>
            </w:r>
          </w:p>
          <w:p w14:paraId="3A59FE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采用专用防渗漏、防扬散容器单独收集铝灰渣，避免与其他废物混杂，减少反应性物质接触风险。</w:t>
            </w:r>
          </w:p>
          <w:p w14:paraId="002A94AA">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420" w:leftChars="200" w:firstLine="0" w:firstLineChars="0"/>
              <w:textAlignment w:val="auto"/>
              <w:rPr>
                <w:rFonts w:hint="default" w:ascii="Times New Roman" w:hAnsi="宋体" w:eastAsia="宋体" w:cs="Times New Roman"/>
                <w:color w:val="auto"/>
                <w:kern w:val="0"/>
                <w:szCs w:val="21"/>
              </w:rPr>
            </w:pPr>
            <w:r>
              <w:rPr>
                <w:rFonts w:hint="default" w:ascii="Times New Roman" w:hAnsi="宋体" w:eastAsia="宋体" w:cs="Times New Roman"/>
                <w:color w:val="auto"/>
                <w:kern w:val="0"/>
                <w:szCs w:val="21"/>
              </w:rPr>
              <w:t>‌台账动态管理‌</w:t>
            </w:r>
          </w:p>
          <w:p w14:paraId="4E135E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建立铝灰渣产生量、转移量、贮存量的闭环台账系统，确保数据可追溯且逻辑一致，防止非法转移或倾倒。</w:t>
            </w:r>
          </w:p>
          <w:p w14:paraId="5B86B4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宋体" w:eastAsia="宋体" w:cs="Times New Roman"/>
                <w:color w:val="auto"/>
                <w:kern w:val="0"/>
                <w:szCs w:val="21"/>
              </w:rPr>
            </w:pPr>
            <w:r>
              <w:rPr>
                <w:rFonts w:hint="eastAsia"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val="en-US" w:eastAsia="zh-CN"/>
              </w:rPr>
              <w:t>2</w:t>
            </w:r>
            <w:r>
              <w:rPr>
                <w:rFonts w:hint="eastAsia" w:ascii="Times New Roman" w:hAnsi="宋体" w:eastAsia="宋体" w:cs="Times New Roman"/>
                <w:color w:val="auto"/>
                <w:kern w:val="0"/>
                <w:szCs w:val="21"/>
                <w:lang w:eastAsia="zh-CN"/>
              </w:rPr>
              <w:t>）</w:t>
            </w:r>
            <w:r>
              <w:rPr>
                <w:rFonts w:hint="default" w:ascii="Times New Roman" w:hAnsi="宋体" w:eastAsia="宋体" w:cs="Times New Roman"/>
                <w:color w:val="auto"/>
                <w:kern w:val="0"/>
                <w:szCs w:val="21"/>
              </w:rPr>
              <w:t>贮存环节措施</w:t>
            </w:r>
          </w:p>
          <w:p w14:paraId="23D866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eastAsia" w:ascii="Times New Roman" w:hAnsi="宋体" w:eastAsia="宋体" w:cs="Times New Roman"/>
                <w:color w:val="auto"/>
                <w:kern w:val="0"/>
                <w:szCs w:val="21"/>
                <w:lang w:val="en-US" w:eastAsia="zh-CN"/>
              </w:rPr>
              <w:t>1、</w:t>
            </w:r>
            <w:r>
              <w:rPr>
                <w:rFonts w:hint="default" w:ascii="Times New Roman" w:hAnsi="宋体" w:eastAsia="宋体" w:cs="Times New Roman"/>
                <w:color w:val="auto"/>
                <w:kern w:val="0"/>
                <w:szCs w:val="21"/>
              </w:rPr>
              <w:t>‌专用贮存设施‌</w:t>
            </w:r>
          </w:p>
          <w:p w14:paraId="42B9EE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设置防渗漏、防雨淋、防流失的独立贮存场所，禁止露天堆放，并配备防爆电气设备和可燃气体探测报警装置。</w:t>
            </w:r>
          </w:p>
          <w:p w14:paraId="69C1E8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根据铝灰特性选择高位料仓、室内料坑等设施，采取防潮、防水措施，避免接触游离水引发聚热产气反应。</w:t>
            </w:r>
          </w:p>
          <w:p w14:paraId="1255DB66">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420" w:leftChars="200" w:firstLine="0" w:firstLineChars="0"/>
              <w:textAlignment w:val="auto"/>
              <w:rPr>
                <w:rFonts w:hint="default" w:ascii="Times New Roman" w:hAnsi="宋体" w:eastAsia="宋体" w:cs="Times New Roman"/>
                <w:color w:val="auto"/>
                <w:kern w:val="0"/>
                <w:szCs w:val="21"/>
              </w:rPr>
            </w:pPr>
            <w:r>
              <w:rPr>
                <w:rFonts w:hint="default" w:ascii="Times New Roman" w:hAnsi="宋体" w:eastAsia="宋体" w:cs="Times New Roman"/>
                <w:color w:val="auto"/>
                <w:kern w:val="0"/>
                <w:szCs w:val="21"/>
              </w:rPr>
              <w:t>‌标识与分区管理‌</w:t>
            </w:r>
          </w:p>
          <w:p w14:paraId="1693CD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贮存区域设置醒目标识（危险废物标签、警告标志），实施物理隔离，避免混存风险物质。</w:t>
            </w:r>
          </w:p>
          <w:p w14:paraId="3E6B73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宋体" w:eastAsia="宋体" w:cs="Times New Roman"/>
                <w:color w:val="auto"/>
                <w:kern w:val="0"/>
                <w:szCs w:val="21"/>
              </w:rPr>
            </w:pPr>
            <w:r>
              <w:rPr>
                <w:rFonts w:hint="eastAsia"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val="en-US" w:eastAsia="zh-CN"/>
              </w:rPr>
              <w:t>3</w:t>
            </w:r>
            <w:r>
              <w:rPr>
                <w:rFonts w:hint="eastAsia" w:ascii="Times New Roman" w:hAnsi="宋体" w:eastAsia="宋体" w:cs="Times New Roman"/>
                <w:color w:val="auto"/>
                <w:kern w:val="0"/>
                <w:szCs w:val="21"/>
                <w:lang w:eastAsia="zh-CN"/>
              </w:rPr>
              <w:t>）</w:t>
            </w:r>
            <w:r>
              <w:rPr>
                <w:rFonts w:hint="default" w:ascii="Times New Roman" w:hAnsi="宋体" w:eastAsia="宋体" w:cs="Times New Roman"/>
                <w:color w:val="auto"/>
                <w:kern w:val="0"/>
                <w:szCs w:val="21"/>
              </w:rPr>
              <w:t>过程监控与应急管理</w:t>
            </w:r>
          </w:p>
          <w:p w14:paraId="624801A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宋体" w:eastAsia="宋体" w:cs="Times New Roman"/>
                <w:color w:val="auto"/>
                <w:kern w:val="0"/>
                <w:szCs w:val="21"/>
              </w:rPr>
            </w:pPr>
            <w:r>
              <w:rPr>
                <w:rFonts w:hint="eastAsia" w:ascii="Times New Roman" w:hAnsi="宋体" w:eastAsia="宋体" w:cs="Times New Roman"/>
                <w:color w:val="auto"/>
                <w:kern w:val="0"/>
                <w:szCs w:val="21"/>
                <w:lang w:val="en-US" w:eastAsia="zh-CN"/>
              </w:rPr>
              <w:t>1、</w:t>
            </w:r>
            <w:r>
              <w:rPr>
                <w:rFonts w:hint="default" w:ascii="Times New Roman" w:hAnsi="宋体" w:eastAsia="宋体" w:cs="Times New Roman"/>
                <w:color w:val="auto"/>
                <w:kern w:val="0"/>
                <w:szCs w:val="21"/>
              </w:rPr>
              <w:t>‌定期巡查与监测‌</w:t>
            </w:r>
          </w:p>
          <w:p w14:paraId="584E2C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配备专人巡查贮存设施密封性、气体浓度及温度变化，监测氨气等可燃气体浓度，防范自燃或爆炸。</w:t>
            </w:r>
          </w:p>
          <w:p w14:paraId="68E94560">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200" w:firstLine="0" w:firstLineChars="0"/>
              <w:textAlignment w:val="auto"/>
              <w:rPr>
                <w:rFonts w:hint="default" w:ascii="Times New Roman" w:hAnsi="宋体" w:eastAsia="宋体" w:cs="Times New Roman"/>
                <w:color w:val="auto"/>
                <w:kern w:val="0"/>
                <w:szCs w:val="21"/>
              </w:rPr>
            </w:pPr>
            <w:r>
              <w:rPr>
                <w:rFonts w:hint="default" w:ascii="Times New Roman" w:hAnsi="宋体" w:eastAsia="宋体" w:cs="Times New Roman"/>
                <w:color w:val="auto"/>
                <w:kern w:val="0"/>
                <w:szCs w:val="21"/>
              </w:rPr>
              <w:t>‌应急设施配置‌</w:t>
            </w:r>
          </w:p>
          <w:p w14:paraId="3608F9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贮存区域周边配备消防器材、泄漏收集装置及中和药剂，制定专项应急预案并定期演练。</w:t>
            </w:r>
          </w:p>
          <w:p w14:paraId="541F94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宋体" w:eastAsia="宋体" w:cs="Times New Roman"/>
                <w:color w:val="auto"/>
                <w:kern w:val="0"/>
                <w:szCs w:val="21"/>
              </w:rPr>
            </w:pPr>
            <w:r>
              <w:rPr>
                <w:rFonts w:hint="eastAsia"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val="en-US" w:eastAsia="zh-CN"/>
              </w:rPr>
              <w:t>4</w:t>
            </w:r>
            <w:r>
              <w:rPr>
                <w:rFonts w:hint="eastAsia" w:ascii="Times New Roman" w:hAnsi="宋体" w:eastAsia="宋体" w:cs="Times New Roman"/>
                <w:color w:val="auto"/>
                <w:kern w:val="0"/>
                <w:szCs w:val="21"/>
                <w:lang w:eastAsia="zh-CN"/>
              </w:rPr>
              <w:t>）</w:t>
            </w:r>
            <w:r>
              <w:rPr>
                <w:rFonts w:hint="default" w:ascii="Times New Roman" w:hAnsi="宋体" w:eastAsia="宋体" w:cs="Times New Roman"/>
                <w:color w:val="auto"/>
                <w:kern w:val="0"/>
                <w:szCs w:val="21"/>
              </w:rPr>
              <w:t>管理机制保障</w:t>
            </w:r>
          </w:p>
          <w:p w14:paraId="353099F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宋体" w:eastAsia="宋体" w:cs="Times New Roman"/>
                <w:color w:val="auto"/>
                <w:kern w:val="0"/>
                <w:szCs w:val="21"/>
              </w:rPr>
            </w:pPr>
            <w:r>
              <w:rPr>
                <w:rFonts w:hint="eastAsia" w:ascii="Times New Roman" w:hAnsi="宋体" w:eastAsia="宋体" w:cs="Times New Roman"/>
                <w:color w:val="auto"/>
                <w:kern w:val="0"/>
                <w:szCs w:val="21"/>
                <w:lang w:val="en-US" w:eastAsia="zh-CN"/>
              </w:rPr>
              <w:t>1、</w:t>
            </w:r>
            <w:r>
              <w:rPr>
                <w:rFonts w:hint="default" w:ascii="Times New Roman" w:hAnsi="宋体" w:eastAsia="宋体" w:cs="Times New Roman"/>
                <w:color w:val="auto"/>
                <w:kern w:val="0"/>
                <w:szCs w:val="21"/>
              </w:rPr>
              <w:t>‌企业主体责任落实‌</w:t>
            </w:r>
          </w:p>
          <w:p w14:paraId="351A56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企业需完善内部管理制度，开展员工培训，强化铝灰渣环境风险意识，确保规范化操作。</w:t>
            </w:r>
          </w:p>
          <w:p w14:paraId="39676122">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200" w:firstLine="0" w:firstLineChars="0"/>
              <w:textAlignment w:val="auto"/>
              <w:rPr>
                <w:rFonts w:ascii="Times New Roman" w:hAnsi="宋体" w:eastAsia="宋体" w:cs="Times New Roman"/>
                <w:color w:val="auto"/>
                <w:kern w:val="0"/>
                <w:szCs w:val="21"/>
              </w:rPr>
            </w:pPr>
            <w:r>
              <w:rPr>
                <w:rFonts w:hint="default" w:ascii="Times New Roman" w:hAnsi="宋体" w:eastAsia="宋体" w:cs="Times New Roman"/>
                <w:color w:val="auto"/>
                <w:kern w:val="0"/>
                <w:szCs w:val="21"/>
              </w:rPr>
              <w:t>‌政府监管与</w:t>
            </w:r>
            <w:r>
              <w:rPr>
                <w:rFonts w:hint="eastAsia" w:ascii="Times New Roman" w:hAnsi="宋体" w:eastAsia="宋体" w:cs="Times New Roman"/>
                <w:color w:val="auto"/>
                <w:kern w:val="0"/>
                <w:szCs w:val="21"/>
                <w:lang w:val="en-US" w:eastAsia="zh-CN"/>
              </w:rPr>
              <w:t>帮扶</w:t>
            </w:r>
          </w:p>
          <w:p w14:paraId="40BCFB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hAnsi="宋体"/>
                <w:b/>
                <w:bCs/>
                <w:color w:val="auto"/>
                <w:szCs w:val="21"/>
              </w:rPr>
            </w:pPr>
            <w:r>
              <w:rPr>
                <w:rFonts w:hint="default" w:ascii="Times New Roman" w:hAnsi="宋体" w:eastAsia="宋体" w:cs="Times New Roman"/>
                <w:color w:val="auto"/>
                <w:kern w:val="0"/>
                <w:szCs w:val="21"/>
              </w:rPr>
              <w:t>生态环境部门通过执法检查、技术指导（如危废标识规范化）及政策宣贯，督促企业整改隐患，严控非法转移。</w:t>
            </w:r>
          </w:p>
          <w:p w14:paraId="073017F2">
            <w:pPr>
              <w:tabs>
                <w:tab w:val="left" w:pos="567"/>
                <w:tab w:val="left" w:pos="1843"/>
              </w:tabs>
              <w:adjustRightInd w:val="0"/>
              <w:snapToGrid w:val="0"/>
              <w:spacing w:line="360" w:lineRule="auto"/>
              <w:ind w:firstLine="482"/>
              <w:rPr>
                <w:b/>
                <w:bCs/>
                <w:color w:val="auto"/>
                <w:kern w:val="0"/>
                <w:sz w:val="21"/>
                <w:szCs w:val="21"/>
              </w:rPr>
            </w:pPr>
            <w:r>
              <w:rPr>
                <w:rFonts w:hint="eastAsia" w:hAnsi="宋体"/>
                <w:b/>
                <w:bCs/>
                <w:color w:val="auto"/>
                <w:szCs w:val="21"/>
                <w:lang w:val="en-US" w:eastAsia="zh-CN"/>
              </w:rPr>
              <w:t>4.8</w:t>
            </w:r>
            <w:r>
              <w:rPr>
                <w:rFonts w:hint="eastAsia"/>
                <w:b/>
                <w:bCs/>
                <w:color w:val="auto"/>
                <w:kern w:val="0"/>
                <w:sz w:val="21"/>
                <w:szCs w:val="21"/>
              </w:rPr>
              <w:t>危废仓库贮存</w:t>
            </w:r>
            <w:r>
              <w:rPr>
                <w:b/>
                <w:bCs/>
                <w:color w:val="auto"/>
                <w:kern w:val="0"/>
                <w:sz w:val="21"/>
                <w:szCs w:val="21"/>
              </w:rPr>
              <w:t>的环境影响分析</w:t>
            </w:r>
          </w:p>
          <w:p w14:paraId="180222E8">
            <w:pPr>
              <w:tabs>
                <w:tab w:val="left" w:pos="567"/>
                <w:tab w:val="left" w:pos="1843"/>
              </w:tabs>
              <w:adjustRightInd w:val="0"/>
              <w:snapToGrid w:val="0"/>
              <w:spacing w:line="360" w:lineRule="auto"/>
              <w:ind w:firstLine="482"/>
              <w:rPr>
                <w:color w:val="auto"/>
                <w:kern w:val="0"/>
                <w:sz w:val="21"/>
                <w:szCs w:val="21"/>
              </w:rPr>
            </w:pPr>
            <w:r>
              <w:rPr>
                <w:rFonts w:hint="eastAsia"/>
                <w:color w:val="auto"/>
                <w:kern w:val="0"/>
                <w:sz w:val="21"/>
                <w:szCs w:val="21"/>
              </w:rPr>
              <w:t>公司危险废物贮存场所满足《危险废物贮存污染控制标准》（GB18597-2023）相关要求，危险废物贮存场所（设施）基本情况见表4</w:t>
            </w:r>
            <w:r>
              <w:rPr>
                <w:rFonts w:hint="eastAsia"/>
                <w:color w:val="auto"/>
                <w:kern w:val="0"/>
                <w:sz w:val="21"/>
                <w:szCs w:val="21"/>
                <w:lang w:val="en-US" w:eastAsia="zh-CN"/>
              </w:rPr>
              <w:t>-11</w:t>
            </w:r>
            <w:r>
              <w:rPr>
                <w:rFonts w:hint="eastAsia"/>
                <w:color w:val="auto"/>
                <w:kern w:val="0"/>
                <w:sz w:val="21"/>
                <w:szCs w:val="21"/>
              </w:rPr>
              <w:t>。</w:t>
            </w:r>
          </w:p>
          <w:p w14:paraId="4F6DD966">
            <w:pPr>
              <w:adjustRightInd w:val="0"/>
              <w:snapToGrid w:val="0"/>
              <w:spacing w:line="240" w:lineRule="auto"/>
              <w:ind w:firstLine="482"/>
              <w:jc w:val="center"/>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-11</w:t>
            </w:r>
            <w:r>
              <w:rPr>
                <w:rFonts w:hint="eastAsia"/>
                <w:b/>
                <w:color w:val="auto"/>
                <w:kern w:val="0"/>
                <w:sz w:val="21"/>
                <w:szCs w:val="21"/>
              </w:rPr>
              <w:t>危废贮存设施污染防治措施</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85"/>
              <w:gridCol w:w="380"/>
              <w:gridCol w:w="3837"/>
              <w:gridCol w:w="2748"/>
              <w:gridCol w:w="879"/>
            </w:tblGrid>
            <w:tr w14:paraId="24A722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noWrap w:val="0"/>
                  <w:vAlign w:val="center"/>
                </w:tcPr>
                <w:p w14:paraId="3357CD0E">
                  <w:pPr>
                    <w:topLinePunct/>
                    <w:adjustRightInd w:val="0"/>
                    <w:snapToGrid w:val="0"/>
                    <w:spacing w:line="240" w:lineRule="auto"/>
                    <w:jc w:val="center"/>
                    <w:rPr>
                      <w:rFonts w:eastAsia="宋体"/>
                      <w:b/>
                      <w:bCs/>
                      <w:color w:val="auto"/>
                      <w:kern w:val="0"/>
                      <w:sz w:val="21"/>
                      <w:szCs w:val="21"/>
                    </w:rPr>
                  </w:pPr>
                  <w:r>
                    <w:rPr>
                      <w:rFonts w:hAnsi="宋体" w:eastAsia="宋体"/>
                      <w:b/>
                      <w:bCs/>
                      <w:color w:val="auto"/>
                      <w:kern w:val="0"/>
                      <w:sz w:val="21"/>
                      <w:szCs w:val="21"/>
                    </w:rPr>
                    <w:t>类别</w:t>
                  </w:r>
                </w:p>
              </w:tc>
              <w:tc>
                <w:tcPr>
                  <w:tcW w:w="2562" w:type="pct"/>
                  <w:gridSpan w:val="2"/>
                  <w:noWrap w:val="0"/>
                  <w:vAlign w:val="center"/>
                </w:tcPr>
                <w:p w14:paraId="4460C1B0">
                  <w:pPr>
                    <w:topLinePunct/>
                    <w:adjustRightInd w:val="0"/>
                    <w:snapToGrid w:val="0"/>
                    <w:spacing w:line="240" w:lineRule="auto"/>
                    <w:jc w:val="center"/>
                    <w:rPr>
                      <w:rFonts w:eastAsia="宋体"/>
                      <w:b/>
                      <w:bCs/>
                      <w:color w:val="auto"/>
                      <w:kern w:val="0"/>
                      <w:sz w:val="21"/>
                      <w:szCs w:val="21"/>
                    </w:rPr>
                  </w:pPr>
                  <w:r>
                    <w:rPr>
                      <w:rFonts w:hAnsi="宋体" w:eastAsia="宋体"/>
                      <w:b/>
                      <w:bCs/>
                      <w:color w:val="auto"/>
                      <w:kern w:val="0"/>
                      <w:sz w:val="21"/>
                      <w:szCs w:val="21"/>
                    </w:rPr>
                    <w:t>具体建设要求</w:t>
                  </w:r>
                </w:p>
              </w:tc>
              <w:tc>
                <w:tcPr>
                  <w:tcW w:w="1669" w:type="pct"/>
                  <w:noWrap w:val="0"/>
                  <w:vAlign w:val="center"/>
                </w:tcPr>
                <w:p w14:paraId="3165AE6E">
                  <w:pPr>
                    <w:topLinePunct/>
                    <w:adjustRightInd w:val="0"/>
                    <w:snapToGrid w:val="0"/>
                    <w:spacing w:line="240" w:lineRule="auto"/>
                    <w:jc w:val="center"/>
                    <w:rPr>
                      <w:rFonts w:eastAsia="宋体"/>
                      <w:b/>
                      <w:bCs/>
                      <w:color w:val="auto"/>
                      <w:kern w:val="0"/>
                      <w:sz w:val="21"/>
                      <w:szCs w:val="21"/>
                    </w:rPr>
                  </w:pPr>
                  <w:r>
                    <w:rPr>
                      <w:rFonts w:hAnsi="宋体" w:eastAsia="宋体"/>
                      <w:b/>
                      <w:bCs/>
                      <w:color w:val="auto"/>
                      <w:kern w:val="0"/>
                      <w:sz w:val="21"/>
                      <w:szCs w:val="21"/>
                    </w:rPr>
                    <w:t>本项目拟采取污染防治措施</w:t>
                  </w:r>
                </w:p>
              </w:tc>
              <w:tc>
                <w:tcPr>
                  <w:tcW w:w="534" w:type="pct"/>
                  <w:noWrap w:val="0"/>
                  <w:vAlign w:val="center"/>
                </w:tcPr>
                <w:p w14:paraId="5225EA3B">
                  <w:pPr>
                    <w:topLinePunct/>
                    <w:adjustRightInd w:val="0"/>
                    <w:snapToGrid w:val="0"/>
                    <w:spacing w:line="240" w:lineRule="auto"/>
                    <w:jc w:val="center"/>
                    <w:rPr>
                      <w:rFonts w:hAnsi="宋体" w:eastAsia="宋体"/>
                      <w:b/>
                      <w:bCs/>
                      <w:color w:val="auto"/>
                      <w:kern w:val="0"/>
                      <w:sz w:val="21"/>
                      <w:szCs w:val="21"/>
                    </w:rPr>
                  </w:pPr>
                  <w:r>
                    <w:rPr>
                      <w:rFonts w:hint="eastAsia" w:hAnsi="宋体" w:eastAsia="宋体"/>
                      <w:b/>
                      <w:bCs/>
                      <w:color w:val="auto"/>
                      <w:kern w:val="0"/>
                      <w:sz w:val="21"/>
                      <w:szCs w:val="21"/>
                    </w:rPr>
                    <w:t>相符性</w:t>
                  </w:r>
                </w:p>
              </w:tc>
            </w:tr>
            <w:tr w14:paraId="123D01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restart"/>
                  <w:noWrap w:val="0"/>
                  <w:vAlign w:val="center"/>
                </w:tcPr>
                <w:p w14:paraId="69DA5A06">
                  <w:pPr>
                    <w:topLinePunct/>
                    <w:adjustRightInd w:val="0"/>
                    <w:snapToGrid w:val="0"/>
                    <w:spacing w:line="240" w:lineRule="auto"/>
                    <w:jc w:val="center"/>
                    <w:rPr>
                      <w:rFonts w:eastAsia="宋体"/>
                      <w:bCs/>
                      <w:color w:val="auto"/>
                      <w:kern w:val="0"/>
                      <w:sz w:val="21"/>
                      <w:szCs w:val="21"/>
                    </w:rPr>
                  </w:pPr>
                  <w:r>
                    <w:rPr>
                      <w:rFonts w:hAnsi="宋体" w:eastAsia="宋体"/>
                      <w:bCs/>
                      <w:color w:val="auto"/>
                      <w:kern w:val="0"/>
                      <w:sz w:val="21"/>
                      <w:szCs w:val="21"/>
                    </w:rPr>
                    <w:t>贮存设施控制要求</w:t>
                  </w:r>
                </w:p>
              </w:tc>
              <w:tc>
                <w:tcPr>
                  <w:tcW w:w="230" w:type="pct"/>
                  <w:vMerge w:val="restart"/>
                  <w:noWrap w:val="0"/>
                  <w:vAlign w:val="center"/>
                </w:tcPr>
                <w:p w14:paraId="03BF9B41">
                  <w:pPr>
                    <w:topLinePunct/>
                    <w:adjustRightInd w:val="0"/>
                    <w:snapToGrid w:val="0"/>
                    <w:spacing w:line="240" w:lineRule="auto"/>
                    <w:jc w:val="center"/>
                    <w:rPr>
                      <w:rFonts w:eastAsia="宋体"/>
                      <w:bCs/>
                      <w:color w:val="auto"/>
                      <w:kern w:val="0"/>
                      <w:sz w:val="21"/>
                      <w:szCs w:val="21"/>
                    </w:rPr>
                  </w:pPr>
                  <w:r>
                    <w:rPr>
                      <w:rFonts w:hAnsi="宋体" w:eastAsia="宋体"/>
                      <w:bCs/>
                      <w:color w:val="auto"/>
                      <w:kern w:val="0"/>
                      <w:sz w:val="21"/>
                      <w:szCs w:val="21"/>
                    </w:rPr>
                    <w:t>一般规定</w:t>
                  </w:r>
                </w:p>
              </w:tc>
              <w:tc>
                <w:tcPr>
                  <w:tcW w:w="2331" w:type="pct"/>
                  <w:noWrap w:val="0"/>
                  <w:vAlign w:val="center"/>
                </w:tcPr>
                <w:p w14:paraId="0DC873D9">
                  <w:pPr>
                    <w:topLinePunct/>
                    <w:adjustRightInd w:val="0"/>
                    <w:snapToGrid w:val="0"/>
                    <w:spacing w:line="240" w:lineRule="auto"/>
                    <w:jc w:val="center"/>
                    <w:rPr>
                      <w:rFonts w:eastAsia="宋体"/>
                      <w:bCs/>
                      <w:color w:val="auto"/>
                      <w:kern w:val="0"/>
                      <w:sz w:val="21"/>
                      <w:szCs w:val="21"/>
                    </w:rPr>
                  </w:pPr>
                  <w:r>
                    <w:rPr>
                      <w:rFonts w:eastAsia="宋体"/>
                      <w:bCs/>
                      <w:color w:val="auto"/>
                      <w:kern w:val="0"/>
                      <w:sz w:val="21"/>
                      <w:szCs w:val="21"/>
                    </w:rPr>
                    <w:t>6.1.1</w:t>
                  </w:r>
                  <w:r>
                    <w:rPr>
                      <w:rFonts w:hAnsi="宋体" w:eastAsia="宋体"/>
                      <w:bCs/>
                      <w:color w:val="auto"/>
                      <w:kern w:val="0"/>
                      <w:sz w:val="21"/>
                      <w:szCs w:val="21"/>
                    </w:rPr>
                    <w:t>贮存设施应根据危险废物的形态、物理化学性质、包装形式和污染物迁移途径，采取必要的防风、防晒、防雨、防漏、防渗、防腐以及其他环境污染防治措施，不应露天堆放危险废物。</w:t>
                  </w:r>
                </w:p>
              </w:tc>
              <w:tc>
                <w:tcPr>
                  <w:tcW w:w="1669" w:type="pct"/>
                  <w:noWrap w:val="0"/>
                  <w:vAlign w:val="center"/>
                </w:tcPr>
                <w:p w14:paraId="4FAD51D4">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危废均室内存储，</w:t>
                  </w:r>
                  <w:r>
                    <w:rPr>
                      <w:rFonts w:hint="eastAsia" w:eastAsia="宋体"/>
                      <w:bCs/>
                      <w:color w:val="auto"/>
                      <w:kern w:val="0"/>
                      <w:sz w:val="21"/>
                      <w:szCs w:val="21"/>
                      <w:lang w:eastAsia="zh-CN"/>
                    </w:rPr>
                    <w:t>要求企业对危废仓库</w:t>
                  </w:r>
                  <w:r>
                    <w:rPr>
                      <w:rFonts w:hint="eastAsia" w:eastAsia="宋体"/>
                      <w:bCs/>
                      <w:color w:val="auto"/>
                      <w:kern w:val="0"/>
                      <w:sz w:val="21"/>
                      <w:szCs w:val="21"/>
                    </w:rPr>
                    <w:t>地面采用基础防渗，底部加设土工膜，防渗等级满足防渗要求，</w:t>
                  </w:r>
                  <w:r>
                    <w:rPr>
                      <w:rFonts w:eastAsia="宋体"/>
                      <w:bCs/>
                      <w:color w:val="auto"/>
                      <w:kern w:val="0"/>
                      <w:sz w:val="21"/>
                      <w:szCs w:val="21"/>
                    </w:rPr>
                    <w:t>防风、防晒、防雨、防漏、防渗、防腐</w:t>
                  </w:r>
                  <w:r>
                    <w:rPr>
                      <w:rFonts w:hint="eastAsia" w:eastAsia="宋体"/>
                      <w:bCs/>
                      <w:color w:val="auto"/>
                      <w:kern w:val="0"/>
                      <w:sz w:val="21"/>
                      <w:szCs w:val="21"/>
                    </w:rPr>
                    <w:t>。</w:t>
                  </w:r>
                </w:p>
              </w:tc>
              <w:tc>
                <w:tcPr>
                  <w:tcW w:w="534" w:type="pct"/>
                  <w:noWrap w:val="0"/>
                  <w:vAlign w:val="center"/>
                </w:tcPr>
                <w:p w14:paraId="3CDF0936">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lang w:eastAsia="zh-CN"/>
                    </w:rPr>
                    <w:t>整改后</w:t>
                  </w:r>
                  <w:r>
                    <w:rPr>
                      <w:rFonts w:hint="eastAsia" w:eastAsia="宋体"/>
                      <w:bCs/>
                      <w:color w:val="auto"/>
                      <w:kern w:val="0"/>
                      <w:sz w:val="21"/>
                      <w:szCs w:val="21"/>
                    </w:rPr>
                    <w:t>相符</w:t>
                  </w:r>
                </w:p>
              </w:tc>
            </w:tr>
            <w:tr w14:paraId="1705E9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3FE6F08F">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03B6D22E">
                  <w:pPr>
                    <w:topLinePunct/>
                    <w:adjustRightInd w:val="0"/>
                    <w:snapToGrid w:val="0"/>
                    <w:spacing w:line="240" w:lineRule="auto"/>
                    <w:jc w:val="center"/>
                    <w:rPr>
                      <w:rFonts w:eastAsia="宋体"/>
                      <w:bCs/>
                      <w:color w:val="auto"/>
                      <w:kern w:val="0"/>
                      <w:sz w:val="21"/>
                      <w:szCs w:val="21"/>
                    </w:rPr>
                  </w:pPr>
                </w:p>
              </w:tc>
              <w:tc>
                <w:tcPr>
                  <w:tcW w:w="2331" w:type="pct"/>
                  <w:noWrap w:val="0"/>
                  <w:vAlign w:val="center"/>
                </w:tcPr>
                <w:p w14:paraId="59E2DA51">
                  <w:pPr>
                    <w:topLinePunct/>
                    <w:adjustRightInd w:val="0"/>
                    <w:snapToGrid w:val="0"/>
                    <w:spacing w:line="240" w:lineRule="auto"/>
                    <w:jc w:val="center"/>
                    <w:rPr>
                      <w:rFonts w:eastAsia="宋体"/>
                      <w:bCs/>
                      <w:color w:val="auto"/>
                      <w:kern w:val="0"/>
                      <w:sz w:val="21"/>
                      <w:szCs w:val="21"/>
                    </w:rPr>
                  </w:pPr>
                  <w:r>
                    <w:rPr>
                      <w:rFonts w:eastAsia="宋体"/>
                      <w:bCs/>
                      <w:color w:val="auto"/>
                      <w:kern w:val="0"/>
                      <w:sz w:val="21"/>
                      <w:szCs w:val="21"/>
                    </w:rPr>
                    <w:t>6.1.2</w:t>
                  </w:r>
                  <w:r>
                    <w:rPr>
                      <w:rFonts w:hAnsi="宋体" w:eastAsia="宋体"/>
                      <w:bCs/>
                      <w:color w:val="auto"/>
                      <w:kern w:val="0"/>
                      <w:sz w:val="21"/>
                      <w:szCs w:val="21"/>
                    </w:rPr>
                    <w:t>贮存设施应根据危险废物的类别、数量、形态、物理化学性质和污染防治等要求设置必要的</w:t>
                  </w:r>
                  <w:r>
                    <w:rPr>
                      <w:rFonts w:hint="eastAsia" w:hAnsi="宋体" w:eastAsia="宋体"/>
                      <w:bCs/>
                      <w:color w:val="auto"/>
                      <w:kern w:val="0"/>
                      <w:sz w:val="21"/>
                      <w:szCs w:val="21"/>
                    </w:rPr>
                    <w:t>贮存</w:t>
                  </w:r>
                  <w:r>
                    <w:rPr>
                      <w:rFonts w:hAnsi="宋体" w:eastAsia="宋体"/>
                      <w:bCs/>
                      <w:color w:val="auto"/>
                      <w:kern w:val="0"/>
                      <w:sz w:val="21"/>
                      <w:szCs w:val="21"/>
                    </w:rPr>
                    <w:t>分区，避免不相容的危险废物接触、混合。</w:t>
                  </w:r>
                </w:p>
              </w:tc>
              <w:tc>
                <w:tcPr>
                  <w:tcW w:w="1669" w:type="pct"/>
                  <w:noWrap w:val="0"/>
                  <w:vAlign w:val="center"/>
                </w:tcPr>
                <w:p w14:paraId="3453087F">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本项目根据危险废物的类别</w:t>
                  </w:r>
                  <w:r>
                    <w:rPr>
                      <w:rFonts w:hAnsi="宋体" w:eastAsia="宋体"/>
                      <w:bCs/>
                      <w:color w:val="auto"/>
                      <w:kern w:val="0"/>
                      <w:sz w:val="21"/>
                      <w:szCs w:val="21"/>
                    </w:rPr>
                    <w:t>数量、形态、物理化学性</w:t>
                  </w:r>
                  <w:r>
                    <w:rPr>
                      <w:rFonts w:hint="eastAsia" w:hAnsi="宋体" w:eastAsia="宋体"/>
                      <w:bCs/>
                      <w:color w:val="auto"/>
                      <w:kern w:val="0"/>
                      <w:sz w:val="21"/>
                      <w:szCs w:val="21"/>
                    </w:rPr>
                    <w:t>分区存储。</w:t>
                  </w:r>
                </w:p>
              </w:tc>
              <w:tc>
                <w:tcPr>
                  <w:tcW w:w="534" w:type="pct"/>
                  <w:noWrap w:val="0"/>
                  <w:vAlign w:val="center"/>
                </w:tcPr>
                <w:p w14:paraId="47C0DB19">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相符</w:t>
                  </w:r>
                </w:p>
              </w:tc>
            </w:tr>
            <w:tr w14:paraId="6210A8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12B95E40">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416216BC">
                  <w:pPr>
                    <w:topLinePunct/>
                    <w:adjustRightInd w:val="0"/>
                    <w:snapToGrid w:val="0"/>
                    <w:spacing w:line="240" w:lineRule="auto"/>
                    <w:jc w:val="center"/>
                    <w:rPr>
                      <w:rFonts w:eastAsia="宋体"/>
                      <w:bCs/>
                      <w:color w:val="auto"/>
                      <w:kern w:val="0"/>
                      <w:sz w:val="21"/>
                      <w:szCs w:val="21"/>
                    </w:rPr>
                  </w:pPr>
                </w:p>
              </w:tc>
              <w:tc>
                <w:tcPr>
                  <w:tcW w:w="2331" w:type="pct"/>
                  <w:noWrap w:val="0"/>
                  <w:vAlign w:val="center"/>
                </w:tcPr>
                <w:p w14:paraId="4FF31586">
                  <w:pPr>
                    <w:topLinePunct/>
                    <w:adjustRightInd w:val="0"/>
                    <w:snapToGrid w:val="0"/>
                    <w:spacing w:line="240" w:lineRule="auto"/>
                    <w:jc w:val="center"/>
                    <w:rPr>
                      <w:rFonts w:eastAsia="宋体"/>
                      <w:bCs/>
                      <w:color w:val="auto"/>
                      <w:kern w:val="0"/>
                      <w:sz w:val="21"/>
                      <w:szCs w:val="21"/>
                    </w:rPr>
                  </w:pPr>
                  <w:r>
                    <w:rPr>
                      <w:rFonts w:eastAsia="宋体"/>
                      <w:bCs/>
                      <w:color w:val="auto"/>
                      <w:kern w:val="0"/>
                      <w:sz w:val="21"/>
                      <w:szCs w:val="21"/>
                    </w:rPr>
                    <w:t xml:space="preserve">6.1.3 </w:t>
                  </w:r>
                  <w:r>
                    <w:rPr>
                      <w:rFonts w:hAnsi="宋体" w:eastAsia="宋体"/>
                      <w:bCs/>
                      <w:color w:val="auto"/>
                      <w:kern w:val="0"/>
                      <w:sz w:val="21"/>
                      <w:szCs w:val="21"/>
                    </w:rPr>
                    <w:t>贮存设施或贮存分区内地面、墙面裙脚、堵截泄漏的围堰、接触危险废物的隔板和墙体等应采用坚固的材料建造，表面无裂缝。</w:t>
                  </w:r>
                </w:p>
              </w:tc>
              <w:tc>
                <w:tcPr>
                  <w:tcW w:w="1669" w:type="pct"/>
                  <w:noWrap w:val="0"/>
                  <w:vAlign w:val="center"/>
                </w:tcPr>
                <w:p w14:paraId="323D4546">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按照规定</w:t>
                  </w:r>
                  <w:r>
                    <w:rPr>
                      <w:rFonts w:hAnsi="宋体" w:eastAsia="宋体"/>
                      <w:bCs/>
                      <w:color w:val="auto"/>
                      <w:kern w:val="0"/>
                      <w:sz w:val="21"/>
                      <w:szCs w:val="21"/>
                    </w:rPr>
                    <w:t>地面、墙面裙脚、堵截泄漏的围堰、接触危险废物的隔板</w:t>
                  </w:r>
                  <w:r>
                    <w:rPr>
                      <w:rFonts w:hint="eastAsia" w:hAnsi="宋体" w:eastAsia="宋体"/>
                      <w:bCs/>
                      <w:color w:val="auto"/>
                      <w:kern w:val="0"/>
                      <w:sz w:val="21"/>
                      <w:szCs w:val="21"/>
                    </w:rPr>
                    <w:t>等采取防渗涂料，表面无裂缝。</w:t>
                  </w:r>
                </w:p>
              </w:tc>
              <w:tc>
                <w:tcPr>
                  <w:tcW w:w="534" w:type="pct"/>
                  <w:noWrap w:val="0"/>
                  <w:vAlign w:val="center"/>
                </w:tcPr>
                <w:p w14:paraId="0D30DD87">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lang w:eastAsia="zh-CN"/>
                    </w:rPr>
                    <w:t>整改后</w:t>
                  </w:r>
                  <w:r>
                    <w:rPr>
                      <w:rFonts w:hint="eastAsia" w:eastAsia="宋体"/>
                      <w:bCs/>
                      <w:color w:val="auto"/>
                      <w:kern w:val="0"/>
                      <w:sz w:val="21"/>
                      <w:szCs w:val="21"/>
                    </w:rPr>
                    <w:t>相符</w:t>
                  </w:r>
                </w:p>
              </w:tc>
            </w:tr>
            <w:tr w14:paraId="5C1BA7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4A733F26">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24792421">
                  <w:pPr>
                    <w:topLinePunct/>
                    <w:adjustRightInd w:val="0"/>
                    <w:snapToGrid w:val="0"/>
                    <w:spacing w:line="240" w:lineRule="auto"/>
                    <w:jc w:val="center"/>
                    <w:rPr>
                      <w:rFonts w:eastAsia="宋体"/>
                      <w:bCs/>
                      <w:color w:val="auto"/>
                      <w:kern w:val="0"/>
                      <w:sz w:val="21"/>
                      <w:szCs w:val="21"/>
                    </w:rPr>
                  </w:pPr>
                </w:p>
              </w:tc>
              <w:tc>
                <w:tcPr>
                  <w:tcW w:w="2331" w:type="pct"/>
                  <w:noWrap w:val="0"/>
                  <w:vAlign w:val="center"/>
                </w:tcPr>
                <w:p w14:paraId="0886CF58">
                  <w:pPr>
                    <w:autoSpaceDE w:val="0"/>
                    <w:autoSpaceDN w:val="0"/>
                    <w:adjustRightInd w:val="0"/>
                    <w:spacing w:line="240" w:lineRule="auto"/>
                    <w:jc w:val="center"/>
                    <w:rPr>
                      <w:rFonts w:eastAsia="宋体"/>
                      <w:bCs/>
                      <w:color w:val="auto"/>
                      <w:kern w:val="0"/>
                      <w:sz w:val="21"/>
                      <w:szCs w:val="21"/>
                    </w:rPr>
                  </w:pPr>
                  <w:r>
                    <w:rPr>
                      <w:rFonts w:ascii="黑体" w:hAnsi="Calibri" w:eastAsia="黑体" w:cs="黑体"/>
                      <w:color w:val="auto"/>
                      <w:kern w:val="0"/>
                      <w:sz w:val="21"/>
                      <w:szCs w:val="21"/>
                    </w:rPr>
                    <w:t>6</w:t>
                  </w:r>
                  <w:r>
                    <w:rPr>
                      <w:rFonts w:eastAsia="宋体"/>
                      <w:bCs/>
                      <w:color w:val="auto"/>
                      <w:kern w:val="0"/>
                      <w:sz w:val="21"/>
                      <w:szCs w:val="21"/>
                    </w:rPr>
                    <w:t xml:space="preserve">.1.4 </w:t>
                  </w:r>
                  <w:r>
                    <w:rPr>
                      <w:rFonts w:hint="eastAsia" w:eastAsia="宋体"/>
                      <w:bCs/>
                      <w:color w:val="auto"/>
                      <w:kern w:val="0"/>
                      <w:sz w:val="21"/>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eastAsia="宋体"/>
                      <w:bCs/>
                      <w:color w:val="auto"/>
                      <w:kern w:val="0"/>
                      <w:sz w:val="21"/>
                      <w:szCs w:val="21"/>
                    </w:rPr>
                    <w:t xml:space="preserve">1 m </w:t>
                  </w:r>
                  <w:r>
                    <w:rPr>
                      <w:rFonts w:hint="eastAsia" w:eastAsia="宋体"/>
                      <w:bCs/>
                      <w:color w:val="auto"/>
                      <w:kern w:val="0"/>
                      <w:sz w:val="21"/>
                      <w:szCs w:val="21"/>
                    </w:rPr>
                    <w:t>厚黏土层（渗透系数不大于</w:t>
                  </w:r>
                  <w:r>
                    <w:rPr>
                      <w:rFonts w:eastAsia="宋体"/>
                      <w:bCs/>
                      <w:color w:val="auto"/>
                      <w:kern w:val="0"/>
                      <w:sz w:val="21"/>
                      <w:szCs w:val="21"/>
                    </w:rPr>
                    <w:t>10</w:t>
                  </w:r>
                  <w:r>
                    <w:rPr>
                      <w:rFonts w:eastAsia="宋体"/>
                      <w:bCs/>
                      <w:color w:val="auto"/>
                      <w:kern w:val="0"/>
                      <w:sz w:val="21"/>
                      <w:szCs w:val="21"/>
                      <w:vertAlign w:val="superscript"/>
                    </w:rPr>
                    <w:t xml:space="preserve">-7 </w:t>
                  </w:r>
                  <w:r>
                    <w:rPr>
                      <w:rFonts w:eastAsia="宋体"/>
                      <w:bCs/>
                      <w:color w:val="auto"/>
                      <w:kern w:val="0"/>
                      <w:sz w:val="21"/>
                      <w:szCs w:val="21"/>
                    </w:rPr>
                    <w:t>cm/s</w:t>
                  </w:r>
                  <w:r>
                    <w:rPr>
                      <w:rFonts w:hint="eastAsia" w:eastAsia="宋体"/>
                      <w:bCs/>
                      <w:color w:val="auto"/>
                      <w:kern w:val="0"/>
                      <w:sz w:val="21"/>
                      <w:szCs w:val="21"/>
                    </w:rPr>
                    <w:t>），或至少</w:t>
                  </w:r>
                  <w:r>
                    <w:rPr>
                      <w:rFonts w:eastAsia="宋体"/>
                      <w:bCs/>
                      <w:color w:val="auto"/>
                      <w:kern w:val="0"/>
                      <w:sz w:val="21"/>
                      <w:szCs w:val="21"/>
                    </w:rPr>
                    <w:t xml:space="preserve">2 mm </w:t>
                  </w:r>
                  <w:r>
                    <w:rPr>
                      <w:rFonts w:hint="eastAsia" w:eastAsia="宋体"/>
                      <w:bCs/>
                      <w:color w:val="auto"/>
                      <w:kern w:val="0"/>
                      <w:sz w:val="21"/>
                      <w:szCs w:val="21"/>
                    </w:rPr>
                    <w:t>厚高密度聚乙烯膜等人工防渗材料（渗透系数不大于</w:t>
                  </w:r>
                  <w:r>
                    <w:rPr>
                      <w:rFonts w:eastAsia="宋体"/>
                      <w:bCs/>
                      <w:color w:val="auto"/>
                      <w:kern w:val="0"/>
                      <w:sz w:val="21"/>
                      <w:szCs w:val="21"/>
                    </w:rPr>
                    <w:t>10</w:t>
                  </w:r>
                  <w:r>
                    <w:rPr>
                      <w:rFonts w:eastAsia="宋体"/>
                      <w:bCs/>
                      <w:color w:val="auto"/>
                      <w:kern w:val="0"/>
                      <w:sz w:val="21"/>
                      <w:szCs w:val="21"/>
                      <w:vertAlign w:val="superscript"/>
                    </w:rPr>
                    <w:t>-10</w:t>
                  </w:r>
                  <w:r>
                    <w:rPr>
                      <w:rFonts w:eastAsia="宋体"/>
                      <w:bCs/>
                      <w:color w:val="auto"/>
                      <w:kern w:val="0"/>
                      <w:sz w:val="21"/>
                      <w:szCs w:val="21"/>
                    </w:rPr>
                    <w:t xml:space="preserve"> cm/s</w:t>
                  </w:r>
                  <w:r>
                    <w:rPr>
                      <w:rFonts w:hint="eastAsia" w:eastAsia="宋体"/>
                      <w:bCs/>
                      <w:color w:val="auto"/>
                      <w:kern w:val="0"/>
                      <w:sz w:val="21"/>
                      <w:szCs w:val="21"/>
                    </w:rPr>
                    <w:t>），或其他防渗性能等效的材料。</w:t>
                  </w:r>
                </w:p>
              </w:tc>
              <w:tc>
                <w:tcPr>
                  <w:tcW w:w="1669" w:type="pct"/>
                  <w:noWrap w:val="0"/>
                  <w:vAlign w:val="center"/>
                </w:tcPr>
                <w:p w14:paraId="6FAED46D">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lang w:eastAsia="zh-CN"/>
                    </w:rPr>
                    <w:t>要求</w:t>
                  </w:r>
                  <w:r>
                    <w:rPr>
                      <w:rFonts w:hint="eastAsia" w:eastAsia="宋体"/>
                      <w:bCs/>
                      <w:color w:val="auto"/>
                      <w:kern w:val="0"/>
                      <w:sz w:val="21"/>
                      <w:szCs w:val="21"/>
                    </w:rPr>
                    <w:t>贮存设施地面与裙脚应采取表面防渗措施，使用</w:t>
                  </w:r>
                  <w:r>
                    <w:rPr>
                      <w:rFonts w:eastAsia="宋体"/>
                      <w:bCs/>
                      <w:color w:val="auto"/>
                      <w:kern w:val="0"/>
                      <w:sz w:val="21"/>
                      <w:szCs w:val="21"/>
                    </w:rPr>
                    <w:t xml:space="preserve">2 mm </w:t>
                  </w:r>
                  <w:r>
                    <w:rPr>
                      <w:rFonts w:hint="eastAsia" w:eastAsia="宋体"/>
                      <w:bCs/>
                      <w:color w:val="auto"/>
                      <w:kern w:val="0"/>
                      <w:sz w:val="21"/>
                      <w:szCs w:val="21"/>
                    </w:rPr>
                    <w:t>厚高密度聚乙烯膜等人工防渗材料（渗透系数不大于</w:t>
                  </w:r>
                  <w:r>
                    <w:rPr>
                      <w:rFonts w:eastAsia="宋体"/>
                      <w:bCs/>
                      <w:color w:val="auto"/>
                      <w:kern w:val="0"/>
                      <w:sz w:val="21"/>
                      <w:szCs w:val="21"/>
                    </w:rPr>
                    <w:t>10</w:t>
                  </w:r>
                  <w:r>
                    <w:rPr>
                      <w:rFonts w:eastAsia="宋体"/>
                      <w:bCs/>
                      <w:color w:val="auto"/>
                      <w:kern w:val="0"/>
                      <w:sz w:val="21"/>
                      <w:szCs w:val="21"/>
                      <w:vertAlign w:val="superscript"/>
                    </w:rPr>
                    <w:t>-10</w:t>
                  </w:r>
                  <w:r>
                    <w:rPr>
                      <w:rFonts w:eastAsia="宋体"/>
                      <w:bCs/>
                      <w:color w:val="auto"/>
                      <w:kern w:val="0"/>
                      <w:sz w:val="21"/>
                      <w:szCs w:val="21"/>
                    </w:rPr>
                    <w:t xml:space="preserve"> cm/s</w:t>
                  </w:r>
                  <w:r>
                    <w:rPr>
                      <w:rFonts w:hint="eastAsia" w:eastAsia="宋体"/>
                      <w:bCs/>
                      <w:color w:val="auto"/>
                      <w:kern w:val="0"/>
                      <w:sz w:val="21"/>
                      <w:szCs w:val="21"/>
                    </w:rPr>
                    <w:t>），加强防渗。</w:t>
                  </w:r>
                </w:p>
              </w:tc>
              <w:tc>
                <w:tcPr>
                  <w:tcW w:w="534" w:type="pct"/>
                  <w:noWrap w:val="0"/>
                  <w:vAlign w:val="center"/>
                </w:tcPr>
                <w:p w14:paraId="784EEC11">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lang w:eastAsia="zh-CN"/>
                    </w:rPr>
                    <w:t>整改后</w:t>
                  </w:r>
                  <w:r>
                    <w:rPr>
                      <w:rFonts w:hint="eastAsia" w:eastAsia="宋体"/>
                      <w:bCs/>
                      <w:color w:val="auto"/>
                      <w:kern w:val="0"/>
                      <w:sz w:val="21"/>
                      <w:szCs w:val="21"/>
                    </w:rPr>
                    <w:t>相符</w:t>
                  </w:r>
                </w:p>
              </w:tc>
            </w:tr>
            <w:tr w14:paraId="66968D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48BCE7EC">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612E360C">
                  <w:pPr>
                    <w:topLinePunct/>
                    <w:adjustRightInd w:val="0"/>
                    <w:snapToGrid w:val="0"/>
                    <w:spacing w:line="240" w:lineRule="auto"/>
                    <w:jc w:val="center"/>
                    <w:rPr>
                      <w:rFonts w:eastAsia="宋体"/>
                      <w:bCs/>
                      <w:color w:val="auto"/>
                      <w:kern w:val="0"/>
                      <w:sz w:val="21"/>
                      <w:szCs w:val="21"/>
                    </w:rPr>
                  </w:pPr>
                </w:p>
              </w:tc>
              <w:tc>
                <w:tcPr>
                  <w:tcW w:w="2331" w:type="pct"/>
                  <w:noWrap w:val="0"/>
                  <w:vAlign w:val="center"/>
                </w:tcPr>
                <w:p w14:paraId="43AFB37A">
                  <w:pPr>
                    <w:topLinePunct/>
                    <w:adjustRightInd w:val="0"/>
                    <w:snapToGrid w:val="0"/>
                    <w:spacing w:line="240" w:lineRule="auto"/>
                    <w:jc w:val="center"/>
                    <w:rPr>
                      <w:rFonts w:eastAsia="宋体"/>
                      <w:bCs/>
                      <w:color w:val="auto"/>
                      <w:kern w:val="0"/>
                      <w:sz w:val="21"/>
                      <w:szCs w:val="21"/>
                    </w:rPr>
                  </w:pPr>
                  <w:r>
                    <w:rPr>
                      <w:rFonts w:eastAsia="宋体"/>
                      <w:bCs/>
                      <w:color w:val="auto"/>
                      <w:kern w:val="0"/>
                      <w:sz w:val="21"/>
                      <w:szCs w:val="21"/>
                    </w:rPr>
                    <w:t xml:space="preserve">6.1.5 </w:t>
                  </w:r>
                  <w:r>
                    <w:rPr>
                      <w:rFonts w:hAnsi="宋体" w:eastAsia="宋体"/>
                      <w:bCs/>
                      <w:color w:val="auto"/>
                      <w:kern w:val="0"/>
                      <w:sz w:val="21"/>
                      <w:szCs w:val="21"/>
                    </w:rPr>
                    <w:t>同一贮存设施宜采用相同的防渗、防腐工艺</w:t>
                  </w:r>
                  <w:r>
                    <w:rPr>
                      <w:rFonts w:hint="eastAsia" w:hAnsi="宋体" w:eastAsia="宋体"/>
                      <w:bCs/>
                      <w:color w:val="auto"/>
                      <w:kern w:val="0"/>
                      <w:sz w:val="21"/>
                      <w:szCs w:val="21"/>
                      <w:lang w:eastAsia="zh-CN"/>
                    </w:rPr>
                    <w:t>（</w:t>
                  </w:r>
                  <w:r>
                    <w:rPr>
                      <w:rFonts w:hAnsi="宋体" w:eastAsia="宋体"/>
                      <w:bCs/>
                      <w:color w:val="auto"/>
                      <w:kern w:val="0"/>
                      <w:sz w:val="21"/>
                      <w:szCs w:val="21"/>
                    </w:rPr>
                    <w:t>包括防渗、防腐结构或材料</w:t>
                  </w:r>
                  <w:r>
                    <w:rPr>
                      <w:rFonts w:hint="eastAsia" w:hAnsi="宋体" w:eastAsia="宋体"/>
                      <w:bCs/>
                      <w:color w:val="auto"/>
                      <w:kern w:val="0"/>
                      <w:sz w:val="21"/>
                      <w:szCs w:val="21"/>
                      <w:lang w:eastAsia="zh-CN"/>
                    </w:rPr>
                    <w:t>）</w:t>
                  </w:r>
                  <w:r>
                    <w:rPr>
                      <w:rFonts w:hAnsi="宋体" w:eastAsia="宋体"/>
                      <w:bCs/>
                      <w:color w:val="auto"/>
                      <w:kern w:val="0"/>
                      <w:sz w:val="21"/>
                      <w:szCs w:val="21"/>
                    </w:rPr>
                    <w:t>，防渗、防腐材料应覆盖所有可能与废物及其渗滤液、渗漏液等接触的构筑物表面</w:t>
                  </w:r>
                  <w:r>
                    <w:rPr>
                      <w:rFonts w:hint="eastAsia" w:eastAsia="宋体"/>
                      <w:bCs/>
                      <w:color w:val="auto"/>
                      <w:kern w:val="0"/>
                      <w:sz w:val="21"/>
                      <w:szCs w:val="21"/>
                    </w:rPr>
                    <w:t>；</w:t>
                  </w:r>
                  <w:r>
                    <w:rPr>
                      <w:rFonts w:hAnsi="宋体" w:eastAsia="宋体"/>
                      <w:bCs/>
                      <w:color w:val="auto"/>
                      <w:kern w:val="0"/>
                      <w:sz w:val="21"/>
                      <w:szCs w:val="21"/>
                    </w:rPr>
                    <w:t>采用不同防渗、防腐工艺应分别建设贮存分区。</w:t>
                  </w:r>
                </w:p>
              </w:tc>
              <w:tc>
                <w:tcPr>
                  <w:tcW w:w="1669" w:type="pct"/>
                  <w:noWrap w:val="0"/>
                  <w:vAlign w:val="center"/>
                </w:tcPr>
                <w:p w14:paraId="5695C537">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危险仓库采</w:t>
                  </w:r>
                  <w:r>
                    <w:rPr>
                      <w:rFonts w:hint="eastAsia" w:eastAsia="宋体"/>
                      <w:bCs/>
                      <w:color w:val="auto"/>
                      <w:kern w:val="0"/>
                      <w:sz w:val="21"/>
                      <w:szCs w:val="21"/>
                      <w:lang w:eastAsia="zh-CN"/>
                    </w:rPr>
                    <w:t>用</w:t>
                  </w:r>
                  <w:r>
                    <w:rPr>
                      <w:rFonts w:hint="eastAsia" w:eastAsia="宋体"/>
                      <w:bCs/>
                      <w:color w:val="auto"/>
                      <w:kern w:val="0"/>
                      <w:sz w:val="21"/>
                      <w:szCs w:val="21"/>
                    </w:rPr>
                    <w:t>相同的防渗、防腐工艺。</w:t>
                  </w:r>
                </w:p>
              </w:tc>
              <w:tc>
                <w:tcPr>
                  <w:tcW w:w="534" w:type="pct"/>
                  <w:noWrap w:val="0"/>
                  <w:vAlign w:val="center"/>
                </w:tcPr>
                <w:p w14:paraId="238ACA52">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lang w:eastAsia="zh-CN"/>
                    </w:rPr>
                    <w:t>整改后</w:t>
                  </w:r>
                  <w:r>
                    <w:rPr>
                      <w:rFonts w:hint="eastAsia" w:eastAsia="宋体"/>
                      <w:bCs/>
                      <w:color w:val="auto"/>
                      <w:kern w:val="0"/>
                      <w:sz w:val="21"/>
                      <w:szCs w:val="21"/>
                    </w:rPr>
                    <w:t>相符</w:t>
                  </w:r>
                </w:p>
              </w:tc>
            </w:tr>
            <w:tr w14:paraId="4478E8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7481FA97">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3DFC1382">
                  <w:pPr>
                    <w:topLinePunct/>
                    <w:adjustRightInd w:val="0"/>
                    <w:snapToGrid w:val="0"/>
                    <w:spacing w:line="240" w:lineRule="auto"/>
                    <w:jc w:val="center"/>
                    <w:rPr>
                      <w:rFonts w:eastAsia="宋体"/>
                      <w:bCs/>
                      <w:color w:val="auto"/>
                      <w:kern w:val="0"/>
                      <w:sz w:val="21"/>
                      <w:szCs w:val="21"/>
                    </w:rPr>
                  </w:pPr>
                </w:p>
              </w:tc>
              <w:tc>
                <w:tcPr>
                  <w:tcW w:w="2331" w:type="pct"/>
                  <w:noWrap w:val="0"/>
                  <w:vAlign w:val="center"/>
                </w:tcPr>
                <w:p w14:paraId="51C5D056">
                  <w:pPr>
                    <w:topLinePunct/>
                    <w:adjustRightInd w:val="0"/>
                    <w:snapToGrid w:val="0"/>
                    <w:spacing w:line="240" w:lineRule="auto"/>
                    <w:jc w:val="center"/>
                    <w:rPr>
                      <w:rFonts w:eastAsia="宋体"/>
                      <w:bCs/>
                      <w:color w:val="auto"/>
                      <w:kern w:val="0"/>
                      <w:sz w:val="21"/>
                      <w:szCs w:val="21"/>
                    </w:rPr>
                  </w:pPr>
                  <w:r>
                    <w:rPr>
                      <w:rFonts w:eastAsia="宋体"/>
                      <w:bCs/>
                      <w:color w:val="auto"/>
                      <w:kern w:val="0"/>
                      <w:sz w:val="21"/>
                      <w:szCs w:val="21"/>
                    </w:rPr>
                    <w:t xml:space="preserve">6.1.6 </w:t>
                  </w:r>
                  <w:r>
                    <w:rPr>
                      <w:rFonts w:hAnsi="宋体" w:eastAsia="宋体"/>
                      <w:bCs/>
                      <w:color w:val="auto"/>
                      <w:kern w:val="0"/>
                      <w:sz w:val="21"/>
                      <w:szCs w:val="21"/>
                    </w:rPr>
                    <w:t>贮存设施应采取技术和管理措施防止无关人员进入。</w:t>
                  </w:r>
                </w:p>
              </w:tc>
              <w:tc>
                <w:tcPr>
                  <w:tcW w:w="1669" w:type="pct"/>
                  <w:noWrap w:val="0"/>
                  <w:vAlign w:val="center"/>
                </w:tcPr>
                <w:p w14:paraId="38FA48D2">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本项目危险仓库专人管理，防止无关人员进入。</w:t>
                  </w:r>
                </w:p>
              </w:tc>
              <w:tc>
                <w:tcPr>
                  <w:tcW w:w="534" w:type="pct"/>
                  <w:noWrap w:val="0"/>
                  <w:vAlign w:val="center"/>
                </w:tcPr>
                <w:p w14:paraId="5C3729A6">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相符</w:t>
                  </w:r>
                </w:p>
              </w:tc>
            </w:tr>
            <w:tr w14:paraId="2C10C2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0C861EC4">
                  <w:pPr>
                    <w:topLinePunct/>
                    <w:adjustRightInd w:val="0"/>
                    <w:snapToGrid w:val="0"/>
                    <w:spacing w:line="240" w:lineRule="auto"/>
                    <w:jc w:val="center"/>
                    <w:rPr>
                      <w:rFonts w:eastAsia="宋体"/>
                      <w:bCs/>
                      <w:color w:val="auto"/>
                      <w:kern w:val="0"/>
                      <w:sz w:val="21"/>
                      <w:szCs w:val="21"/>
                    </w:rPr>
                  </w:pPr>
                </w:p>
              </w:tc>
              <w:tc>
                <w:tcPr>
                  <w:tcW w:w="230" w:type="pct"/>
                  <w:vMerge w:val="restart"/>
                  <w:noWrap w:val="0"/>
                  <w:vAlign w:val="center"/>
                </w:tcPr>
                <w:p w14:paraId="280691D9">
                  <w:pPr>
                    <w:topLinePunct/>
                    <w:adjustRightInd w:val="0"/>
                    <w:snapToGrid w:val="0"/>
                    <w:spacing w:line="240" w:lineRule="auto"/>
                    <w:jc w:val="center"/>
                    <w:rPr>
                      <w:rFonts w:eastAsia="宋体"/>
                      <w:bCs/>
                      <w:color w:val="auto"/>
                      <w:kern w:val="0"/>
                      <w:sz w:val="21"/>
                      <w:szCs w:val="21"/>
                    </w:rPr>
                  </w:pPr>
                  <w:r>
                    <w:rPr>
                      <w:rFonts w:hAnsi="宋体" w:eastAsia="宋体"/>
                      <w:color w:val="auto"/>
                      <w:kern w:val="0"/>
                      <w:sz w:val="21"/>
                      <w:szCs w:val="21"/>
                    </w:rPr>
                    <w:t>贮存库</w:t>
                  </w:r>
                </w:p>
              </w:tc>
              <w:tc>
                <w:tcPr>
                  <w:tcW w:w="2331" w:type="pct"/>
                  <w:noWrap w:val="0"/>
                  <w:vAlign w:val="center"/>
                </w:tcPr>
                <w:p w14:paraId="7FA1350D">
                  <w:pPr>
                    <w:autoSpaceDE w:val="0"/>
                    <w:autoSpaceDN w:val="0"/>
                    <w:adjustRightInd w:val="0"/>
                    <w:spacing w:line="240" w:lineRule="auto"/>
                    <w:jc w:val="center"/>
                    <w:rPr>
                      <w:rFonts w:eastAsia="宋体"/>
                      <w:bCs/>
                      <w:color w:val="auto"/>
                      <w:kern w:val="0"/>
                      <w:sz w:val="21"/>
                      <w:szCs w:val="21"/>
                    </w:rPr>
                  </w:pPr>
                  <w:r>
                    <w:rPr>
                      <w:rFonts w:eastAsia="宋体"/>
                      <w:color w:val="auto"/>
                      <w:kern w:val="0"/>
                      <w:sz w:val="21"/>
                      <w:szCs w:val="21"/>
                    </w:rPr>
                    <w:t xml:space="preserve">6.2.1 </w:t>
                  </w:r>
                  <w:r>
                    <w:rPr>
                      <w:rFonts w:hAnsi="宋体" w:eastAsia="宋体"/>
                      <w:color w:val="auto"/>
                      <w:kern w:val="0"/>
                      <w:sz w:val="21"/>
                      <w:szCs w:val="21"/>
                    </w:rPr>
                    <w:t>贮存库内不同贮存分区之间应采取隔离措施。隔离措施可根据危险废物特性采用过道、隔板或隔墙等方式。</w:t>
                  </w:r>
                </w:p>
              </w:tc>
              <w:tc>
                <w:tcPr>
                  <w:tcW w:w="1669" w:type="pct"/>
                  <w:noWrap w:val="0"/>
                  <w:vAlign w:val="center"/>
                </w:tcPr>
                <w:p w14:paraId="36B5F327">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本项目危废仓库分区采取过道或进行分区。</w:t>
                  </w:r>
                </w:p>
              </w:tc>
              <w:tc>
                <w:tcPr>
                  <w:tcW w:w="534" w:type="pct"/>
                  <w:noWrap w:val="0"/>
                  <w:vAlign w:val="center"/>
                </w:tcPr>
                <w:p w14:paraId="38AFD34C">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相符</w:t>
                  </w:r>
                </w:p>
              </w:tc>
            </w:tr>
            <w:tr w14:paraId="58C82A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3FD09494">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1F464996">
                  <w:pPr>
                    <w:topLinePunct/>
                    <w:adjustRightInd w:val="0"/>
                    <w:snapToGrid w:val="0"/>
                    <w:spacing w:line="240" w:lineRule="auto"/>
                    <w:jc w:val="center"/>
                    <w:rPr>
                      <w:rFonts w:hAnsi="宋体" w:eastAsia="宋体"/>
                      <w:color w:val="auto"/>
                      <w:kern w:val="0"/>
                      <w:sz w:val="21"/>
                      <w:szCs w:val="21"/>
                    </w:rPr>
                  </w:pPr>
                </w:p>
              </w:tc>
              <w:tc>
                <w:tcPr>
                  <w:tcW w:w="2331" w:type="pct"/>
                  <w:noWrap w:val="0"/>
                  <w:vAlign w:val="center"/>
                </w:tcPr>
                <w:p w14:paraId="0BE85180">
                  <w:pPr>
                    <w:autoSpaceDE w:val="0"/>
                    <w:autoSpaceDN w:val="0"/>
                    <w:adjustRightInd w:val="0"/>
                    <w:spacing w:line="240" w:lineRule="auto"/>
                    <w:jc w:val="center"/>
                    <w:rPr>
                      <w:rFonts w:eastAsia="宋体"/>
                      <w:color w:val="auto"/>
                      <w:kern w:val="0"/>
                      <w:sz w:val="21"/>
                      <w:szCs w:val="21"/>
                    </w:rPr>
                  </w:pPr>
                  <w:r>
                    <w:rPr>
                      <w:rFonts w:eastAsia="宋体"/>
                      <w:color w:val="auto"/>
                      <w:kern w:val="0"/>
                      <w:sz w:val="21"/>
                      <w:szCs w:val="21"/>
                    </w:rPr>
                    <w:t xml:space="preserve">6.2.2 </w:t>
                  </w:r>
                  <w:r>
                    <w:rPr>
                      <w:rFonts w:hAnsi="宋体" w:eastAsia="宋体"/>
                      <w:color w:val="auto"/>
                      <w:kern w:val="0"/>
                      <w:sz w:val="21"/>
                      <w:szCs w:val="21"/>
                    </w:rPr>
                    <w:t>在贮存库内或通过贮存分区方式贮存液态危险废物的，应具有液体泄漏堵截设施，堵截设施最小容积不应低于对应贮存区域最大液态废物容器容积或液态废物总储量</w:t>
                  </w:r>
                  <w:r>
                    <w:rPr>
                      <w:rFonts w:eastAsia="宋体"/>
                      <w:color w:val="auto"/>
                      <w:kern w:val="0"/>
                      <w:sz w:val="21"/>
                      <w:szCs w:val="21"/>
                    </w:rPr>
                    <w:t>1/10</w:t>
                  </w:r>
                  <w:r>
                    <w:rPr>
                      <w:rFonts w:hAnsi="宋体" w:eastAsia="宋体"/>
                      <w:color w:val="auto"/>
                      <w:kern w:val="0"/>
                      <w:sz w:val="21"/>
                      <w:szCs w:val="21"/>
                    </w:rPr>
                    <w:t>（二者取较大者）；用于贮存可能产生渗滤液的危险废物的贮存库或贮存分区应设计渗滤液收集设施，收集设施容积应满足渗滤液的收集要求。</w:t>
                  </w:r>
                </w:p>
              </w:tc>
              <w:tc>
                <w:tcPr>
                  <w:tcW w:w="1669" w:type="pct"/>
                  <w:noWrap w:val="0"/>
                  <w:vAlign w:val="center"/>
                </w:tcPr>
                <w:p w14:paraId="4256C220">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lang w:eastAsia="zh-CN"/>
                    </w:rPr>
                    <w:t>要求</w:t>
                  </w:r>
                  <w:r>
                    <w:rPr>
                      <w:rFonts w:hint="eastAsia" w:eastAsia="宋体"/>
                      <w:bCs/>
                      <w:color w:val="auto"/>
                      <w:kern w:val="0"/>
                      <w:sz w:val="21"/>
                      <w:szCs w:val="21"/>
                    </w:rPr>
                    <w:t>危废仓库四周设有导流槽及收集坑，收集面积大于</w:t>
                  </w:r>
                  <w:r>
                    <w:rPr>
                      <w:rFonts w:hAnsi="宋体" w:eastAsia="宋体"/>
                      <w:color w:val="auto"/>
                      <w:kern w:val="0"/>
                      <w:sz w:val="21"/>
                      <w:szCs w:val="21"/>
                    </w:rPr>
                    <w:t>最大液态废物容器容积</w:t>
                  </w:r>
                  <w:r>
                    <w:rPr>
                      <w:rFonts w:hint="eastAsia" w:hAnsi="宋体" w:eastAsia="宋体"/>
                      <w:color w:val="auto"/>
                      <w:kern w:val="0"/>
                      <w:sz w:val="21"/>
                      <w:szCs w:val="21"/>
                    </w:rPr>
                    <w:t>。</w:t>
                  </w:r>
                </w:p>
              </w:tc>
              <w:tc>
                <w:tcPr>
                  <w:tcW w:w="534" w:type="pct"/>
                  <w:noWrap w:val="0"/>
                  <w:vAlign w:val="center"/>
                </w:tcPr>
                <w:p w14:paraId="51883E6D">
                  <w:pPr>
                    <w:topLinePunct/>
                    <w:adjustRightInd w:val="0"/>
                    <w:snapToGrid w:val="0"/>
                    <w:spacing w:line="240" w:lineRule="auto"/>
                    <w:jc w:val="center"/>
                    <w:rPr>
                      <w:rFonts w:hint="eastAsia" w:eastAsia="宋体"/>
                      <w:bCs/>
                      <w:color w:val="auto"/>
                      <w:kern w:val="0"/>
                      <w:sz w:val="21"/>
                      <w:szCs w:val="21"/>
                      <w:lang w:eastAsia="zh-CN"/>
                    </w:rPr>
                  </w:pPr>
                  <w:r>
                    <w:rPr>
                      <w:rFonts w:hint="eastAsia" w:eastAsia="宋体"/>
                      <w:bCs/>
                      <w:color w:val="auto"/>
                      <w:kern w:val="0"/>
                      <w:sz w:val="21"/>
                      <w:szCs w:val="21"/>
                      <w:lang w:eastAsia="zh-CN"/>
                    </w:rPr>
                    <w:t>整改后相符</w:t>
                  </w:r>
                </w:p>
              </w:tc>
            </w:tr>
            <w:tr w14:paraId="5A8AEA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233" w:type="pct"/>
                  <w:vMerge w:val="continue"/>
                  <w:noWrap w:val="0"/>
                  <w:vAlign w:val="center"/>
                </w:tcPr>
                <w:p w14:paraId="6B2F3638">
                  <w:pPr>
                    <w:topLinePunct/>
                    <w:adjustRightInd w:val="0"/>
                    <w:snapToGrid w:val="0"/>
                    <w:spacing w:line="240" w:lineRule="auto"/>
                    <w:jc w:val="center"/>
                    <w:rPr>
                      <w:rFonts w:eastAsia="宋体"/>
                      <w:bCs/>
                      <w:color w:val="auto"/>
                      <w:kern w:val="0"/>
                      <w:sz w:val="21"/>
                      <w:szCs w:val="21"/>
                    </w:rPr>
                  </w:pPr>
                </w:p>
              </w:tc>
              <w:tc>
                <w:tcPr>
                  <w:tcW w:w="230" w:type="pct"/>
                  <w:vMerge w:val="continue"/>
                  <w:noWrap w:val="0"/>
                  <w:vAlign w:val="center"/>
                </w:tcPr>
                <w:p w14:paraId="52D7481B">
                  <w:pPr>
                    <w:topLinePunct/>
                    <w:adjustRightInd w:val="0"/>
                    <w:snapToGrid w:val="0"/>
                    <w:spacing w:line="240" w:lineRule="auto"/>
                    <w:jc w:val="center"/>
                    <w:rPr>
                      <w:rFonts w:hAnsi="宋体" w:eastAsia="宋体"/>
                      <w:color w:val="auto"/>
                      <w:kern w:val="0"/>
                      <w:sz w:val="21"/>
                      <w:szCs w:val="21"/>
                    </w:rPr>
                  </w:pPr>
                </w:p>
              </w:tc>
              <w:tc>
                <w:tcPr>
                  <w:tcW w:w="2331" w:type="pct"/>
                  <w:noWrap w:val="0"/>
                  <w:vAlign w:val="center"/>
                </w:tcPr>
                <w:p w14:paraId="2FCA9791">
                  <w:pPr>
                    <w:autoSpaceDE w:val="0"/>
                    <w:autoSpaceDN w:val="0"/>
                    <w:adjustRightInd w:val="0"/>
                    <w:spacing w:line="240" w:lineRule="auto"/>
                    <w:jc w:val="center"/>
                    <w:rPr>
                      <w:rFonts w:eastAsia="宋体"/>
                      <w:color w:val="auto"/>
                      <w:kern w:val="0"/>
                      <w:sz w:val="21"/>
                      <w:szCs w:val="21"/>
                    </w:rPr>
                  </w:pPr>
                  <w:r>
                    <w:rPr>
                      <w:rFonts w:eastAsia="宋体"/>
                      <w:color w:val="auto"/>
                      <w:kern w:val="0"/>
                      <w:sz w:val="21"/>
                      <w:szCs w:val="21"/>
                    </w:rPr>
                    <w:t xml:space="preserve">6.2.3 </w:t>
                  </w:r>
                  <w:r>
                    <w:rPr>
                      <w:rFonts w:hAnsi="宋体" w:eastAsia="宋体"/>
                      <w:color w:val="auto"/>
                      <w:kern w:val="0"/>
                      <w:sz w:val="21"/>
                      <w:szCs w:val="21"/>
                    </w:rPr>
                    <w:t>贮存易产生粉尘、</w:t>
                  </w:r>
                  <w:r>
                    <w:rPr>
                      <w:rFonts w:eastAsia="宋体"/>
                      <w:color w:val="auto"/>
                      <w:kern w:val="0"/>
                      <w:sz w:val="21"/>
                      <w:szCs w:val="21"/>
                    </w:rPr>
                    <w:t>VOCs</w:t>
                  </w:r>
                  <w:r>
                    <w:rPr>
                      <w:rFonts w:hAnsi="宋体" w:eastAsia="宋体"/>
                      <w:color w:val="auto"/>
                      <w:kern w:val="0"/>
                      <w:sz w:val="21"/>
                      <w:szCs w:val="21"/>
                    </w:rPr>
                    <w:t>、酸雾、有毒有害大气污染物和刺激性气味气体的危险废物贮存库，应设置气体收集装置和气体净化设施；气体净化设施的排气筒高度应符合</w:t>
                  </w:r>
                  <w:r>
                    <w:rPr>
                      <w:rFonts w:eastAsia="宋体"/>
                      <w:color w:val="auto"/>
                      <w:kern w:val="0"/>
                      <w:sz w:val="21"/>
                      <w:szCs w:val="21"/>
                    </w:rPr>
                    <w:t xml:space="preserve">GB 16297 </w:t>
                  </w:r>
                  <w:r>
                    <w:rPr>
                      <w:rFonts w:hAnsi="宋体" w:eastAsia="宋体"/>
                      <w:color w:val="auto"/>
                      <w:kern w:val="0"/>
                      <w:sz w:val="21"/>
                      <w:szCs w:val="21"/>
                    </w:rPr>
                    <w:t>要求。</w:t>
                  </w:r>
                </w:p>
              </w:tc>
              <w:tc>
                <w:tcPr>
                  <w:tcW w:w="1669" w:type="pct"/>
                  <w:noWrap w:val="0"/>
                  <w:vAlign w:val="center"/>
                </w:tcPr>
                <w:p w14:paraId="2E84B28C">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本项目危废均密闭存储在包装桶或包装袋中，正常情况下不易挥发。</w:t>
                  </w:r>
                </w:p>
              </w:tc>
              <w:tc>
                <w:tcPr>
                  <w:tcW w:w="534" w:type="pct"/>
                  <w:noWrap w:val="0"/>
                  <w:vAlign w:val="center"/>
                </w:tcPr>
                <w:p w14:paraId="1466EA6B">
                  <w:pPr>
                    <w:topLinePunct/>
                    <w:adjustRightInd w:val="0"/>
                    <w:snapToGrid w:val="0"/>
                    <w:spacing w:line="240" w:lineRule="auto"/>
                    <w:jc w:val="center"/>
                    <w:rPr>
                      <w:rFonts w:eastAsia="宋体"/>
                      <w:bCs/>
                      <w:color w:val="auto"/>
                      <w:kern w:val="0"/>
                      <w:sz w:val="21"/>
                      <w:szCs w:val="21"/>
                    </w:rPr>
                  </w:pPr>
                  <w:r>
                    <w:rPr>
                      <w:rFonts w:hint="eastAsia" w:eastAsia="宋体"/>
                      <w:bCs/>
                      <w:color w:val="auto"/>
                      <w:kern w:val="0"/>
                      <w:sz w:val="21"/>
                      <w:szCs w:val="21"/>
                    </w:rPr>
                    <w:t>相符</w:t>
                  </w:r>
                </w:p>
              </w:tc>
            </w:tr>
          </w:tbl>
          <w:p w14:paraId="3076A483">
            <w:pPr>
              <w:spacing w:line="360" w:lineRule="auto"/>
              <w:ind w:firstLine="422" w:firstLineChars="200"/>
              <w:rPr>
                <w:b/>
                <w:bCs/>
                <w:color w:val="auto"/>
                <w:szCs w:val="21"/>
              </w:rPr>
            </w:pPr>
            <w:r>
              <w:rPr>
                <w:rFonts w:hint="eastAsia"/>
                <w:b/>
                <w:bCs/>
                <w:color w:val="auto"/>
              </w:rPr>
              <w:t>4.</w:t>
            </w:r>
            <w:r>
              <w:rPr>
                <w:rFonts w:hint="eastAsia"/>
                <w:b/>
                <w:bCs/>
                <w:color w:val="auto"/>
                <w:lang w:val="en-US" w:eastAsia="zh-CN"/>
              </w:rPr>
              <w:t>9</w:t>
            </w:r>
            <w:r>
              <w:rPr>
                <w:rFonts w:hint="eastAsia" w:ascii="宋体" w:hAnsi="宋体"/>
                <w:b/>
                <w:bCs/>
                <w:color w:val="auto"/>
              </w:rPr>
              <w:t>结论</w:t>
            </w:r>
          </w:p>
          <w:p w14:paraId="7DF6947E">
            <w:pPr>
              <w:adjustRightInd w:val="0"/>
              <w:snapToGrid w:val="0"/>
              <w:spacing w:line="360" w:lineRule="auto"/>
              <w:ind w:firstLine="420" w:firstLineChars="200"/>
              <w:rPr>
                <w:b/>
                <w:color w:val="auto"/>
                <w:szCs w:val="21"/>
              </w:rPr>
            </w:pPr>
            <w:r>
              <w:rPr>
                <w:rFonts w:hint="eastAsia" w:hAnsi="宋体"/>
                <w:color w:val="auto"/>
                <w:kern w:val="0"/>
                <w:szCs w:val="21"/>
              </w:rPr>
              <w:t>从本项目产生的固废的处置情况来看，各类固废都得到了合理安全</w:t>
            </w:r>
            <w:r>
              <w:rPr>
                <w:rFonts w:hint="eastAsia" w:hAnsi="宋体"/>
                <w:color w:val="auto"/>
                <w:kern w:val="0"/>
                <w:szCs w:val="21"/>
                <w:lang w:eastAsia="zh-CN"/>
              </w:rPr>
              <w:t>地</w:t>
            </w:r>
            <w:r>
              <w:rPr>
                <w:rFonts w:hint="eastAsia" w:hAnsi="宋体"/>
                <w:color w:val="auto"/>
                <w:kern w:val="0"/>
                <w:szCs w:val="21"/>
              </w:rPr>
              <w:t>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14:paraId="1FBCC1F6">
            <w:pPr>
              <w:autoSpaceDE w:val="0"/>
              <w:autoSpaceDN w:val="0"/>
              <w:adjustRightInd w:val="0"/>
              <w:snapToGrid w:val="0"/>
              <w:spacing w:line="360" w:lineRule="auto"/>
              <w:ind w:firstLine="480"/>
              <w:jc w:val="left"/>
              <w:rPr>
                <w:b/>
                <w:color w:val="auto"/>
                <w:szCs w:val="21"/>
              </w:rPr>
            </w:pPr>
            <w:r>
              <w:rPr>
                <w:rFonts w:hint="eastAsia"/>
                <w:b/>
                <w:color w:val="auto"/>
                <w:szCs w:val="21"/>
              </w:rPr>
              <w:t>5、土壤和地下水</w:t>
            </w:r>
          </w:p>
          <w:p w14:paraId="11EF21AC">
            <w:pPr>
              <w:spacing w:line="360" w:lineRule="auto"/>
              <w:ind w:firstLine="480"/>
              <w:rPr>
                <w:color w:val="auto"/>
              </w:rPr>
            </w:pPr>
            <w:r>
              <w:rPr>
                <w:bCs/>
                <w:color w:val="auto"/>
                <w:szCs w:val="21"/>
              </w:rPr>
              <w:t>根据污染物泄漏的途径和生产功能单元所处的位置，厂区可划分为非污染防治区、一般污染防治区和重点污染防治区，</w:t>
            </w:r>
            <w:r>
              <w:rPr>
                <w:color w:val="auto"/>
              </w:rPr>
              <w:t>全厂分区防渗区划见表4-</w:t>
            </w:r>
            <w:r>
              <w:rPr>
                <w:rFonts w:hint="eastAsia"/>
                <w:color w:val="auto"/>
                <w:lang w:val="en-US" w:eastAsia="zh-CN"/>
              </w:rPr>
              <w:t>12</w:t>
            </w:r>
            <w:r>
              <w:rPr>
                <w:color w:val="auto"/>
              </w:rPr>
              <w:t>：</w:t>
            </w:r>
          </w:p>
          <w:p w14:paraId="25AA3778">
            <w:pPr>
              <w:jc w:val="center"/>
              <w:rPr>
                <w:b/>
                <w:bCs/>
                <w:color w:val="auto"/>
              </w:rPr>
            </w:pPr>
            <w:r>
              <w:rPr>
                <w:b/>
                <w:bCs/>
                <w:color w:val="auto"/>
              </w:rPr>
              <w:t>表4-</w:t>
            </w:r>
            <w:r>
              <w:rPr>
                <w:rFonts w:hint="eastAsia"/>
                <w:b/>
                <w:bCs/>
                <w:color w:val="auto"/>
                <w:lang w:val="en-US" w:eastAsia="zh-CN"/>
              </w:rPr>
              <w:t>12</w:t>
            </w:r>
            <w:r>
              <w:rPr>
                <w:b/>
                <w:bCs/>
                <w:color w:val="auto"/>
              </w:rPr>
              <w:t xml:space="preserve"> 本项目分区防渗方案及防渗措施表</w:t>
            </w:r>
          </w:p>
          <w:tbl>
            <w:tblPr>
              <w:tblStyle w:val="25"/>
              <w:tblW w:w="83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2"/>
              <w:gridCol w:w="1411"/>
              <w:gridCol w:w="1389"/>
              <w:gridCol w:w="4766"/>
            </w:tblGrid>
            <w:tr w14:paraId="6E627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462" w:type="pct"/>
                  <w:noWrap w:val="0"/>
                  <w:vAlign w:val="center"/>
                </w:tcPr>
                <w:p w14:paraId="5F925038">
                  <w:pPr>
                    <w:pStyle w:val="12"/>
                    <w:spacing w:before="100" w:beforeAutospacing="1" w:after="100" w:afterAutospacing="1"/>
                    <w:jc w:val="center"/>
                    <w:rPr>
                      <w:rFonts w:ascii="Times New Roman" w:hAnsi="Times New Roman"/>
                      <w:b/>
                      <w:color w:val="auto"/>
                      <w:sz w:val="21"/>
                      <w:szCs w:val="21"/>
                    </w:rPr>
                  </w:pPr>
                  <w:r>
                    <w:rPr>
                      <w:rFonts w:ascii="Times New Roman" w:hAnsi="Times New Roman"/>
                      <w:b/>
                      <w:color w:val="auto"/>
                      <w:sz w:val="21"/>
                      <w:szCs w:val="21"/>
                    </w:rPr>
                    <w:t>序号</w:t>
                  </w:r>
                </w:p>
              </w:tc>
              <w:tc>
                <w:tcPr>
                  <w:tcW w:w="846" w:type="pct"/>
                  <w:noWrap w:val="0"/>
                  <w:vAlign w:val="center"/>
                </w:tcPr>
                <w:p w14:paraId="7F1B16F9">
                  <w:pPr>
                    <w:pStyle w:val="12"/>
                    <w:spacing w:before="100" w:beforeAutospacing="1" w:after="100" w:afterAutospacing="1"/>
                    <w:jc w:val="center"/>
                    <w:rPr>
                      <w:rFonts w:ascii="Times New Roman" w:hAnsi="Times New Roman"/>
                      <w:b/>
                      <w:color w:val="auto"/>
                      <w:sz w:val="21"/>
                      <w:szCs w:val="21"/>
                    </w:rPr>
                  </w:pPr>
                  <w:r>
                    <w:rPr>
                      <w:rFonts w:ascii="Times New Roman" w:hAnsi="Times New Roman"/>
                      <w:b/>
                      <w:color w:val="auto"/>
                      <w:sz w:val="21"/>
                      <w:szCs w:val="21"/>
                    </w:rPr>
                    <w:t>防治分区</w:t>
                  </w:r>
                </w:p>
              </w:tc>
              <w:tc>
                <w:tcPr>
                  <w:tcW w:w="832" w:type="pct"/>
                  <w:noWrap w:val="0"/>
                  <w:vAlign w:val="center"/>
                </w:tcPr>
                <w:p w14:paraId="37C59075">
                  <w:pPr>
                    <w:pStyle w:val="12"/>
                    <w:spacing w:before="100" w:beforeAutospacing="1" w:after="100" w:afterAutospacing="1"/>
                    <w:jc w:val="center"/>
                    <w:rPr>
                      <w:rFonts w:ascii="Times New Roman" w:hAnsi="Times New Roman"/>
                      <w:b/>
                      <w:color w:val="auto"/>
                      <w:sz w:val="21"/>
                      <w:szCs w:val="21"/>
                    </w:rPr>
                  </w:pPr>
                  <w:r>
                    <w:rPr>
                      <w:rFonts w:ascii="Times New Roman" w:hAnsi="Times New Roman"/>
                      <w:b/>
                      <w:color w:val="auto"/>
                      <w:sz w:val="21"/>
                      <w:szCs w:val="21"/>
                    </w:rPr>
                    <w:t>分区位置</w:t>
                  </w:r>
                </w:p>
              </w:tc>
              <w:tc>
                <w:tcPr>
                  <w:tcW w:w="2857" w:type="pct"/>
                  <w:noWrap w:val="0"/>
                  <w:vAlign w:val="center"/>
                </w:tcPr>
                <w:p w14:paraId="0A9362E3">
                  <w:pPr>
                    <w:pStyle w:val="12"/>
                    <w:spacing w:before="100" w:beforeAutospacing="1" w:after="100" w:afterAutospacing="1"/>
                    <w:jc w:val="center"/>
                    <w:rPr>
                      <w:rFonts w:ascii="Times New Roman" w:hAnsi="Times New Roman"/>
                      <w:b/>
                      <w:color w:val="auto"/>
                      <w:sz w:val="21"/>
                      <w:szCs w:val="21"/>
                    </w:rPr>
                  </w:pPr>
                  <w:r>
                    <w:rPr>
                      <w:rFonts w:ascii="Times New Roman" w:hAnsi="Times New Roman"/>
                      <w:b/>
                      <w:color w:val="auto"/>
                      <w:sz w:val="21"/>
                      <w:szCs w:val="21"/>
                    </w:rPr>
                    <w:t>防渗要求</w:t>
                  </w:r>
                </w:p>
              </w:tc>
            </w:tr>
            <w:tr w14:paraId="1AF871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3" w:hRule="atLeast"/>
                <w:jc w:val="center"/>
              </w:trPr>
              <w:tc>
                <w:tcPr>
                  <w:tcW w:w="462" w:type="pct"/>
                  <w:vMerge w:val="restart"/>
                  <w:noWrap w:val="0"/>
                  <w:vAlign w:val="center"/>
                </w:tcPr>
                <w:p w14:paraId="77A06725">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1</w:t>
                  </w:r>
                </w:p>
              </w:tc>
              <w:tc>
                <w:tcPr>
                  <w:tcW w:w="846" w:type="pct"/>
                  <w:vMerge w:val="restart"/>
                  <w:noWrap w:val="0"/>
                  <w:vAlign w:val="center"/>
                </w:tcPr>
                <w:p w14:paraId="0E39802B">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重点污染</w:t>
                  </w:r>
                </w:p>
                <w:p w14:paraId="334CBF62">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防治区</w:t>
                  </w:r>
                </w:p>
              </w:tc>
              <w:tc>
                <w:tcPr>
                  <w:tcW w:w="832" w:type="pct"/>
                  <w:noWrap w:val="0"/>
                  <w:vAlign w:val="center"/>
                </w:tcPr>
                <w:p w14:paraId="1304C327">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危废暂存间</w:t>
                  </w:r>
                </w:p>
              </w:tc>
              <w:tc>
                <w:tcPr>
                  <w:tcW w:w="2857" w:type="pct"/>
                  <w:vMerge w:val="restart"/>
                  <w:noWrap w:val="0"/>
                  <w:vAlign w:val="center"/>
                </w:tcPr>
                <w:p w14:paraId="4AD2A684">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依据国家危险贮存标准要求设计、施工，采用 200mm 厚C15砼垫层随打随抹光，设置钢筋混凝土围堰，并采用底部加设土工膜进行防渗，使渗透系数不大于1.0×10</w:t>
                  </w:r>
                  <w:r>
                    <w:rPr>
                      <w:rFonts w:hint="eastAsia" w:ascii="Times New Roman" w:hAnsi="Times New Roman"/>
                      <w:color w:val="auto"/>
                      <w:sz w:val="21"/>
                      <w:szCs w:val="21"/>
                      <w:vertAlign w:val="superscript"/>
                      <w:lang w:val="en-US" w:eastAsia="zh-CN"/>
                    </w:rPr>
                    <w:t>-</w:t>
                  </w:r>
                  <w:r>
                    <w:rPr>
                      <w:rFonts w:ascii="Times New Roman" w:hAnsi="Times New Roman"/>
                      <w:color w:val="auto"/>
                      <w:sz w:val="21"/>
                      <w:szCs w:val="21"/>
                      <w:vertAlign w:val="superscript"/>
                    </w:rPr>
                    <w:t>10</w:t>
                  </w:r>
                  <w:r>
                    <w:rPr>
                      <w:rFonts w:ascii="Times New Roman" w:hAnsi="Times New Roman"/>
                      <w:color w:val="auto"/>
                      <w:sz w:val="21"/>
                      <w:szCs w:val="21"/>
                    </w:rPr>
                    <w:t>cm/s，且防雨和防晒。</w:t>
                  </w:r>
                </w:p>
              </w:tc>
            </w:tr>
            <w:tr w14:paraId="6E8AF3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462" w:type="pct"/>
                  <w:vMerge w:val="continue"/>
                  <w:noWrap w:val="0"/>
                  <w:vAlign w:val="center"/>
                </w:tcPr>
                <w:p w14:paraId="3C06E8D2">
                  <w:pPr>
                    <w:pStyle w:val="12"/>
                    <w:spacing w:line="320" w:lineRule="exact"/>
                    <w:jc w:val="center"/>
                    <w:rPr>
                      <w:rFonts w:ascii="Times New Roman" w:hAnsi="Times New Roman"/>
                      <w:color w:val="auto"/>
                      <w:sz w:val="21"/>
                      <w:szCs w:val="21"/>
                    </w:rPr>
                  </w:pPr>
                </w:p>
              </w:tc>
              <w:tc>
                <w:tcPr>
                  <w:tcW w:w="846" w:type="pct"/>
                  <w:vMerge w:val="continue"/>
                  <w:noWrap w:val="0"/>
                  <w:vAlign w:val="center"/>
                </w:tcPr>
                <w:p w14:paraId="1FD157A2">
                  <w:pPr>
                    <w:pStyle w:val="12"/>
                    <w:spacing w:line="320" w:lineRule="exact"/>
                    <w:jc w:val="center"/>
                    <w:rPr>
                      <w:rFonts w:ascii="Times New Roman" w:hAnsi="Times New Roman"/>
                      <w:color w:val="auto"/>
                      <w:sz w:val="21"/>
                      <w:szCs w:val="21"/>
                    </w:rPr>
                  </w:pPr>
                </w:p>
              </w:tc>
              <w:tc>
                <w:tcPr>
                  <w:tcW w:w="832" w:type="pct"/>
                  <w:noWrap w:val="0"/>
                  <w:vAlign w:val="center"/>
                </w:tcPr>
                <w:p w14:paraId="021B4173">
                  <w:pPr>
                    <w:pStyle w:val="12"/>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生产车间</w:t>
                  </w:r>
                </w:p>
              </w:tc>
              <w:tc>
                <w:tcPr>
                  <w:tcW w:w="2857" w:type="pct"/>
                  <w:vMerge w:val="continue"/>
                  <w:noWrap w:val="0"/>
                  <w:vAlign w:val="center"/>
                </w:tcPr>
                <w:p w14:paraId="31F8FF03">
                  <w:pPr>
                    <w:pStyle w:val="12"/>
                    <w:spacing w:line="320" w:lineRule="exact"/>
                    <w:jc w:val="center"/>
                    <w:rPr>
                      <w:rFonts w:ascii="Times New Roman" w:hAnsi="Times New Roman"/>
                      <w:color w:val="auto"/>
                      <w:sz w:val="21"/>
                      <w:szCs w:val="21"/>
                    </w:rPr>
                  </w:pPr>
                </w:p>
              </w:tc>
            </w:tr>
            <w:tr w14:paraId="16C178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62" w:type="pct"/>
                  <w:noWrap w:val="0"/>
                  <w:vAlign w:val="center"/>
                </w:tcPr>
                <w:p w14:paraId="41C63BA8">
                  <w:pPr>
                    <w:pStyle w:val="12"/>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2</w:t>
                  </w:r>
                </w:p>
              </w:tc>
              <w:tc>
                <w:tcPr>
                  <w:tcW w:w="846" w:type="pct"/>
                  <w:noWrap w:val="0"/>
                  <w:vAlign w:val="center"/>
                </w:tcPr>
                <w:p w14:paraId="18365104">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简单防渗区</w:t>
                  </w:r>
                </w:p>
              </w:tc>
              <w:tc>
                <w:tcPr>
                  <w:tcW w:w="832" w:type="pct"/>
                  <w:noWrap w:val="0"/>
                  <w:vAlign w:val="center"/>
                </w:tcPr>
                <w:p w14:paraId="5F34D966">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办公用房</w:t>
                  </w:r>
                </w:p>
              </w:tc>
              <w:tc>
                <w:tcPr>
                  <w:tcW w:w="2857" w:type="pct"/>
                  <w:noWrap w:val="0"/>
                  <w:vAlign w:val="center"/>
                </w:tcPr>
                <w:p w14:paraId="2BCE532C">
                  <w:pPr>
                    <w:pStyle w:val="12"/>
                    <w:spacing w:line="320" w:lineRule="exact"/>
                    <w:jc w:val="center"/>
                    <w:rPr>
                      <w:rFonts w:ascii="Times New Roman" w:hAnsi="Times New Roman"/>
                      <w:color w:val="auto"/>
                      <w:sz w:val="21"/>
                      <w:szCs w:val="21"/>
                    </w:rPr>
                  </w:pPr>
                  <w:r>
                    <w:rPr>
                      <w:rFonts w:ascii="Times New Roman" w:hAnsi="Times New Roman"/>
                      <w:color w:val="auto"/>
                      <w:sz w:val="21"/>
                      <w:szCs w:val="21"/>
                    </w:rPr>
                    <w:t>一般地面硬化</w:t>
                  </w:r>
                </w:p>
              </w:tc>
            </w:tr>
          </w:tbl>
          <w:p w14:paraId="68834EF9">
            <w:pPr>
              <w:autoSpaceDE w:val="0"/>
              <w:autoSpaceDN w:val="0"/>
              <w:adjustRightInd w:val="0"/>
              <w:snapToGrid w:val="0"/>
              <w:spacing w:line="360" w:lineRule="auto"/>
              <w:ind w:firstLine="420" w:firstLineChars="200"/>
              <w:jc w:val="left"/>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本项目厂区内已进行地面硬化处理，基础防渗处理已完善，</w:t>
            </w:r>
            <w:r>
              <w:rPr>
                <w:rFonts w:hint="eastAsia" w:ascii="Times New Roman" w:hAnsi="Times New Roman" w:eastAsia="宋体"/>
                <w:b w:val="0"/>
                <w:bCs w:val="0"/>
                <w:color w:val="auto"/>
                <w:sz w:val="21"/>
                <w:szCs w:val="21"/>
              </w:rPr>
              <w:t>不会</w:t>
            </w:r>
            <w:r>
              <w:rPr>
                <w:rFonts w:ascii="Times New Roman" w:hAnsi="Times New Roman" w:eastAsia="宋体"/>
                <w:b w:val="0"/>
                <w:bCs w:val="0"/>
                <w:color w:val="auto"/>
                <w:sz w:val="21"/>
                <w:szCs w:val="21"/>
              </w:rPr>
              <w:t>对地下水及土壤不会产生不良影响，无需对地下水及土壤进行跟踪监测。</w:t>
            </w:r>
          </w:p>
          <w:p w14:paraId="0539D737">
            <w:pPr>
              <w:autoSpaceDE w:val="0"/>
              <w:autoSpaceDN w:val="0"/>
              <w:adjustRightInd w:val="0"/>
              <w:snapToGrid w:val="0"/>
              <w:spacing w:line="360" w:lineRule="auto"/>
              <w:ind w:firstLine="422" w:firstLineChars="200"/>
              <w:jc w:val="left"/>
              <w:rPr>
                <w:b/>
                <w:color w:val="auto"/>
                <w:szCs w:val="21"/>
              </w:rPr>
            </w:pPr>
            <w:r>
              <w:rPr>
                <w:rFonts w:hint="eastAsia"/>
                <w:b/>
                <w:color w:val="auto"/>
                <w:szCs w:val="21"/>
              </w:rPr>
              <w:t>6、生态</w:t>
            </w:r>
          </w:p>
          <w:p w14:paraId="641C5044">
            <w:pPr>
              <w:autoSpaceDE w:val="0"/>
              <w:autoSpaceDN w:val="0"/>
              <w:adjustRightInd w:val="0"/>
              <w:snapToGrid w:val="0"/>
              <w:spacing w:line="360" w:lineRule="auto"/>
              <w:ind w:firstLine="420" w:firstLineChars="200"/>
              <w:jc w:val="left"/>
              <w:rPr>
                <w:rFonts w:hint="eastAsia"/>
                <w:color w:val="auto"/>
                <w:szCs w:val="21"/>
              </w:rPr>
            </w:pPr>
            <w:r>
              <w:rPr>
                <w:rFonts w:hint="eastAsia"/>
                <w:color w:val="auto"/>
                <w:szCs w:val="21"/>
              </w:rPr>
              <w:t>根据《建设项目环境影响报告表编制技术指南（污染影响类）（试行）》（环办环评〔2020〕33号）“产业园区外建设项目新增用地的且用地范围内含有生态环境保护目标的，应明确保护措施”。本项目</w:t>
            </w:r>
            <w:r>
              <w:rPr>
                <w:rFonts w:hint="eastAsia"/>
                <w:color w:val="auto"/>
                <w:szCs w:val="21"/>
                <w:lang w:val="en-US" w:eastAsia="zh-CN"/>
              </w:rPr>
              <w:t>租赁</w:t>
            </w:r>
            <w:r>
              <w:rPr>
                <w:rFonts w:hint="eastAsia" w:cs="Times New Roman"/>
                <w:color w:val="auto"/>
                <w:sz w:val="21"/>
                <w:szCs w:val="21"/>
                <w:lang w:val="en-US" w:eastAsia="zh-CN"/>
              </w:rPr>
              <w:t>万恒如（南通市雨霖市政园林有限公司）</w:t>
            </w:r>
            <w:r>
              <w:rPr>
                <w:rFonts w:hint="eastAsia" w:ascii="Times New Roman" w:hAnsi="Times New Roman" w:eastAsia="宋体" w:cs="Times New Roman"/>
                <w:color w:val="auto"/>
                <w:sz w:val="21"/>
                <w:szCs w:val="21"/>
              </w:rPr>
              <w:t>闲置厂房</w:t>
            </w:r>
            <w:r>
              <w:rPr>
                <w:rFonts w:hint="eastAsia" w:ascii="Times New Roman" w:hAnsi="Times New Roman"/>
                <w:color w:val="auto"/>
                <w:szCs w:val="21"/>
              </w:rPr>
              <w:t>1</w:t>
            </w:r>
            <w:r>
              <w:rPr>
                <w:rFonts w:hint="eastAsia" w:ascii="Times New Roman" w:hAnsi="Times New Roman"/>
                <w:color w:val="auto"/>
                <w:szCs w:val="21"/>
                <w:lang w:val="en-US" w:eastAsia="zh-CN"/>
              </w:rPr>
              <w:t>315</w:t>
            </w:r>
            <w:r>
              <w:rPr>
                <w:rFonts w:hint="eastAsia" w:ascii="Times New Roman" w:hAnsi="Times New Roman" w:eastAsia="宋体" w:cs="Times New Roman"/>
                <w:color w:val="auto"/>
                <w:sz w:val="21"/>
                <w:szCs w:val="21"/>
              </w:rPr>
              <w:t>平</w:t>
            </w:r>
            <w:r>
              <w:rPr>
                <w:color w:val="auto"/>
                <w:sz w:val="21"/>
                <w:szCs w:val="21"/>
              </w:rPr>
              <w:t>方米</w:t>
            </w:r>
            <w:r>
              <w:rPr>
                <w:rFonts w:hint="eastAsia"/>
                <w:color w:val="auto"/>
                <w:szCs w:val="21"/>
                <w:lang w:eastAsia="zh-CN"/>
              </w:rPr>
              <w:t>，</w:t>
            </w:r>
            <w:r>
              <w:rPr>
                <w:rFonts w:hint="eastAsia"/>
                <w:color w:val="auto"/>
                <w:szCs w:val="21"/>
                <w:lang w:val="en-US" w:eastAsia="zh-CN"/>
              </w:rPr>
              <w:t>不新增用地，且用地范围内无生态环境保护目标</w:t>
            </w:r>
            <w:r>
              <w:rPr>
                <w:rFonts w:hint="eastAsia"/>
                <w:color w:val="auto"/>
                <w:szCs w:val="21"/>
              </w:rPr>
              <w:t>，因此无需制定保护措施。</w:t>
            </w:r>
          </w:p>
          <w:p w14:paraId="6F08D1A7">
            <w:pPr>
              <w:autoSpaceDE w:val="0"/>
              <w:autoSpaceDN w:val="0"/>
              <w:adjustRightInd w:val="0"/>
              <w:snapToGrid w:val="0"/>
              <w:spacing w:line="360" w:lineRule="auto"/>
              <w:ind w:firstLine="422" w:firstLineChars="200"/>
              <w:jc w:val="left"/>
              <w:rPr>
                <w:b/>
                <w:bCs w:val="0"/>
                <w:color w:val="auto"/>
                <w:szCs w:val="21"/>
              </w:rPr>
            </w:pPr>
            <w:r>
              <w:rPr>
                <w:rFonts w:hint="eastAsia"/>
                <w:b/>
                <w:bCs w:val="0"/>
                <w:color w:val="auto"/>
                <w:szCs w:val="21"/>
                <w:lang w:val="en-US" w:eastAsia="zh-CN"/>
              </w:rPr>
              <w:t>7、</w:t>
            </w:r>
            <w:r>
              <w:rPr>
                <w:rFonts w:hint="eastAsia"/>
                <w:b/>
                <w:bCs w:val="0"/>
                <w:color w:val="auto"/>
                <w:szCs w:val="21"/>
              </w:rPr>
              <w:t>环境风险</w:t>
            </w:r>
          </w:p>
          <w:p w14:paraId="13FE6472">
            <w:pPr>
              <w:autoSpaceDE w:val="0"/>
              <w:autoSpaceDN w:val="0"/>
              <w:adjustRightInd w:val="0"/>
              <w:snapToGrid w:val="0"/>
              <w:spacing w:line="360" w:lineRule="auto"/>
              <w:ind w:firstLine="422" w:firstLineChars="200"/>
              <w:jc w:val="left"/>
              <w:rPr>
                <w:rFonts w:hint="eastAsia"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lang w:val="en-US" w:eastAsia="zh-CN"/>
              </w:rPr>
              <w:t>7.1</w:t>
            </w:r>
            <w:r>
              <w:rPr>
                <w:rFonts w:hint="eastAsia" w:ascii="Times New Roman" w:hAnsi="Times New Roman" w:eastAsia="宋体" w:cs="Times New Roman"/>
                <w:b/>
                <w:bCs w:val="0"/>
                <w:color w:val="auto"/>
                <w:szCs w:val="21"/>
              </w:rPr>
              <w:t>环境风险识别及风险分析</w:t>
            </w:r>
          </w:p>
          <w:p w14:paraId="1825CF44">
            <w:pPr>
              <w:autoSpaceDE w:val="0"/>
              <w:autoSpaceDN w:val="0"/>
              <w:adjustRightInd w:val="0"/>
              <w:snapToGrid w:val="0"/>
              <w:spacing w:line="360" w:lineRule="auto"/>
              <w:ind w:firstLine="420" w:firstLineChars="200"/>
              <w:jc w:val="left"/>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eastAsia="zh-CN"/>
              </w:rPr>
              <w:t>（</w:t>
            </w:r>
            <w:r>
              <w:rPr>
                <w:rFonts w:hint="eastAsia" w:ascii="Times New Roman" w:hAnsi="Times New Roman" w:eastAsia="宋体" w:cs="Times New Roman"/>
                <w:b w:val="0"/>
                <w:bCs/>
                <w:color w:val="auto"/>
                <w:szCs w:val="21"/>
                <w:lang w:val="en-US" w:eastAsia="zh-CN"/>
              </w:rPr>
              <w:t>1</w:t>
            </w:r>
            <w:r>
              <w:rPr>
                <w:rFonts w:hint="eastAsia" w:ascii="Times New Roman" w:hAnsi="Times New Roman" w:eastAsia="宋体" w:cs="Times New Roman"/>
                <w:b w:val="0"/>
                <w:bCs/>
                <w:color w:val="auto"/>
                <w:szCs w:val="21"/>
                <w:lang w:eastAsia="zh-CN"/>
              </w:rPr>
              <w:t>）</w:t>
            </w:r>
            <w:r>
              <w:rPr>
                <w:rFonts w:hint="eastAsia" w:ascii="Times New Roman" w:hAnsi="Times New Roman" w:eastAsia="宋体" w:cs="Times New Roman"/>
                <w:b w:val="0"/>
                <w:bCs/>
                <w:color w:val="auto"/>
                <w:szCs w:val="21"/>
              </w:rPr>
              <w:t>风险调查</w:t>
            </w:r>
          </w:p>
          <w:p w14:paraId="1696796E">
            <w:pPr>
              <w:spacing w:line="360" w:lineRule="auto"/>
              <w:ind w:firstLine="480"/>
              <w:rPr>
                <w:color w:val="auto"/>
              </w:rPr>
            </w:pPr>
            <w:r>
              <w:rPr>
                <w:color w:val="auto"/>
              </w:rPr>
              <w:t>①危险物质调查</w:t>
            </w:r>
          </w:p>
          <w:p w14:paraId="78DC5575">
            <w:pPr>
              <w:widowControl/>
              <w:adjustRightInd w:val="0"/>
              <w:snapToGrid w:val="0"/>
              <w:spacing w:line="360" w:lineRule="auto"/>
              <w:ind w:firstLine="420" w:firstLineChars="200"/>
              <w:jc w:val="left"/>
              <w:rPr>
                <w:b/>
                <w:color w:val="auto"/>
                <w:szCs w:val="21"/>
              </w:rPr>
            </w:pPr>
            <w:r>
              <w:rPr>
                <w:color w:val="auto"/>
                <w:szCs w:val="21"/>
              </w:rPr>
              <w:t>按《建设项目环境风险评价技术导则》（HJ169-2018）附录B进行突发环境事件风险物质判定，</w:t>
            </w:r>
            <w:r>
              <w:rPr>
                <w:rFonts w:hint="eastAsia"/>
                <w:color w:val="auto"/>
                <w:szCs w:val="21"/>
              </w:rPr>
              <w:t>全厂</w:t>
            </w:r>
            <w:r>
              <w:rPr>
                <w:color w:val="auto"/>
                <w:szCs w:val="21"/>
              </w:rPr>
              <w:t>涉及的环境风险物质为</w:t>
            </w:r>
            <w:r>
              <w:rPr>
                <w:rFonts w:hint="eastAsia"/>
                <w:color w:val="auto"/>
                <w:szCs w:val="21"/>
              </w:rPr>
              <w:t>切削液</w:t>
            </w:r>
            <w:r>
              <w:rPr>
                <w:rFonts w:hint="eastAsia"/>
                <w:color w:val="auto"/>
                <w:szCs w:val="21"/>
                <w:lang w:eastAsia="zh-CN"/>
              </w:rPr>
              <w:t>、</w:t>
            </w:r>
            <w:r>
              <w:rPr>
                <w:rFonts w:hint="eastAsia"/>
                <w:color w:val="auto"/>
                <w:szCs w:val="21"/>
                <w:lang w:val="en-US" w:eastAsia="zh-CN"/>
              </w:rPr>
              <w:t>脱膜剂、</w:t>
            </w:r>
            <w:r>
              <w:rPr>
                <w:rFonts w:hint="eastAsia"/>
                <w:color w:val="auto"/>
                <w:szCs w:val="21"/>
              </w:rPr>
              <w:t>危险废物</w:t>
            </w:r>
            <w:r>
              <w:rPr>
                <w:rFonts w:hint="eastAsia"/>
                <w:color w:val="auto"/>
                <w:szCs w:val="21"/>
                <w:lang w:val="en-US" w:eastAsia="zh-CN"/>
              </w:rPr>
              <w:t>及</w:t>
            </w:r>
            <w:r>
              <w:rPr>
                <w:rFonts w:hint="eastAsia"/>
                <w:color w:val="auto"/>
                <w:szCs w:val="21"/>
                <w:lang w:eastAsia="zh-CN"/>
              </w:rPr>
              <w:t>铝粉尘，风险源主要为原料仓库、危废仓库和废气处理设施，建设项目危险物质及数量见表</w:t>
            </w:r>
            <w:r>
              <w:rPr>
                <w:rFonts w:hint="eastAsia"/>
                <w:color w:val="auto"/>
                <w:szCs w:val="21"/>
                <w:lang w:val="en-US" w:eastAsia="zh-CN"/>
              </w:rPr>
              <w:t>4-13</w:t>
            </w:r>
            <w:r>
              <w:rPr>
                <w:rFonts w:hint="eastAsia"/>
                <w:color w:val="auto"/>
                <w:szCs w:val="21"/>
              </w:rPr>
              <w:t>。</w:t>
            </w:r>
          </w:p>
          <w:p w14:paraId="58C91408">
            <w:pPr>
              <w:jc w:val="center"/>
              <w:rPr>
                <w:rFonts w:hint="eastAsia" w:eastAsia="宋体"/>
                <w:b/>
                <w:color w:val="auto"/>
                <w:szCs w:val="21"/>
                <w:lang w:eastAsia="zh-CN"/>
              </w:rPr>
            </w:pPr>
            <w:r>
              <w:rPr>
                <w:b/>
                <w:color w:val="auto"/>
                <w:szCs w:val="21"/>
              </w:rPr>
              <w:t>表4-</w:t>
            </w:r>
            <w:r>
              <w:rPr>
                <w:rFonts w:hint="eastAsia"/>
                <w:b/>
                <w:color w:val="auto"/>
                <w:szCs w:val="21"/>
                <w:lang w:val="en-US" w:eastAsia="zh-CN"/>
              </w:rPr>
              <w:t>13</w:t>
            </w:r>
            <w:r>
              <w:rPr>
                <w:b/>
                <w:color w:val="auto"/>
                <w:szCs w:val="21"/>
              </w:rPr>
              <w:t>危险物质</w:t>
            </w:r>
            <w:r>
              <w:rPr>
                <w:rFonts w:hint="eastAsia"/>
                <w:b/>
                <w:color w:val="auto"/>
                <w:szCs w:val="21"/>
                <w:lang w:eastAsia="zh-CN"/>
              </w:rPr>
              <w:t>及数量一览表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346"/>
              <w:gridCol w:w="2156"/>
              <w:gridCol w:w="1764"/>
            </w:tblGrid>
            <w:tr w14:paraId="5088F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l2br w:val="nil"/>
                    <w:tr2bl w:val="nil"/>
                  </w:tcBorders>
                  <w:noWrap w:val="0"/>
                  <w:vAlign w:val="center"/>
                </w:tcPr>
                <w:p w14:paraId="5614DBBE">
                  <w:pPr>
                    <w:adjustRightInd w:val="0"/>
                    <w:snapToGrid w:val="0"/>
                    <w:spacing w:line="240" w:lineRule="auto"/>
                    <w:jc w:val="center"/>
                    <w:rPr>
                      <w:b/>
                      <w:bCs/>
                      <w:color w:val="auto"/>
                      <w:kern w:val="24"/>
                      <w:sz w:val="21"/>
                      <w:szCs w:val="21"/>
                    </w:rPr>
                  </w:pPr>
                  <w:r>
                    <w:rPr>
                      <w:b/>
                      <w:bCs/>
                      <w:color w:val="auto"/>
                      <w:kern w:val="24"/>
                      <w:sz w:val="21"/>
                      <w:szCs w:val="21"/>
                    </w:rPr>
                    <w:t>序号</w:t>
                  </w:r>
                </w:p>
              </w:tc>
              <w:tc>
                <w:tcPr>
                  <w:tcW w:w="2033" w:type="pct"/>
                  <w:tcBorders>
                    <w:tl2br w:val="nil"/>
                    <w:tr2bl w:val="nil"/>
                  </w:tcBorders>
                  <w:noWrap w:val="0"/>
                  <w:vAlign w:val="center"/>
                </w:tcPr>
                <w:p w14:paraId="0AF87747">
                  <w:pPr>
                    <w:adjustRightInd w:val="0"/>
                    <w:snapToGrid w:val="0"/>
                    <w:spacing w:line="240" w:lineRule="auto"/>
                    <w:jc w:val="center"/>
                    <w:rPr>
                      <w:b/>
                      <w:bCs/>
                      <w:color w:val="auto"/>
                      <w:kern w:val="24"/>
                      <w:sz w:val="21"/>
                      <w:szCs w:val="21"/>
                    </w:rPr>
                  </w:pPr>
                  <w:r>
                    <w:rPr>
                      <w:b/>
                      <w:bCs/>
                      <w:color w:val="auto"/>
                      <w:kern w:val="24"/>
                      <w:sz w:val="21"/>
                      <w:szCs w:val="21"/>
                    </w:rPr>
                    <w:t>危险物质名称</w:t>
                  </w:r>
                </w:p>
              </w:tc>
              <w:tc>
                <w:tcPr>
                  <w:tcW w:w="1310" w:type="pct"/>
                  <w:tcBorders>
                    <w:tl2br w:val="nil"/>
                    <w:tr2bl w:val="nil"/>
                  </w:tcBorders>
                  <w:noWrap w:val="0"/>
                  <w:vAlign w:val="center"/>
                </w:tcPr>
                <w:p w14:paraId="49B7C400">
                  <w:pPr>
                    <w:adjustRightInd w:val="0"/>
                    <w:snapToGrid w:val="0"/>
                    <w:spacing w:line="240" w:lineRule="auto"/>
                    <w:jc w:val="center"/>
                    <w:rPr>
                      <w:b/>
                      <w:bCs/>
                      <w:color w:val="auto"/>
                      <w:kern w:val="24"/>
                      <w:sz w:val="21"/>
                      <w:szCs w:val="21"/>
                    </w:rPr>
                  </w:pPr>
                  <w:r>
                    <w:rPr>
                      <w:b/>
                      <w:bCs/>
                      <w:color w:val="auto"/>
                      <w:kern w:val="24"/>
                      <w:sz w:val="21"/>
                      <w:szCs w:val="21"/>
                    </w:rPr>
                    <w:t>最大存在总量qn(t)</w:t>
                  </w:r>
                </w:p>
              </w:tc>
              <w:tc>
                <w:tcPr>
                  <w:tcW w:w="1072" w:type="pct"/>
                  <w:tcBorders>
                    <w:tl2br w:val="nil"/>
                    <w:tr2bl w:val="nil"/>
                  </w:tcBorders>
                  <w:noWrap w:val="0"/>
                  <w:vAlign w:val="center"/>
                </w:tcPr>
                <w:p w14:paraId="3CBBB359">
                  <w:pPr>
                    <w:adjustRightInd w:val="0"/>
                    <w:snapToGrid w:val="0"/>
                    <w:spacing w:line="240" w:lineRule="auto"/>
                    <w:jc w:val="center"/>
                    <w:rPr>
                      <w:b/>
                      <w:bCs/>
                      <w:color w:val="auto"/>
                      <w:kern w:val="24"/>
                      <w:sz w:val="21"/>
                      <w:szCs w:val="21"/>
                    </w:rPr>
                  </w:pPr>
                  <w:r>
                    <w:rPr>
                      <w:b/>
                      <w:bCs/>
                      <w:color w:val="auto"/>
                      <w:kern w:val="24"/>
                      <w:sz w:val="21"/>
                      <w:szCs w:val="21"/>
                    </w:rPr>
                    <w:t>风险源分布情况</w:t>
                  </w:r>
                </w:p>
              </w:tc>
            </w:tr>
            <w:tr w14:paraId="33D42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83" w:type="pct"/>
                  <w:tcBorders>
                    <w:tl2br w:val="nil"/>
                    <w:tr2bl w:val="nil"/>
                  </w:tcBorders>
                  <w:noWrap w:val="0"/>
                  <w:vAlign w:val="center"/>
                </w:tcPr>
                <w:p w14:paraId="78D92E24">
                  <w:pPr>
                    <w:adjustRightInd w:val="0"/>
                    <w:snapToGrid w:val="0"/>
                    <w:spacing w:line="240" w:lineRule="auto"/>
                    <w:jc w:val="center"/>
                    <w:rPr>
                      <w:color w:val="auto"/>
                      <w:kern w:val="24"/>
                      <w:sz w:val="21"/>
                      <w:szCs w:val="21"/>
                    </w:rPr>
                  </w:pPr>
                  <w:r>
                    <w:rPr>
                      <w:color w:val="auto"/>
                      <w:kern w:val="24"/>
                      <w:sz w:val="21"/>
                      <w:szCs w:val="21"/>
                    </w:rPr>
                    <w:t>1</w:t>
                  </w:r>
                </w:p>
              </w:tc>
              <w:tc>
                <w:tcPr>
                  <w:tcW w:w="2033" w:type="pct"/>
                  <w:tcBorders>
                    <w:tl2br w:val="nil"/>
                    <w:tr2bl w:val="nil"/>
                  </w:tcBorders>
                  <w:noWrap w:val="0"/>
                  <w:vAlign w:val="center"/>
                </w:tcPr>
                <w:p w14:paraId="46B461AB">
                  <w:pPr>
                    <w:adjustRightInd w:val="0"/>
                    <w:snapToGrid w:val="0"/>
                    <w:spacing w:line="240" w:lineRule="auto"/>
                    <w:jc w:val="center"/>
                    <w:rPr>
                      <w:rFonts w:hint="eastAsia" w:eastAsia="宋体"/>
                      <w:color w:val="auto"/>
                      <w:sz w:val="21"/>
                      <w:szCs w:val="21"/>
                      <w:lang w:eastAsia="zh-CN"/>
                    </w:rPr>
                  </w:pPr>
                  <w:r>
                    <w:rPr>
                      <w:rFonts w:hint="eastAsia"/>
                      <w:color w:val="auto"/>
                      <w:sz w:val="21"/>
                      <w:szCs w:val="21"/>
                      <w:lang w:eastAsia="zh-CN"/>
                    </w:rPr>
                    <w:t>切削液</w:t>
                  </w:r>
                </w:p>
              </w:tc>
              <w:tc>
                <w:tcPr>
                  <w:tcW w:w="1310" w:type="pct"/>
                  <w:tcBorders>
                    <w:tl2br w:val="nil"/>
                    <w:tr2bl w:val="nil"/>
                  </w:tcBorders>
                  <w:noWrap w:val="0"/>
                  <w:vAlign w:val="center"/>
                </w:tcPr>
                <w:p w14:paraId="5BE1FB97">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0.1</w:t>
                  </w:r>
                </w:p>
              </w:tc>
              <w:tc>
                <w:tcPr>
                  <w:tcW w:w="1072" w:type="pct"/>
                  <w:tcBorders>
                    <w:tl2br w:val="nil"/>
                    <w:tr2bl w:val="nil"/>
                  </w:tcBorders>
                  <w:noWrap w:val="0"/>
                  <w:vAlign w:val="center"/>
                </w:tcPr>
                <w:p w14:paraId="7CBC1143">
                  <w:pPr>
                    <w:adjustRightInd w:val="0"/>
                    <w:snapToGrid w:val="0"/>
                    <w:spacing w:line="240" w:lineRule="auto"/>
                    <w:jc w:val="center"/>
                    <w:rPr>
                      <w:color w:val="auto"/>
                      <w:kern w:val="0"/>
                      <w:sz w:val="21"/>
                      <w:szCs w:val="21"/>
                    </w:rPr>
                  </w:pPr>
                  <w:r>
                    <w:rPr>
                      <w:color w:val="auto"/>
                      <w:kern w:val="0"/>
                      <w:sz w:val="21"/>
                      <w:szCs w:val="21"/>
                    </w:rPr>
                    <w:t>原料库</w:t>
                  </w:r>
                </w:p>
              </w:tc>
            </w:tr>
            <w:tr w14:paraId="0B956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83" w:type="pct"/>
                  <w:tcBorders>
                    <w:tl2br w:val="nil"/>
                    <w:tr2bl w:val="nil"/>
                  </w:tcBorders>
                  <w:noWrap w:val="0"/>
                  <w:vAlign w:val="center"/>
                </w:tcPr>
                <w:p w14:paraId="0746D25E">
                  <w:pPr>
                    <w:adjustRightInd w:val="0"/>
                    <w:snapToGrid w:val="0"/>
                    <w:spacing w:line="240" w:lineRule="auto"/>
                    <w:jc w:val="center"/>
                    <w:rPr>
                      <w:color w:val="auto"/>
                      <w:kern w:val="24"/>
                      <w:sz w:val="21"/>
                      <w:szCs w:val="21"/>
                    </w:rPr>
                  </w:pPr>
                </w:p>
              </w:tc>
              <w:tc>
                <w:tcPr>
                  <w:tcW w:w="2033" w:type="pct"/>
                  <w:tcBorders>
                    <w:tl2br w:val="nil"/>
                    <w:tr2bl w:val="nil"/>
                  </w:tcBorders>
                  <w:noWrap w:val="0"/>
                  <w:vAlign w:val="center"/>
                </w:tcPr>
                <w:p w14:paraId="5AA51E28">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脱膜剂</w:t>
                  </w:r>
                </w:p>
              </w:tc>
              <w:tc>
                <w:tcPr>
                  <w:tcW w:w="1310" w:type="pct"/>
                  <w:tcBorders>
                    <w:tl2br w:val="nil"/>
                    <w:tr2bl w:val="nil"/>
                  </w:tcBorders>
                  <w:noWrap w:val="0"/>
                  <w:vAlign w:val="center"/>
                </w:tcPr>
                <w:p w14:paraId="4CBAFC90">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0.01</w:t>
                  </w:r>
                </w:p>
              </w:tc>
              <w:tc>
                <w:tcPr>
                  <w:tcW w:w="1072" w:type="pct"/>
                  <w:tcBorders>
                    <w:tl2br w:val="nil"/>
                    <w:tr2bl w:val="nil"/>
                  </w:tcBorders>
                  <w:noWrap w:val="0"/>
                  <w:vAlign w:val="center"/>
                </w:tcPr>
                <w:p w14:paraId="6C0B88D6">
                  <w:pPr>
                    <w:adjustRightInd w:val="0"/>
                    <w:snapToGrid w:val="0"/>
                    <w:spacing w:line="240" w:lineRule="auto"/>
                    <w:jc w:val="center"/>
                    <w:rPr>
                      <w:color w:val="auto"/>
                      <w:kern w:val="0"/>
                      <w:sz w:val="21"/>
                      <w:szCs w:val="21"/>
                    </w:rPr>
                  </w:pPr>
                  <w:r>
                    <w:rPr>
                      <w:color w:val="auto"/>
                      <w:kern w:val="0"/>
                      <w:sz w:val="21"/>
                      <w:szCs w:val="21"/>
                    </w:rPr>
                    <w:t>原料库</w:t>
                  </w:r>
                </w:p>
              </w:tc>
            </w:tr>
            <w:tr w14:paraId="5903D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3" w:type="pct"/>
                  <w:tcBorders>
                    <w:tl2br w:val="nil"/>
                    <w:tr2bl w:val="nil"/>
                  </w:tcBorders>
                  <w:noWrap w:val="0"/>
                  <w:vAlign w:val="center"/>
                </w:tcPr>
                <w:p w14:paraId="1C4410B1">
                  <w:pPr>
                    <w:adjustRightInd w:val="0"/>
                    <w:snapToGrid w:val="0"/>
                    <w:spacing w:line="240" w:lineRule="auto"/>
                    <w:jc w:val="center"/>
                    <w:rPr>
                      <w:color w:val="auto"/>
                      <w:kern w:val="24"/>
                      <w:sz w:val="21"/>
                      <w:szCs w:val="21"/>
                    </w:rPr>
                  </w:pPr>
                  <w:r>
                    <w:rPr>
                      <w:rFonts w:hint="eastAsia"/>
                      <w:color w:val="auto"/>
                      <w:kern w:val="24"/>
                      <w:sz w:val="21"/>
                      <w:szCs w:val="21"/>
                    </w:rPr>
                    <w:t>2</w:t>
                  </w:r>
                </w:p>
              </w:tc>
              <w:tc>
                <w:tcPr>
                  <w:tcW w:w="2033" w:type="pct"/>
                  <w:tcBorders>
                    <w:tl2br w:val="nil"/>
                    <w:tr2bl w:val="nil"/>
                  </w:tcBorders>
                  <w:noWrap w:val="0"/>
                  <w:vAlign w:val="center"/>
                </w:tcPr>
                <w:p w14:paraId="59FB3148">
                  <w:pPr>
                    <w:adjustRightInd w:val="0"/>
                    <w:snapToGrid w:val="0"/>
                    <w:spacing w:line="240" w:lineRule="auto"/>
                    <w:jc w:val="center"/>
                    <w:rPr>
                      <w:color w:val="auto"/>
                      <w:sz w:val="21"/>
                      <w:szCs w:val="21"/>
                    </w:rPr>
                  </w:pPr>
                  <w:r>
                    <w:rPr>
                      <w:rFonts w:hint="eastAsia"/>
                      <w:color w:val="auto"/>
                      <w:sz w:val="21"/>
                      <w:szCs w:val="21"/>
                    </w:rPr>
                    <w:t>危险废物</w:t>
                  </w:r>
                </w:p>
              </w:tc>
              <w:tc>
                <w:tcPr>
                  <w:tcW w:w="1310" w:type="pct"/>
                  <w:tcBorders>
                    <w:tl2br w:val="nil"/>
                    <w:tr2bl w:val="nil"/>
                  </w:tcBorders>
                  <w:noWrap w:val="0"/>
                  <w:vAlign w:val="center"/>
                </w:tcPr>
                <w:p w14:paraId="17DF3B1F">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15.3306</w:t>
                  </w:r>
                </w:p>
              </w:tc>
              <w:tc>
                <w:tcPr>
                  <w:tcW w:w="1072" w:type="pct"/>
                  <w:tcBorders>
                    <w:tl2br w:val="nil"/>
                    <w:tr2bl w:val="nil"/>
                  </w:tcBorders>
                  <w:noWrap w:val="0"/>
                  <w:vAlign w:val="center"/>
                </w:tcPr>
                <w:p w14:paraId="45CC2195">
                  <w:pPr>
                    <w:adjustRightInd w:val="0"/>
                    <w:snapToGrid w:val="0"/>
                    <w:spacing w:line="240" w:lineRule="auto"/>
                    <w:jc w:val="center"/>
                    <w:rPr>
                      <w:color w:val="auto"/>
                      <w:kern w:val="0"/>
                      <w:sz w:val="21"/>
                      <w:szCs w:val="21"/>
                    </w:rPr>
                  </w:pPr>
                  <w:r>
                    <w:rPr>
                      <w:color w:val="auto"/>
                      <w:kern w:val="0"/>
                      <w:sz w:val="21"/>
                      <w:szCs w:val="21"/>
                    </w:rPr>
                    <w:t>危废库</w:t>
                  </w:r>
                </w:p>
              </w:tc>
            </w:tr>
            <w:tr w14:paraId="229DD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83" w:type="pct"/>
                  <w:tcBorders>
                    <w:tl2br w:val="nil"/>
                    <w:tr2bl w:val="nil"/>
                  </w:tcBorders>
                  <w:noWrap w:val="0"/>
                  <w:vAlign w:val="center"/>
                </w:tcPr>
                <w:p w14:paraId="63371B58">
                  <w:pPr>
                    <w:adjustRightInd w:val="0"/>
                    <w:snapToGrid w:val="0"/>
                    <w:spacing w:line="240" w:lineRule="auto"/>
                    <w:jc w:val="center"/>
                    <w:rPr>
                      <w:rFonts w:hint="eastAsia" w:eastAsia="宋体"/>
                      <w:color w:val="auto"/>
                      <w:kern w:val="24"/>
                      <w:sz w:val="21"/>
                      <w:szCs w:val="21"/>
                      <w:lang w:val="en-US" w:eastAsia="zh-CN"/>
                    </w:rPr>
                  </w:pPr>
                  <w:r>
                    <w:rPr>
                      <w:rFonts w:hint="eastAsia"/>
                      <w:color w:val="auto"/>
                      <w:kern w:val="24"/>
                      <w:sz w:val="21"/>
                      <w:szCs w:val="21"/>
                      <w:lang w:val="en-US" w:eastAsia="zh-CN"/>
                    </w:rPr>
                    <w:t>4</w:t>
                  </w:r>
                </w:p>
              </w:tc>
              <w:tc>
                <w:tcPr>
                  <w:tcW w:w="2033" w:type="pct"/>
                  <w:tcBorders>
                    <w:tl2br w:val="nil"/>
                    <w:tr2bl w:val="nil"/>
                  </w:tcBorders>
                  <w:noWrap w:val="0"/>
                  <w:vAlign w:val="center"/>
                </w:tcPr>
                <w:p w14:paraId="7E6CCBD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打磨粉尘（铝粉）</w:t>
                  </w:r>
                </w:p>
              </w:tc>
              <w:tc>
                <w:tcPr>
                  <w:tcW w:w="1310" w:type="pct"/>
                  <w:tcBorders>
                    <w:tl2br w:val="nil"/>
                    <w:tr2bl w:val="nil"/>
                  </w:tcBorders>
                  <w:noWrap w:val="0"/>
                  <w:vAlign w:val="center"/>
                </w:tcPr>
                <w:p w14:paraId="0C9CCAB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72" w:type="pct"/>
                  <w:tcBorders>
                    <w:tl2br w:val="nil"/>
                    <w:tr2bl w:val="nil"/>
                  </w:tcBorders>
                  <w:noWrap w:val="0"/>
                  <w:vAlign w:val="center"/>
                </w:tcPr>
                <w:p w14:paraId="2DD46533">
                  <w:pPr>
                    <w:adjustRightInd w:val="0"/>
                    <w:snapToGrid w:val="0"/>
                    <w:spacing w:line="240" w:lineRule="auto"/>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r>
          </w:tbl>
          <w:p w14:paraId="5F9908B7">
            <w:pPr>
              <w:spacing w:line="360" w:lineRule="auto"/>
              <w:ind w:firstLine="480"/>
              <w:rPr>
                <w:b w:val="0"/>
                <w:bCs w:val="0"/>
                <w:color w:val="auto"/>
              </w:rPr>
            </w:pPr>
            <w:r>
              <w:rPr>
                <w:rFonts w:hint="eastAsia"/>
                <w:b w:val="0"/>
                <w:bCs w:val="0"/>
                <w:color w:val="auto"/>
                <w:lang w:val="en-US" w:eastAsia="zh-CN"/>
              </w:rPr>
              <w:t>（2）</w:t>
            </w:r>
            <w:r>
              <w:rPr>
                <w:b w:val="0"/>
                <w:bCs w:val="0"/>
                <w:color w:val="auto"/>
              </w:rPr>
              <w:t>风险潜势</w:t>
            </w:r>
          </w:p>
          <w:p w14:paraId="6E4C6016">
            <w:pPr>
              <w:widowControl/>
              <w:adjustRightInd w:val="0"/>
              <w:snapToGrid w:val="0"/>
              <w:spacing w:line="360" w:lineRule="auto"/>
              <w:ind w:firstLine="420" w:firstLineChars="200"/>
              <w:jc w:val="left"/>
              <w:rPr>
                <w:color w:val="auto"/>
                <w:sz w:val="24"/>
              </w:rPr>
            </w:pPr>
            <w:r>
              <w:rPr>
                <w:color w:val="auto"/>
                <w:szCs w:val="21"/>
              </w:rPr>
              <w:t>对照《建设项目环境风险评价技术导则》（HJT169-2018）附录B，本项目危险物质数量与临界量的比值Q见下表</w:t>
            </w:r>
            <w:r>
              <w:rPr>
                <w:color w:val="auto"/>
                <w:sz w:val="24"/>
              </w:rPr>
              <w:t>。</w:t>
            </w:r>
          </w:p>
          <w:p w14:paraId="27C3FF40">
            <w:pPr>
              <w:jc w:val="center"/>
              <w:rPr>
                <w:b/>
                <w:color w:val="auto"/>
                <w:szCs w:val="21"/>
              </w:rPr>
            </w:pPr>
            <w:r>
              <w:rPr>
                <w:b/>
                <w:color w:val="auto"/>
                <w:szCs w:val="21"/>
              </w:rPr>
              <w:t>表4-</w:t>
            </w:r>
            <w:r>
              <w:rPr>
                <w:rFonts w:hint="eastAsia"/>
                <w:b/>
                <w:color w:val="auto"/>
                <w:szCs w:val="21"/>
                <w:lang w:val="en-US" w:eastAsia="zh-CN"/>
              </w:rPr>
              <w:t>14</w:t>
            </w:r>
            <w:r>
              <w:rPr>
                <w:b/>
                <w:color w:val="auto"/>
                <w:szCs w:val="21"/>
              </w:rPr>
              <w:t>危险物质与临界量比值</w:t>
            </w:r>
          </w:p>
          <w:tbl>
            <w:tblPr>
              <w:tblStyle w:val="25"/>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366"/>
              <w:gridCol w:w="1524"/>
              <w:gridCol w:w="1134"/>
              <w:gridCol w:w="959"/>
              <w:gridCol w:w="1562"/>
            </w:tblGrid>
            <w:tr w14:paraId="464F9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08" w:type="pct"/>
                  <w:tcBorders>
                    <w:top w:val="single" w:color="auto" w:sz="12" w:space="0"/>
                    <w:left w:val="nil"/>
                    <w:bottom w:val="single" w:color="auto" w:sz="4" w:space="0"/>
                    <w:right w:val="single" w:color="auto" w:sz="4" w:space="0"/>
                  </w:tcBorders>
                  <w:noWrap w:val="0"/>
                  <w:vAlign w:val="center"/>
                </w:tcPr>
                <w:p w14:paraId="07CB2A68">
                  <w:pPr>
                    <w:adjustRightInd w:val="0"/>
                    <w:snapToGrid w:val="0"/>
                    <w:spacing w:line="240" w:lineRule="auto"/>
                    <w:jc w:val="center"/>
                    <w:rPr>
                      <w:b/>
                      <w:bCs/>
                      <w:color w:val="auto"/>
                      <w:kern w:val="24"/>
                      <w:sz w:val="21"/>
                      <w:szCs w:val="21"/>
                    </w:rPr>
                  </w:pPr>
                  <w:r>
                    <w:rPr>
                      <w:b/>
                      <w:bCs/>
                      <w:color w:val="auto"/>
                      <w:kern w:val="24"/>
                      <w:sz w:val="21"/>
                      <w:szCs w:val="21"/>
                    </w:rPr>
                    <w:t>序号</w:t>
                  </w:r>
                </w:p>
              </w:tc>
              <w:tc>
                <w:tcPr>
                  <w:tcW w:w="1439" w:type="pct"/>
                  <w:tcBorders>
                    <w:top w:val="single" w:color="auto" w:sz="12" w:space="0"/>
                    <w:left w:val="single" w:color="auto" w:sz="4" w:space="0"/>
                    <w:bottom w:val="single" w:color="auto" w:sz="4" w:space="0"/>
                    <w:right w:val="single" w:color="auto" w:sz="4" w:space="0"/>
                  </w:tcBorders>
                  <w:noWrap w:val="0"/>
                  <w:vAlign w:val="center"/>
                </w:tcPr>
                <w:p w14:paraId="7A9C87CD">
                  <w:pPr>
                    <w:adjustRightInd w:val="0"/>
                    <w:snapToGrid w:val="0"/>
                    <w:spacing w:line="240" w:lineRule="auto"/>
                    <w:jc w:val="center"/>
                    <w:rPr>
                      <w:b/>
                      <w:bCs/>
                      <w:color w:val="auto"/>
                      <w:kern w:val="24"/>
                      <w:sz w:val="21"/>
                      <w:szCs w:val="21"/>
                    </w:rPr>
                  </w:pPr>
                  <w:r>
                    <w:rPr>
                      <w:b/>
                      <w:bCs/>
                      <w:color w:val="auto"/>
                      <w:kern w:val="24"/>
                      <w:sz w:val="21"/>
                      <w:szCs w:val="21"/>
                    </w:rPr>
                    <w:t>危险物质名称</w:t>
                  </w:r>
                </w:p>
              </w:tc>
              <w:tc>
                <w:tcPr>
                  <w:tcW w:w="927" w:type="pct"/>
                  <w:tcBorders>
                    <w:top w:val="single" w:color="auto" w:sz="12" w:space="0"/>
                    <w:left w:val="single" w:color="auto" w:sz="4" w:space="0"/>
                    <w:bottom w:val="single" w:color="auto" w:sz="4" w:space="0"/>
                    <w:right w:val="single" w:color="auto" w:sz="4" w:space="0"/>
                  </w:tcBorders>
                  <w:noWrap w:val="0"/>
                  <w:vAlign w:val="center"/>
                </w:tcPr>
                <w:p w14:paraId="43072885">
                  <w:pPr>
                    <w:adjustRightInd w:val="0"/>
                    <w:snapToGrid w:val="0"/>
                    <w:spacing w:line="240" w:lineRule="auto"/>
                    <w:jc w:val="center"/>
                    <w:rPr>
                      <w:b/>
                      <w:bCs/>
                      <w:color w:val="auto"/>
                      <w:kern w:val="24"/>
                      <w:sz w:val="21"/>
                      <w:szCs w:val="21"/>
                    </w:rPr>
                  </w:pPr>
                  <w:r>
                    <w:rPr>
                      <w:b/>
                      <w:bCs/>
                      <w:color w:val="auto"/>
                      <w:kern w:val="24"/>
                      <w:sz w:val="21"/>
                      <w:szCs w:val="21"/>
                    </w:rPr>
                    <w:t>最大存在总量qn(t)</w:t>
                  </w:r>
                </w:p>
              </w:tc>
              <w:tc>
                <w:tcPr>
                  <w:tcW w:w="690" w:type="pct"/>
                  <w:tcBorders>
                    <w:top w:val="single" w:color="auto" w:sz="12" w:space="0"/>
                    <w:left w:val="single" w:color="auto" w:sz="4" w:space="0"/>
                    <w:bottom w:val="single" w:color="auto" w:sz="4" w:space="0"/>
                    <w:right w:val="single" w:color="auto" w:sz="4" w:space="0"/>
                  </w:tcBorders>
                  <w:noWrap w:val="0"/>
                  <w:vAlign w:val="center"/>
                </w:tcPr>
                <w:p w14:paraId="04FCD953">
                  <w:pPr>
                    <w:adjustRightInd w:val="0"/>
                    <w:snapToGrid w:val="0"/>
                    <w:spacing w:line="240" w:lineRule="auto"/>
                    <w:jc w:val="center"/>
                    <w:rPr>
                      <w:b/>
                      <w:bCs/>
                      <w:color w:val="auto"/>
                      <w:kern w:val="24"/>
                      <w:sz w:val="21"/>
                      <w:szCs w:val="21"/>
                    </w:rPr>
                  </w:pPr>
                  <w:r>
                    <w:rPr>
                      <w:b/>
                      <w:bCs/>
                      <w:color w:val="auto"/>
                      <w:kern w:val="24"/>
                      <w:sz w:val="21"/>
                      <w:szCs w:val="21"/>
                    </w:rPr>
                    <w:t>临界量Qn(t)</w:t>
                  </w:r>
                </w:p>
              </w:tc>
              <w:tc>
                <w:tcPr>
                  <w:tcW w:w="583" w:type="pct"/>
                  <w:tcBorders>
                    <w:top w:val="single" w:color="auto" w:sz="12" w:space="0"/>
                    <w:left w:val="single" w:color="auto" w:sz="4" w:space="0"/>
                    <w:bottom w:val="single" w:color="auto" w:sz="4" w:space="0"/>
                    <w:right w:val="nil"/>
                  </w:tcBorders>
                  <w:noWrap w:val="0"/>
                  <w:vAlign w:val="center"/>
                </w:tcPr>
                <w:p w14:paraId="5DEAE913">
                  <w:pPr>
                    <w:adjustRightInd w:val="0"/>
                    <w:snapToGrid w:val="0"/>
                    <w:spacing w:line="240" w:lineRule="auto"/>
                    <w:jc w:val="center"/>
                    <w:rPr>
                      <w:b/>
                      <w:bCs/>
                      <w:color w:val="auto"/>
                      <w:kern w:val="24"/>
                      <w:sz w:val="21"/>
                      <w:szCs w:val="21"/>
                    </w:rPr>
                  </w:pPr>
                  <w:r>
                    <w:rPr>
                      <w:b/>
                      <w:bCs/>
                      <w:color w:val="auto"/>
                      <w:kern w:val="24"/>
                      <w:sz w:val="21"/>
                      <w:szCs w:val="21"/>
                    </w:rPr>
                    <w:t>qn/Qn</w:t>
                  </w:r>
                </w:p>
              </w:tc>
              <w:tc>
                <w:tcPr>
                  <w:tcW w:w="950" w:type="pct"/>
                  <w:tcBorders>
                    <w:top w:val="single" w:color="auto" w:sz="12" w:space="0"/>
                    <w:left w:val="single" w:color="auto" w:sz="4" w:space="0"/>
                    <w:bottom w:val="single" w:color="auto" w:sz="4" w:space="0"/>
                    <w:right w:val="nil"/>
                  </w:tcBorders>
                  <w:noWrap w:val="0"/>
                  <w:vAlign w:val="center"/>
                </w:tcPr>
                <w:p w14:paraId="305F4525">
                  <w:pPr>
                    <w:adjustRightInd w:val="0"/>
                    <w:snapToGrid w:val="0"/>
                    <w:spacing w:line="240" w:lineRule="auto"/>
                    <w:jc w:val="center"/>
                    <w:rPr>
                      <w:b/>
                      <w:bCs/>
                      <w:color w:val="auto"/>
                      <w:kern w:val="24"/>
                      <w:sz w:val="21"/>
                      <w:szCs w:val="21"/>
                    </w:rPr>
                  </w:pPr>
                  <w:r>
                    <w:rPr>
                      <w:b/>
                      <w:bCs/>
                      <w:color w:val="auto"/>
                      <w:kern w:val="24"/>
                      <w:sz w:val="21"/>
                      <w:szCs w:val="21"/>
                    </w:rPr>
                    <w:t>风险源分布情况</w:t>
                  </w:r>
                </w:p>
              </w:tc>
            </w:tr>
            <w:tr w14:paraId="133C9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08" w:type="pct"/>
                  <w:tcBorders>
                    <w:top w:val="single" w:color="auto" w:sz="4" w:space="0"/>
                    <w:left w:val="nil"/>
                    <w:bottom w:val="single" w:color="auto" w:sz="4" w:space="0"/>
                    <w:right w:val="single" w:color="auto" w:sz="4" w:space="0"/>
                  </w:tcBorders>
                  <w:noWrap w:val="0"/>
                  <w:vAlign w:val="center"/>
                </w:tcPr>
                <w:p w14:paraId="27371762">
                  <w:pPr>
                    <w:adjustRightInd w:val="0"/>
                    <w:snapToGrid w:val="0"/>
                    <w:spacing w:line="240" w:lineRule="auto"/>
                    <w:jc w:val="center"/>
                    <w:rPr>
                      <w:color w:val="auto"/>
                      <w:kern w:val="24"/>
                      <w:sz w:val="21"/>
                      <w:szCs w:val="21"/>
                    </w:rPr>
                  </w:pPr>
                  <w:r>
                    <w:rPr>
                      <w:color w:val="auto"/>
                      <w:kern w:val="24"/>
                      <w:sz w:val="21"/>
                      <w:szCs w:val="21"/>
                    </w:rPr>
                    <w:t>1</w:t>
                  </w:r>
                </w:p>
              </w:tc>
              <w:tc>
                <w:tcPr>
                  <w:tcW w:w="1439" w:type="pct"/>
                  <w:tcBorders>
                    <w:top w:val="single" w:color="auto" w:sz="4" w:space="0"/>
                    <w:left w:val="single" w:color="auto" w:sz="4" w:space="0"/>
                    <w:bottom w:val="single" w:color="auto" w:sz="4" w:space="0"/>
                    <w:right w:val="single" w:color="auto" w:sz="4" w:space="0"/>
                  </w:tcBorders>
                  <w:noWrap w:val="0"/>
                  <w:vAlign w:val="center"/>
                </w:tcPr>
                <w:p w14:paraId="405C0DAD">
                  <w:pPr>
                    <w:adjustRightInd w:val="0"/>
                    <w:snapToGrid w:val="0"/>
                    <w:spacing w:line="240" w:lineRule="auto"/>
                    <w:jc w:val="center"/>
                    <w:rPr>
                      <w:rFonts w:hint="eastAsia" w:eastAsia="宋体"/>
                      <w:color w:val="auto"/>
                      <w:sz w:val="21"/>
                      <w:szCs w:val="21"/>
                      <w:lang w:eastAsia="zh-CN"/>
                    </w:rPr>
                  </w:pPr>
                  <w:r>
                    <w:rPr>
                      <w:rFonts w:hint="eastAsia"/>
                      <w:color w:val="auto"/>
                      <w:sz w:val="21"/>
                      <w:szCs w:val="21"/>
                      <w:lang w:eastAsia="zh-CN"/>
                    </w:rPr>
                    <w:t>切削液</w:t>
                  </w:r>
                </w:p>
              </w:tc>
              <w:tc>
                <w:tcPr>
                  <w:tcW w:w="927" w:type="pct"/>
                  <w:tcBorders>
                    <w:top w:val="single" w:color="auto" w:sz="4" w:space="0"/>
                    <w:left w:val="single" w:color="auto" w:sz="4" w:space="0"/>
                    <w:bottom w:val="single" w:color="auto" w:sz="4" w:space="0"/>
                    <w:right w:val="single" w:color="auto" w:sz="4" w:space="0"/>
                  </w:tcBorders>
                  <w:noWrap w:val="0"/>
                  <w:vAlign w:val="center"/>
                </w:tcPr>
                <w:p w14:paraId="7C227D94">
                  <w:pPr>
                    <w:adjustRightInd w:val="0"/>
                    <w:snapToGrid w:val="0"/>
                    <w:spacing w:line="240" w:lineRule="auto"/>
                    <w:jc w:val="center"/>
                    <w:rPr>
                      <w:color w:val="auto"/>
                      <w:sz w:val="21"/>
                      <w:szCs w:val="21"/>
                    </w:rPr>
                  </w:pPr>
                  <w:r>
                    <w:rPr>
                      <w:rFonts w:hint="eastAsia"/>
                      <w:color w:val="auto"/>
                      <w:sz w:val="21"/>
                      <w:szCs w:val="21"/>
                      <w:lang w:val="en-US" w:eastAsia="zh-CN"/>
                    </w:rPr>
                    <w:t>0.</w:t>
                  </w:r>
                  <w:r>
                    <w:rPr>
                      <w:rFonts w:hint="eastAsia"/>
                      <w:color w:val="auto"/>
                      <w:sz w:val="21"/>
                      <w:szCs w:val="21"/>
                    </w:rPr>
                    <w:t>1</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00342D6F">
                  <w:pPr>
                    <w:widowControl/>
                    <w:adjustRightInd w:val="0"/>
                    <w:snapToGrid w:val="0"/>
                    <w:spacing w:line="240" w:lineRule="auto"/>
                    <w:jc w:val="center"/>
                    <w:rPr>
                      <w:color w:val="auto"/>
                      <w:kern w:val="0"/>
                      <w:sz w:val="21"/>
                      <w:szCs w:val="21"/>
                    </w:rPr>
                  </w:pPr>
                  <w:r>
                    <w:rPr>
                      <w:color w:val="auto"/>
                      <w:kern w:val="0"/>
                      <w:sz w:val="21"/>
                      <w:szCs w:val="21"/>
                    </w:rPr>
                    <w:t>2500</w:t>
                  </w:r>
                </w:p>
              </w:tc>
              <w:tc>
                <w:tcPr>
                  <w:tcW w:w="583" w:type="pct"/>
                  <w:tcBorders>
                    <w:top w:val="single" w:color="auto" w:sz="4" w:space="0"/>
                    <w:left w:val="single" w:color="auto" w:sz="4" w:space="0"/>
                    <w:bottom w:val="single" w:color="auto" w:sz="4" w:space="0"/>
                    <w:right w:val="nil"/>
                  </w:tcBorders>
                  <w:noWrap w:val="0"/>
                  <w:vAlign w:val="center"/>
                </w:tcPr>
                <w:p w14:paraId="544C028B">
                  <w:pPr>
                    <w:widowControl/>
                    <w:adjustRightInd w:val="0"/>
                    <w:snapToGrid w:val="0"/>
                    <w:spacing w:line="240" w:lineRule="auto"/>
                    <w:jc w:val="center"/>
                    <w:rPr>
                      <w:color w:val="auto"/>
                      <w:kern w:val="0"/>
                      <w:sz w:val="21"/>
                      <w:szCs w:val="21"/>
                    </w:rPr>
                  </w:pPr>
                  <w:r>
                    <w:rPr>
                      <w:rFonts w:hint="eastAsia"/>
                      <w:color w:val="auto"/>
                      <w:kern w:val="0"/>
                      <w:sz w:val="21"/>
                      <w:szCs w:val="21"/>
                    </w:rPr>
                    <w:t>0.000</w:t>
                  </w:r>
                  <w:r>
                    <w:rPr>
                      <w:rFonts w:hint="eastAsia"/>
                      <w:color w:val="auto"/>
                      <w:kern w:val="0"/>
                      <w:sz w:val="21"/>
                      <w:szCs w:val="21"/>
                      <w:lang w:val="en-US" w:eastAsia="zh-CN"/>
                    </w:rPr>
                    <w:t>0</w:t>
                  </w:r>
                  <w:r>
                    <w:rPr>
                      <w:rFonts w:hint="eastAsia"/>
                      <w:color w:val="auto"/>
                      <w:kern w:val="0"/>
                      <w:sz w:val="21"/>
                      <w:szCs w:val="21"/>
                    </w:rPr>
                    <w:t>4</w:t>
                  </w:r>
                </w:p>
              </w:tc>
              <w:tc>
                <w:tcPr>
                  <w:tcW w:w="950" w:type="pct"/>
                  <w:tcBorders>
                    <w:top w:val="single" w:color="auto" w:sz="4" w:space="0"/>
                    <w:left w:val="single" w:color="auto" w:sz="4" w:space="0"/>
                    <w:right w:val="nil"/>
                  </w:tcBorders>
                  <w:noWrap w:val="0"/>
                  <w:vAlign w:val="center"/>
                </w:tcPr>
                <w:p w14:paraId="0C7CE374">
                  <w:pPr>
                    <w:adjustRightInd w:val="0"/>
                    <w:snapToGrid w:val="0"/>
                    <w:spacing w:line="240" w:lineRule="auto"/>
                    <w:jc w:val="center"/>
                    <w:rPr>
                      <w:color w:val="auto"/>
                      <w:kern w:val="0"/>
                      <w:sz w:val="21"/>
                      <w:szCs w:val="21"/>
                    </w:rPr>
                  </w:pPr>
                  <w:r>
                    <w:rPr>
                      <w:color w:val="auto"/>
                      <w:kern w:val="0"/>
                      <w:sz w:val="21"/>
                      <w:szCs w:val="21"/>
                    </w:rPr>
                    <w:t>原料库</w:t>
                  </w:r>
                </w:p>
              </w:tc>
            </w:tr>
            <w:tr w14:paraId="5FE69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08" w:type="pct"/>
                  <w:tcBorders>
                    <w:top w:val="single" w:color="auto" w:sz="4" w:space="0"/>
                    <w:left w:val="nil"/>
                    <w:bottom w:val="single" w:color="auto" w:sz="4" w:space="0"/>
                    <w:right w:val="single" w:color="auto" w:sz="4" w:space="0"/>
                  </w:tcBorders>
                  <w:noWrap w:val="0"/>
                  <w:vAlign w:val="center"/>
                </w:tcPr>
                <w:p w14:paraId="4F71AE14">
                  <w:pPr>
                    <w:adjustRightInd w:val="0"/>
                    <w:snapToGrid w:val="0"/>
                    <w:spacing w:line="240" w:lineRule="auto"/>
                    <w:jc w:val="center"/>
                    <w:rPr>
                      <w:rFonts w:hint="eastAsia" w:eastAsia="宋体"/>
                      <w:color w:val="auto"/>
                      <w:kern w:val="24"/>
                      <w:sz w:val="21"/>
                      <w:szCs w:val="21"/>
                      <w:lang w:val="en-US" w:eastAsia="zh-CN"/>
                    </w:rPr>
                  </w:pPr>
                  <w:r>
                    <w:rPr>
                      <w:rFonts w:hint="eastAsia"/>
                      <w:color w:val="auto"/>
                      <w:kern w:val="24"/>
                      <w:sz w:val="21"/>
                      <w:szCs w:val="21"/>
                      <w:lang w:val="en-US" w:eastAsia="zh-CN"/>
                    </w:rPr>
                    <w:t>2</w:t>
                  </w:r>
                </w:p>
              </w:tc>
              <w:tc>
                <w:tcPr>
                  <w:tcW w:w="1439" w:type="pct"/>
                  <w:tcBorders>
                    <w:top w:val="single" w:color="auto" w:sz="4" w:space="0"/>
                    <w:left w:val="single" w:color="auto" w:sz="4" w:space="0"/>
                    <w:bottom w:val="single" w:color="auto" w:sz="4" w:space="0"/>
                    <w:right w:val="single" w:color="auto" w:sz="4" w:space="0"/>
                  </w:tcBorders>
                  <w:noWrap w:val="0"/>
                  <w:vAlign w:val="center"/>
                </w:tcPr>
                <w:p w14:paraId="7B7CAA94">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脱膜剂</w:t>
                  </w:r>
                </w:p>
              </w:tc>
              <w:tc>
                <w:tcPr>
                  <w:tcW w:w="927" w:type="pct"/>
                  <w:tcBorders>
                    <w:top w:val="single" w:color="auto" w:sz="4" w:space="0"/>
                    <w:left w:val="single" w:color="auto" w:sz="4" w:space="0"/>
                    <w:bottom w:val="single" w:color="auto" w:sz="4" w:space="0"/>
                    <w:right w:val="single" w:color="auto" w:sz="4" w:space="0"/>
                  </w:tcBorders>
                  <w:noWrap w:val="0"/>
                  <w:vAlign w:val="center"/>
                </w:tcPr>
                <w:p w14:paraId="4D7F3D86">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0.01</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016530E7">
                  <w:pPr>
                    <w:widowControl/>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100</w:t>
                  </w:r>
                </w:p>
              </w:tc>
              <w:tc>
                <w:tcPr>
                  <w:tcW w:w="583" w:type="pct"/>
                  <w:tcBorders>
                    <w:top w:val="single" w:color="auto" w:sz="4" w:space="0"/>
                    <w:left w:val="single" w:color="auto" w:sz="4" w:space="0"/>
                    <w:bottom w:val="single" w:color="auto" w:sz="4" w:space="0"/>
                    <w:right w:val="nil"/>
                  </w:tcBorders>
                  <w:noWrap w:val="0"/>
                  <w:vAlign w:val="center"/>
                </w:tcPr>
                <w:p w14:paraId="7CE0200B">
                  <w:pPr>
                    <w:widowControl/>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0.0001</w:t>
                  </w:r>
                </w:p>
              </w:tc>
              <w:tc>
                <w:tcPr>
                  <w:tcW w:w="950" w:type="pct"/>
                  <w:tcBorders>
                    <w:top w:val="single" w:color="auto" w:sz="4" w:space="0"/>
                    <w:left w:val="single" w:color="auto" w:sz="4" w:space="0"/>
                    <w:right w:val="nil"/>
                  </w:tcBorders>
                  <w:noWrap w:val="0"/>
                  <w:vAlign w:val="center"/>
                </w:tcPr>
                <w:p w14:paraId="1AC0D6DA">
                  <w:pPr>
                    <w:adjustRightInd w:val="0"/>
                    <w:snapToGrid w:val="0"/>
                    <w:spacing w:line="240" w:lineRule="auto"/>
                    <w:jc w:val="center"/>
                    <w:rPr>
                      <w:color w:val="auto"/>
                      <w:kern w:val="0"/>
                      <w:sz w:val="21"/>
                      <w:szCs w:val="21"/>
                    </w:rPr>
                  </w:pPr>
                  <w:r>
                    <w:rPr>
                      <w:color w:val="auto"/>
                      <w:kern w:val="0"/>
                      <w:sz w:val="21"/>
                      <w:szCs w:val="21"/>
                    </w:rPr>
                    <w:t>原料库</w:t>
                  </w:r>
                </w:p>
              </w:tc>
            </w:tr>
            <w:tr w14:paraId="4324D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8" w:type="pct"/>
                  <w:tcBorders>
                    <w:top w:val="single" w:color="auto" w:sz="4" w:space="0"/>
                    <w:left w:val="nil"/>
                    <w:bottom w:val="single" w:color="auto" w:sz="4" w:space="0"/>
                    <w:right w:val="single" w:color="auto" w:sz="4" w:space="0"/>
                  </w:tcBorders>
                  <w:noWrap w:val="0"/>
                  <w:vAlign w:val="center"/>
                </w:tcPr>
                <w:p w14:paraId="5A134311">
                  <w:pPr>
                    <w:adjustRightInd w:val="0"/>
                    <w:snapToGrid w:val="0"/>
                    <w:spacing w:line="240" w:lineRule="auto"/>
                    <w:jc w:val="center"/>
                    <w:rPr>
                      <w:rFonts w:hint="eastAsia" w:eastAsia="宋体"/>
                      <w:color w:val="auto"/>
                      <w:kern w:val="24"/>
                      <w:sz w:val="21"/>
                      <w:szCs w:val="21"/>
                      <w:lang w:val="en-US" w:eastAsia="zh-CN"/>
                    </w:rPr>
                  </w:pPr>
                  <w:r>
                    <w:rPr>
                      <w:rFonts w:hint="eastAsia"/>
                      <w:color w:val="auto"/>
                      <w:kern w:val="24"/>
                      <w:sz w:val="21"/>
                      <w:szCs w:val="21"/>
                      <w:lang w:val="en-US" w:eastAsia="zh-CN"/>
                    </w:rPr>
                    <w:t>3</w:t>
                  </w:r>
                </w:p>
              </w:tc>
              <w:tc>
                <w:tcPr>
                  <w:tcW w:w="1439" w:type="pct"/>
                  <w:tcBorders>
                    <w:top w:val="single" w:color="auto" w:sz="4" w:space="0"/>
                    <w:left w:val="single" w:color="auto" w:sz="4" w:space="0"/>
                    <w:bottom w:val="single" w:color="auto" w:sz="4" w:space="0"/>
                    <w:right w:val="single" w:color="auto" w:sz="4" w:space="0"/>
                  </w:tcBorders>
                  <w:noWrap w:val="0"/>
                  <w:vAlign w:val="center"/>
                </w:tcPr>
                <w:p w14:paraId="68DF7149">
                  <w:pPr>
                    <w:adjustRightInd w:val="0"/>
                    <w:snapToGrid w:val="0"/>
                    <w:spacing w:line="240" w:lineRule="auto"/>
                    <w:jc w:val="center"/>
                    <w:rPr>
                      <w:color w:val="auto"/>
                      <w:sz w:val="21"/>
                      <w:szCs w:val="21"/>
                    </w:rPr>
                  </w:pPr>
                  <w:r>
                    <w:rPr>
                      <w:rFonts w:hint="eastAsia"/>
                      <w:color w:val="auto"/>
                      <w:sz w:val="21"/>
                      <w:szCs w:val="21"/>
                    </w:rPr>
                    <w:t>危险废物</w:t>
                  </w:r>
                </w:p>
              </w:tc>
              <w:tc>
                <w:tcPr>
                  <w:tcW w:w="927" w:type="pct"/>
                  <w:tcBorders>
                    <w:top w:val="single" w:color="auto" w:sz="4" w:space="0"/>
                    <w:left w:val="single" w:color="auto" w:sz="4" w:space="0"/>
                    <w:bottom w:val="single" w:color="auto" w:sz="4" w:space="0"/>
                    <w:right w:val="single" w:color="auto" w:sz="4" w:space="0"/>
                  </w:tcBorders>
                  <w:noWrap w:val="0"/>
                  <w:vAlign w:val="center"/>
                </w:tcPr>
                <w:p w14:paraId="49F259EB">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15.3306</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43E74C43">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w:t>
                  </w:r>
                </w:p>
              </w:tc>
              <w:tc>
                <w:tcPr>
                  <w:tcW w:w="583" w:type="pct"/>
                  <w:tcBorders>
                    <w:top w:val="single" w:color="auto" w:sz="4" w:space="0"/>
                    <w:left w:val="single" w:color="auto" w:sz="4" w:space="0"/>
                    <w:bottom w:val="single" w:color="auto" w:sz="4" w:space="0"/>
                    <w:right w:val="nil"/>
                  </w:tcBorders>
                  <w:noWrap w:val="0"/>
                  <w:vAlign w:val="center"/>
                </w:tcPr>
                <w:p w14:paraId="0C1D9F00">
                  <w:pPr>
                    <w:widowControl/>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0.30661</w:t>
                  </w:r>
                </w:p>
              </w:tc>
              <w:tc>
                <w:tcPr>
                  <w:tcW w:w="950" w:type="pct"/>
                  <w:tcBorders>
                    <w:top w:val="single" w:color="auto" w:sz="4" w:space="0"/>
                    <w:left w:val="single" w:color="auto" w:sz="4" w:space="0"/>
                    <w:right w:val="nil"/>
                  </w:tcBorders>
                  <w:noWrap w:val="0"/>
                  <w:vAlign w:val="center"/>
                </w:tcPr>
                <w:p w14:paraId="255E8E8A">
                  <w:pPr>
                    <w:adjustRightInd w:val="0"/>
                    <w:snapToGrid w:val="0"/>
                    <w:spacing w:line="240" w:lineRule="auto"/>
                    <w:jc w:val="center"/>
                    <w:rPr>
                      <w:color w:val="auto"/>
                      <w:kern w:val="0"/>
                      <w:sz w:val="21"/>
                      <w:szCs w:val="21"/>
                    </w:rPr>
                  </w:pPr>
                  <w:r>
                    <w:rPr>
                      <w:color w:val="auto"/>
                      <w:kern w:val="0"/>
                      <w:sz w:val="21"/>
                      <w:szCs w:val="21"/>
                    </w:rPr>
                    <w:t>危废库</w:t>
                  </w:r>
                </w:p>
              </w:tc>
            </w:tr>
            <w:tr w14:paraId="5E16B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08" w:type="pct"/>
                  <w:tcBorders>
                    <w:top w:val="single" w:color="auto" w:sz="4" w:space="0"/>
                    <w:left w:val="nil"/>
                    <w:bottom w:val="single" w:color="auto" w:sz="4" w:space="0"/>
                    <w:right w:val="single" w:color="auto" w:sz="4" w:space="0"/>
                  </w:tcBorders>
                  <w:noWrap w:val="0"/>
                  <w:vAlign w:val="center"/>
                </w:tcPr>
                <w:p w14:paraId="3D5E49C1">
                  <w:pPr>
                    <w:adjustRightInd w:val="0"/>
                    <w:snapToGrid w:val="0"/>
                    <w:spacing w:line="240" w:lineRule="auto"/>
                    <w:jc w:val="center"/>
                    <w:rPr>
                      <w:rFonts w:hint="default" w:eastAsia="宋体"/>
                      <w:color w:val="auto"/>
                      <w:kern w:val="24"/>
                      <w:sz w:val="21"/>
                      <w:szCs w:val="21"/>
                      <w:lang w:val="en-US" w:eastAsia="zh-CN"/>
                    </w:rPr>
                  </w:pPr>
                  <w:r>
                    <w:rPr>
                      <w:rFonts w:hint="eastAsia" w:eastAsia="宋体"/>
                      <w:color w:val="auto"/>
                      <w:kern w:val="24"/>
                      <w:sz w:val="21"/>
                      <w:szCs w:val="21"/>
                      <w:lang w:val="en-US" w:eastAsia="zh-CN"/>
                    </w:rPr>
                    <w:t>4</w:t>
                  </w:r>
                </w:p>
              </w:tc>
              <w:tc>
                <w:tcPr>
                  <w:tcW w:w="1439" w:type="pct"/>
                  <w:tcBorders>
                    <w:top w:val="single" w:color="auto" w:sz="4" w:space="0"/>
                    <w:left w:val="single" w:color="auto" w:sz="4" w:space="0"/>
                    <w:bottom w:val="single" w:color="auto" w:sz="4" w:space="0"/>
                    <w:right w:val="single" w:color="auto" w:sz="4" w:space="0"/>
                  </w:tcBorders>
                  <w:noWrap w:val="0"/>
                  <w:vAlign w:val="center"/>
                </w:tcPr>
                <w:p w14:paraId="11A9AB1E">
                  <w:pPr>
                    <w:adjustRightInd w:val="0"/>
                    <w:snapToGrid w:val="0"/>
                    <w:spacing w:line="240" w:lineRule="auto"/>
                    <w:jc w:val="center"/>
                    <w:rPr>
                      <w:rFonts w:hint="eastAsia" w:eastAsia="宋体"/>
                      <w:color w:val="auto"/>
                      <w:sz w:val="21"/>
                      <w:szCs w:val="21"/>
                      <w:lang w:eastAsia="zh-CN"/>
                    </w:rPr>
                  </w:pPr>
                  <w:r>
                    <w:rPr>
                      <w:rFonts w:hint="eastAsia"/>
                      <w:color w:val="auto"/>
                      <w:sz w:val="21"/>
                      <w:szCs w:val="21"/>
                      <w:lang w:eastAsia="zh-CN"/>
                    </w:rPr>
                    <w:t>打磨粉尘</w:t>
                  </w:r>
                </w:p>
              </w:tc>
              <w:tc>
                <w:tcPr>
                  <w:tcW w:w="927" w:type="pct"/>
                  <w:tcBorders>
                    <w:top w:val="single" w:color="auto" w:sz="4" w:space="0"/>
                    <w:left w:val="single" w:color="auto" w:sz="4" w:space="0"/>
                    <w:bottom w:val="single" w:color="auto" w:sz="4" w:space="0"/>
                    <w:right w:val="single" w:color="auto" w:sz="4" w:space="0"/>
                  </w:tcBorders>
                  <w:noWrap w:val="0"/>
                  <w:vAlign w:val="center"/>
                </w:tcPr>
                <w:p w14:paraId="6B9CC2F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1F5A72AC">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3" w:type="pct"/>
                  <w:tcBorders>
                    <w:top w:val="single" w:color="auto" w:sz="4" w:space="0"/>
                    <w:left w:val="single" w:color="auto" w:sz="4" w:space="0"/>
                    <w:bottom w:val="single" w:color="auto" w:sz="4" w:space="0"/>
                    <w:right w:val="nil"/>
                  </w:tcBorders>
                  <w:noWrap w:val="0"/>
                  <w:vAlign w:val="center"/>
                </w:tcPr>
                <w:p w14:paraId="7FF229A6">
                  <w:pPr>
                    <w:widowControl/>
                    <w:adjustRightInd w:val="0"/>
                    <w:snapToGri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950" w:type="pct"/>
                  <w:tcBorders>
                    <w:top w:val="single" w:color="auto" w:sz="4" w:space="0"/>
                    <w:left w:val="single" w:color="auto" w:sz="4" w:space="0"/>
                    <w:right w:val="nil"/>
                  </w:tcBorders>
                  <w:noWrap w:val="0"/>
                  <w:vAlign w:val="center"/>
                </w:tcPr>
                <w:p w14:paraId="4C57E229">
                  <w:pPr>
                    <w:adjustRightInd w:val="0"/>
                    <w:snapToGrid w:val="0"/>
                    <w:spacing w:line="240" w:lineRule="auto"/>
                    <w:jc w:val="center"/>
                    <w:rPr>
                      <w:color w:val="auto"/>
                      <w:kern w:val="0"/>
                      <w:sz w:val="21"/>
                      <w:szCs w:val="21"/>
                    </w:rPr>
                  </w:pPr>
                  <w:r>
                    <w:rPr>
                      <w:rFonts w:hint="eastAsia"/>
                      <w:color w:val="auto"/>
                      <w:kern w:val="0"/>
                      <w:sz w:val="21"/>
                      <w:szCs w:val="21"/>
                      <w:lang w:eastAsia="zh-CN"/>
                    </w:rPr>
                    <w:t>废气处理设施</w:t>
                  </w:r>
                </w:p>
              </w:tc>
            </w:tr>
            <w:tr w14:paraId="5975F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465" w:type="pct"/>
                  <w:gridSpan w:val="4"/>
                  <w:tcBorders>
                    <w:top w:val="single" w:color="auto" w:sz="4" w:space="0"/>
                    <w:left w:val="nil"/>
                    <w:bottom w:val="single" w:color="auto" w:sz="12" w:space="0"/>
                    <w:right w:val="single" w:color="auto" w:sz="4" w:space="0"/>
                  </w:tcBorders>
                  <w:noWrap w:val="0"/>
                  <w:vAlign w:val="center"/>
                </w:tcPr>
                <w:p w14:paraId="26F538D3">
                  <w:pPr>
                    <w:adjustRightInd w:val="0"/>
                    <w:snapToGrid w:val="0"/>
                    <w:spacing w:line="240" w:lineRule="auto"/>
                    <w:jc w:val="center"/>
                    <w:rPr>
                      <w:color w:val="auto"/>
                      <w:kern w:val="0"/>
                      <w:sz w:val="21"/>
                      <w:szCs w:val="21"/>
                    </w:rPr>
                  </w:pPr>
                  <w:r>
                    <w:rPr>
                      <w:color w:val="auto"/>
                      <w:kern w:val="24"/>
                      <w:sz w:val="21"/>
                      <w:szCs w:val="21"/>
                    </w:rPr>
                    <w:t>合计</w:t>
                  </w:r>
                </w:p>
              </w:tc>
              <w:tc>
                <w:tcPr>
                  <w:tcW w:w="583" w:type="pct"/>
                  <w:tcBorders>
                    <w:top w:val="single" w:color="auto" w:sz="4" w:space="0"/>
                    <w:left w:val="single" w:color="auto" w:sz="4" w:space="0"/>
                    <w:bottom w:val="single" w:color="auto" w:sz="12" w:space="0"/>
                    <w:right w:val="nil"/>
                  </w:tcBorders>
                  <w:noWrap w:val="0"/>
                  <w:vAlign w:val="center"/>
                </w:tcPr>
                <w:p w14:paraId="34AAFE6A">
                  <w:pPr>
                    <w:widowControl/>
                    <w:adjustRightInd w:val="0"/>
                    <w:snapToGrid w:val="0"/>
                    <w:spacing w:line="240" w:lineRule="auto"/>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0.</w:t>
                  </w:r>
                  <w:r>
                    <w:rPr>
                      <w:rFonts w:hint="eastAsia"/>
                      <w:color w:val="auto"/>
                      <w:kern w:val="0"/>
                      <w:sz w:val="21"/>
                      <w:szCs w:val="21"/>
                      <w:lang w:val="en-US" w:eastAsia="zh-CN"/>
                    </w:rPr>
                    <w:t>30675</w:t>
                  </w:r>
                </w:p>
              </w:tc>
              <w:tc>
                <w:tcPr>
                  <w:tcW w:w="950" w:type="pct"/>
                  <w:tcBorders>
                    <w:top w:val="single" w:color="auto" w:sz="4" w:space="0"/>
                    <w:left w:val="single" w:color="auto" w:sz="4" w:space="0"/>
                    <w:bottom w:val="single" w:color="auto" w:sz="12" w:space="0"/>
                    <w:right w:val="nil"/>
                  </w:tcBorders>
                  <w:noWrap w:val="0"/>
                  <w:vAlign w:val="center"/>
                </w:tcPr>
                <w:p w14:paraId="35C43ABA">
                  <w:pPr>
                    <w:adjustRightInd w:val="0"/>
                    <w:snapToGrid w:val="0"/>
                    <w:spacing w:line="240" w:lineRule="auto"/>
                    <w:jc w:val="center"/>
                    <w:rPr>
                      <w:color w:val="auto"/>
                      <w:kern w:val="0"/>
                      <w:sz w:val="21"/>
                      <w:szCs w:val="21"/>
                    </w:rPr>
                  </w:pPr>
                  <w:r>
                    <w:rPr>
                      <w:color w:val="auto"/>
                      <w:kern w:val="0"/>
                      <w:sz w:val="21"/>
                      <w:szCs w:val="21"/>
                    </w:rPr>
                    <w:t>——</w:t>
                  </w:r>
                </w:p>
              </w:tc>
            </w:tr>
          </w:tbl>
          <w:p w14:paraId="4A509F1E">
            <w:pPr>
              <w:keepNext/>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Cs w:val="21"/>
              </w:rPr>
            </w:pPr>
            <w:r>
              <w:rPr>
                <w:color w:val="auto"/>
                <w:sz w:val="18"/>
                <w:szCs w:val="18"/>
              </w:rPr>
              <w:t>注：危险固废按照</w:t>
            </w:r>
            <w:r>
              <w:rPr>
                <w:rFonts w:hint="eastAsia"/>
                <w:color w:val="auto"/>
                <w:sz w:val="18"/>
                <w:szCs w:val="18"/>
              </w:rPr>
              <w:t>健康危害急性毒性</w:t>
            </w:r>
            <w:r>
              <w:rPr>
                <w:rFonts w:hint="eastAsia" w:ascii="Times New Roman" w:hAnsi="Times New Roman" w:eastAsia="宋体" w:cs="Times New Roman"/>
                <w:color w:val="auto"/>
                <w:sz w:val="18"/>
                <w:szCs w:val="18"/>
              </w:rPr>
              <w:t>物质（类别2、类别3），临界量为50t。</w:t>
            </w:r>
          </w:p>
          <w:p w14:paraId="29EF4560">
            <w:pPr>
              <w:keepLines w:val="0"/>
              <w:pageBreakBefore w:val="0"/>
              <w:kinsoku/>
              <w:wordWrap/>
              <w:overflowPunct/>
              <w:topLinePunct w:val="0"/>
              <w:autoSpaceDE/>
              <w:autoSpaceDN/>
              <w:bidi w:val="0"/>
              <w:adjustRightInd/>
              <w:snapToGrid/>
              <w:spacing w:line="360" w:lineRule="auto"/>
              <w:ind w:firstLine="480"/>
              <w:textAlignment w:val="auto"/>
              <w:rPr>
                <w:color w:val="auto"/>
                <w:szCs w:val="21"/>
              </w:rPr>
            </w:pPr>
            <w:r>
              <w:rPr>
                <w:color w:val="auto"/>
                <w:szCs w:val="21"/>
              </w:rPr>
              <w:t>综上，本项目Q＜1，不需要进行环境风险专项评价。</w:t>
            </w:r>
          </w:p>
          <w:p w14:paraId="0549D8B9">
            <w:pPr>
              <w:spacing w:line="360" w:lineRule="auto"/>
              <w:ind w:firstLine="480"/>
              <w:rPr>
                <w:b w:val="0"/>
                <w:bCs w:val="0"/>
                <w:color w:val="auto"/>
              </w:rPr>
            </w:pPr>
            <w:r>
              <w:rPr>
                <w:rFonts w:hint="eastAsia"/>
                <w:b w:val="0"/>
                <w:bCs w:val="0"/>
                <w:color w:val="auto"/>
                <w:lang w:val="en-US" w:eastAsia="zh-CN"/>
              </w:rPr>
              <w:t>（3）</w:t>
            </w:r>
            <w:r>
              <w:rPr>
                <w:b w:val="0"/>
                <w:bCs w:val="0"/>
                <w:color w:val="auto"/>
              </w:rPr>
              <w:t>环境敏感目标</w:t>
            </w:r>
          </w:p>
          <w:p w14:paraId="745AC36B">
            <w:pPr>
              <w:widowControl/>
              <w:adjustRightInd w:val="0"/>
              <w:snapToGrid w:val="0"/>
              <w:spacing w:line="360" w:lineRule="auto"/>
              <w:ind w:firstLine="420" w:firstLineChars="200"/>
              <w:jc w:val="left"/>
              <w:rPr>
                <w:color w:val="auto"/>
                <w:szCs w:val="21"/>
              </w:rPr>
            </w:pPr>
            <w:r>
              <w:rPr>
                <w:color w:val="auto"/>
                <w:szCs w:val="21"/>
              </w:rPr>
              <w:t>根据现场踏勘和调查分析，本项目位于</w:t>
            </w:r>
            <w:r>
              <w:rPr>
                <w:rFonts w:hint="eastAsia"/>
                <w:color w:val="auto"/>
                <w:szCs w:val="21"/>
                <w:lang w:eastAsia="zh-CN"/>
              </w:rPr>
              <w:t>如皋市城北街道陆姚</w:t>
            </w:r>
            <w:r>
              <w:rPr>
                <w:rFonts w:hint="eastAsia"/>
                <w:color w:val="auto"/>
                <w:szCs w:val="21"/>
                <w:lang w:val="en-US" w:eastAsia="zh-CN"/>
              </w:rPr>
              <w:t>社区25组188号</w:t>
            </w:r>
            <w:r>
              <w:rPr>
                <w:rFonts w:hint="eastAsia"/>
                <w:color w:val="auto"/>
                <w:szCs w:val="21"/>
              </w:rPr>
              <w:t>，项目周边主要环境风险敏感目标为</w:t>
            </w:r>
            <w:r>
              <w:rPr>
                <w:rFonts w:hint="eastAsia"/>
                <w:color w:val="auto"/>
                <w:szCs w:val="21"/>
                <w:lang w:eastAsia="zh-CN"/>
              </w:rPr>
              <w:t>陆姚</w:t>
            </w:r>
            <w:r>
              <w:rPr>
                <w:rFonts w:hint="eastAsia"/>
                <w:color w:val="auto"/>
                <w:szCs w:val="21"/>
                <w:lang w:val="en-US" w:eastAsia="zh-CN"/>
              </w:rPr>
              <w:t>社区</w:t>
            </w:r>
            <w:r>
              <w:rPr>
                <w:color w:val="auto"/>
                <w:szCs w:val="21"/>
              </w:rPr>
              <w:t>。</w:t>
            </w:r>
          </w:p>
          <w:p w14:paraId="668CF1E8">
            <w:pPr>
              <w:spacing w:line="360" w:lineRule="auto"/>
              <w:ind w:firstLine="480"/>
              <w:rPr>
                <w:b w:val="0"/>
                <w:bCs w:val="0"/>
                <w:color w:val="auto"/>
              </w:rPr>
            </w:pPr>
            <w:r>
              <w:rPr>
                <w:rFonts w:hint="eastAsia"/>
                <w:b w:val="0"/>
                <w:bCs w:val="0"/>
                <w:color w:val="auto"/>
                <w:lang w:val="en-US" w:eastAsia="zh-CN"/>
              </w:rPr>
              <w:t>（4）</w:t>
            </w:r>
            <w:r>
              <w:rPr>
                <w:b w:val="0"/>
                <w:bCs w:val="0"/>
                <w:color w:val="auto"/>
              </w:rPr>
              <w:t>环境风险识别及风险分析</w:t>
            </w:r>
          </w:p>
          <w:p w14:paraId="4EEB9C05">
            <w:pPr>
              <w:widowControl/>
              <w:adjustRightInd w:val="0"/>
              <w:snapToGrid w:val="0"/>
              <w:spacing w:line="360" w:lineRule="auto"/>
              <w:ind w:firstLine="420" w:firstLineChars="200"/>
              <w:jc w:val="left"/>
              <w:rPr>
                <w:rFonts w:hint="default" w:ascii="Times New Roman" w:hAnsi="Times New Roman" w:cs="Times New Roman"/>
                <w:b/>
                <w:bCs w:val="0"/>
                <w:color w:val="auto"/>
                <w:kern w:val="0"/>
                <w:szCs w:val="21"/>
              </w:rPr>
            </w:pPr>
            <w:r>
              <w:rPr>
                <w:color w:val="auto"/>
                <w:szCs w:val="21"/>
              </w:rPr>
              <w:t>根据有毒有害物质风险起因，分为火灾、爆炸和泄漏三种类型。</w:t>
            </w:r>
            <w:r>
              <w:rPr>
                <w:rFonts w:hint="eastAsia"/>
                <w:color w:val="auto"/>
                <w:szCs w:val="21"/>
              </w:rPr>
              <w:t>本项目主要环节风险识别结果见表4</w:t>
            </w:r>
            <w:r>
              <w:rPr>
                <w:rFonts w:hint="eastAsia"/>
                <w:color w:val="auto"/>
                <w:szCs w:val="21"/>
                <w:lang w:val="en-US" w:eastAsia="zh-CN"/>
              </w:rPr>
              <w:t>-15</w:t>
            </w:r>
            <w:r>
              <w:rPr>
                <w:rFonts w:hint="eastAsia"/>
                <w:color w:val="auto"/>
                <w:szCs w:val="21"/>
              </w:rPr>
              <w:t>。</w:t>
            </w:r>
          </w:p>
          <w:p w14:paraId="506B65D8">
            <w:pPr>
              <w:adjustRightInd w:val="0"/>
              <w:snapToGrid w:val="0"/>
              <w:spacing w:line="240" w:lineRule="auto"/>
              <w:jc w:val="center"/>
              <w:rPr>
                <w:rFonts w:hint="default" w:ascii="Times New Roman" w:hAnsi="Times New Roman" w:cs="Times New Roman"/>
                <w:b/>
                <w:bCs w:val="0"/>
                <w:color w:val="auto"/>
                <w:kern w:val="0"/>
                <w:szCs w:val="21"/>
              </w:rPr>
            </w:pPr>
            <w:r>
              <w:rPr>
                <w:rFonts w:hint="default" w:ascii="Times New Roman" w:hAnsi="Times New Roman" w:cs="Times New Roman"/>
                <w:b/>
                <w:bCs w:val="0"/>
                <w:color w:val="auto"/>
                <w:kern w:val="0"/>
                <w:szCs w:val="21"/>
              </w:rPr>
              <w:t>表</w:t>
            </w:r>
            <w:r>
              <w:rPr>
                <w:rFonts w:hint="default" w:ascii="Times New Roman" w:hAnsi="Times New Roman" w:cs="Times New Roman"/>
                <w:b/>
                <w:bCs w:val="0"/>
                <w:color w:val="auto"/>
                <w:szCs w:val="21"/>
              </w:rPr>
              <w:t>4-</w:t>
            </w:r>
            <w:r>
              <w:rPr>
                <w:rFonts w:hint="eastAsia" w:ascii="Times New Roman" w:hAnsi="Times New Roman" w:cs="Times New Roman"/>
                <w:b/>
                <w:bCs w:val="0"/>
                <w:color w:val="auto"/>
                <w:szCs w:val="21"/>
                <w:lang w:val="en-US" w:eastAsia="zh-CN"/>
              </w:rPr>
              <w:t>15</w:t>
            </w:r>
            <w:r>
              <w:rPr>
                <w:rFonts w:hint="default" w:ascii="Times New Roman" w:hAnsi="Times New Roman" w:cs="Times New Roman"/>
                <w:b/>
                <w:bCs w:val="0"/>
                <w:color w:val="auto"/>
                <w:kern w:val="0"/>
                <w:szCs w:val="21"/>
              </w:rPr>
              <w:t>项目环境风险主要识别结果</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37"/>
              <w:gridCol w:w="925"/>
              <w:gridCol w:w="1597"/>
              <w:gridCol w:w="1120"/>
              <w:gridCol w:w="1120"/>
              <w:gridCol w:w="1263"/>
              <w:gridCol w:w="1367"/>
            </w:tblGrid>
            <w:tr w14:paraId="26466B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jc w:val="center"/>
              </w:trPr>
              <w:tc>
                <w:tcPr>
                  <w:tcW w:w="509" w:type="pct"/>
                  <w:vMerge w:val="restart"/>
                  <w:noWrap w:val="0"/>
                  <w:vAlign w:val="center"/>
                </w:tcPr>
                <w:p w14:paraId="5AD4842A">
                  <w:pPr>
                    <w:adjustRightInd w:val="0"/>
                    <w:snapToGrid w:val="0"/>
                    <w:spacing w:line="240" w:lineRule="auto"/>
                    <w:jc w:val="center"/>
                    <w:rPr>
                      <w:b/>
                      <w:color w:val="auto"/>
                      <w:sz w:val="21"/>
                      <w:szCs w:val="21"/>
                      <w:lang w:val="zh-CN" w:bidi="zh-CN"/>
                    </w:rPr>
                  </w:pPr>
                  <w:r>
                    <w:rPr>
                      <w:b/>
                      <w:color w:val="auto"/>
                      <w:sz w:val="21"/>
                      <w:szCs w:val="21"/>
                      <w:lang w:val="zh-CN" w:bidi="zh-CN"/>
                    </w:rPr>
                    <w:t>危险单元</w:t>
                  </w:r>
                </w:p>
              </w:tc>
              <w:tc>
                <w:tcPr>
                  <w:tcW w:w="562" w:type="pct"/>
                  <w:vMerge w:val="restart"/>
                  <w:noWrap w:val="0"/>
                  <w:vAlign w:val="center"/>
                </w:tcPr>
                <w:p w14:paraId="68C1DE6E">
                  <w:pPr>
                    <w:adjustRightInd w:val="0"/>
                    <w:snapToGrid w:val="0"/>
                    <w:spacing w:line="240" w:lineRule="auto"/>
                    <w:jc w:val="center"/>
                    <w:rPr>
                      <w:b/>
                      <w:color w:val="auto"/>
                      <w:sz w:val="21"/>
                      <w:szCs w:val="21"/>
                      <w:lang w:val="zh-CN" w:bidi="zh-CN"/>
                    </w:rPr>
                  </w:pPr>
                  <w:r>
                    <w:rPr>
                      <w:b/>
                      <w:color w:val="auto"/>
                      <w:sz w:val="21"/>
                      <w:szCs w:val="21"/>
                      <w:lang w:val="zh-CN" w:bidi="zh-CN"/>
                    </w:rPr>
                    <w:t>风险源</w:t>
                  </w:r>
                </w:p>
              </w:tc>
              <w:tc>
                <w:tcPr>
                  <w:tcW w:w="970" w:type="pct"/>
                  <w:vMerge w:val="restart"/>
                  <w:noWrap w:val="0"/>
                  <w:vAlign w:val="center"/>
                </w:tcPr>
                <w:p w14:paraId="6B27C8A4">
                  <w:pPr>
                    <w:adjustRightInd w:val="0"/>
                    <w:snapToGrid w:val="0"/>
                    <w:spacing w:line="240" w:lineRule="auto"/>
                    <w:jc w:val="center"/>
                    <w:rPr>
                      <w:b/>
                      <w:color w:val="auto"/>
                      <w:sz w:val="21"/>
                      <w:szCs w:val="21"/>
                      <w:lang w:val="zh-CN" w:bidi="zh-CN"/>
                    </w:rPr>
                  </w:pPr>
                  <w:r>
                    <w:rPr>
                      <w:b/>
                      <w:color w:val="auto"/>
                      <w:sz w:val="21"/>
                      <w:szCs w:val="21"/>
                      <w:lang w:val="zh-CN" w:bidi="zh-CN"/>
                    </w:rPr>
                    <w:t>主要危险物质</w:t>
                  </w:r>
                </w:p>
              </w:tc>
              <w:tc>
                <w:tcPr>
                  <w:tcW w:w="680" w:type="pct"/>
                  <w:vMerge w:val="restart"/>
                  <w:noWrap w:val="0"/>
                  <w:vAlign w:val="center"/>
                </w:tcPr>
                <w:p w14:paraId="2F7EFB53">
                  <w:pPr>
                    <w:adjustRightInd w:val="0"/>
                    <w:snapToGrid w:val="0"/>
                    <w:spacing w:line="240" w:lineRule="auto"/>
                    <w:jc w:val="center"/>
                    <w:rPr>
                      <w:b/>
                      <w:color w:val="auto"/>
                      <w:sz w:val="21"/>
                      <w:szCs w:val="21"/>
                      <w:lang w:val="zh-CN" w:bidi="zh-CN"/>
                    </w:rPr>
                  </w:pPr>
                  <w:r>
                    <w:rPr>
                      <w:b/>
                      <w:color w:val="auto"/>
                      <w:sz w:val="21"/>
                      <w:szCs w:val="21"/>
                      <w:lang w:val="zh-CN" w:bidi="zh-CN"/>
                    </w:rPr>
                    <w:t>环境风险</w:t>
                  </w:r>
                </w:p>
                <w:p w14:paraId="7EDD5E92">
                  <w:pPr>
                    <w:adjustRightInd w:val="0"/>
                    <w:snapToGrid w:val="0"/>
                    <w:spacing w:line="240" w:lineRule="auto"/>
                    <w:jc w:val="center"/>
                    <w:rPr>
                      <w:b/>
                      <w:color w:val="auto"/>
                      <w:sz w:val="21"/>
                      <w:szCs w:val="21"/>
                      <w:lang w:val="zh-CN" w:bidi="zh-CN"/>
                    </w:rPr>
                  </w:pPr>
                  <w:r>
                    <w:rPr>
                      <w:b/>
                      <w:color w:val="auto"/>
                      <w:sz w:val="21"/>
                      <w:szCs w:val="21"/>
                      <w:lang w:val="zh-CN" w:bidi="zh-CN"/>
                    </w:rPr>
                    <w:t>类型</w:t>
                  </w:r>
                </w:p>
              </w:tc>
              <w:tc>
                <w:tcPr>
                  <w:tcW w:w="2277" w:type="pct"/>
                  <w:gridSpan w:val="3"/>
                  <w:noWrap w:val="0"/>
                  <w:vAlign w:val="center"/>
                </w:tcPr>
                <w:p w14:paraId="758664FF">
                  <w:pPr>
                    <w:adjustRightInd w:val="0"/>
                    <w:snapToGrid w:val="0"/>
                    <w:spacing w:line="240" w:lineRule="auto"/>
                    <w:jc w:val="center"/>
                    <w:rPr>
                      <w:b/>
                      <w:color w:val="auto"/>
                      <w:sz w:val="21"/>
                      <w:szCs w:val="21"/>
                      <w:lang w:val="zh-CN" w:bidi="zh-CN"/>
                    </w:rPr>
                  </w:pPr>
                  <w:r>
                    <w:rPr>
                      <w:b/>
                      <w:color w:val="auto"/>
                      <w:sz w:val="21"/>
                      <w:szCs w:val="21"/>
                      <w:lang w:val="zh-CN" w:bidi="zh-CN"/>
                    </w:rPr>
                    <w:t>环境影响途径</w:t>
                  </w:r>
                </w:p>
              </w:tc>
            </w:tr>
            <w:tr w14:paraId="1D0926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09" w:type="pct"/>
                  <w:vMerge w:val="continue"/>
                  <w:noWrap w:val="0"/>
                  <w:vAlign w:val="center"/>
                </w:tcPr>
                <w:p w14:paraId="76E68021">
                  <w:pPr>
                    <w:adjustRightInd w:val="0"/>
                    <w:snapToGrid w:val="0"/>
                    <w:spacing w:line="240" w:lineRule="auto"/>
                    <w:jc w:val="center"/>
                    <w:rPr>
                      <w:b/>
                      <w:color w:val="auto"/>
                      <w:sz w:val="21"/>
                      <w:szCs w:val="21"/>
                      <w:lang w:val="zh-CN" w:bidi="zh-CN"/>
                    </w:rPr>
                  </w:pPr>
                </w:p>
              </w:tc>
              <w:tc>
                <w:tcPr>
                  <w:tcW w:w="562" w:type="pct"/>
                  <w:vMerge w:val="continue"/>
                  <w:noWrap w:val="0"/>
                  <w:vAlign w:val="center"/>
                </w:tcPr>
                <w:p w14:paraId="6CE1C067">
                  <w:pPr>
                    <w:adjustRightInd w:val="0"/>
                    <w:snapToGrid w:val="0"/>
                    <w:spacing w:line="240" w:lineRule="auto"/>
                    <w:jc w:val="center"/>
                    <w:rPr>
                      <w:b/>
                      <w:color w:val="auto"/>
                      <w:sz w:val="21"/>
                      <w:szCs w:val="21"/>
                      <w:lang w:val="zh-CN" w:bidi="zh-CN"/>
                    </w:rPr>
                  </w:pPr>
                </w:p>
              </w:tc>
              <w:tc>
                <w:tcPr>
                  <w:tcW w:w="970" w:type="pct"/>
                  <w:vMerge w:val="continue"/>
                  <w:noWrap w:val="0"/>
                  <w:vAlign w:val="center"/>
                </w:tcPr>
                <w:p w14:paraId="5390EE03">
                  <w:pPr>
                    <w:adjustRightInd w:val="0"/>
                    <w:snapToGrid w:val="0"/>
                    <w:spacing w:line="240" w:lineRule="auto"/>
                    <w:jc w:val="center"/>
                    <w:rPr>
                      <w:b/>
                      <w:color w:val="auto"/>
                      <w:sz w:val="21"/>
                      <w:szCs w:val="21"/>
                      <w:lang w:val="zh-CN" w:bidi="zh-CN"/>
                    </w:rPr>
                  </w:pPr>
                </w:p>
              </w:tc>
              <w:tc>
                <w:tcPr>
                  <w:tcW w:w="680" w:type="pct"/>
                  <w:vMerge w:val="continue"/>
                  <w:noWrap w:val="0"/>
                  <w:vAlign w:val="center"/>
                </w:tcPr>
                <w:p w14:paraId="668430D1">
                  <w:pPr>
                    <w:adjustRightInd w:val="0"/>
                    <w:snapToGrid w:val="0"/>
                    <w:spacing w:line="240" w:lineRule="auto"/>
                    <w:jc w:val="center"/>
                    <w:rPr>
                      <w:b/>
                      <w:color w:val="auto"/>
                      <w:sz w:val="21"/>
                      <w:szCs w:val="21"/>
                      <w:lang w:val="zh-CN" w:bidi="zh-CN"/>
                    </w:rPr>
                  </w:pPr>
                </w:p>
              </w:tc>
              <w:tc>
                <w:tcPr>
                  <w:tcW w:w="680" w:type="pct"/>
                  <w:noWrap w:val="0"/>
                  <w:vAlign w:val="center"/>
                </w:tcPr>
                <w:p w14:paraId="7D405454">
                  <w:pPr>
                    <w:adjustRightInd w:val="0"/>
                    <w:snapToGrid w:val="0"/>
                    <w:spacing w:line="240" w:lineRule="auto"/>
                    <w:jc w:val="center"/>
                    <w:rPr>
                      <w:b/>
                      <w:color w:val="auto"/>
                      <w:sz w:val="21"/>
                      <w:szCs w:val="21"/>
                      <w:lang w:val="zh-CN" w:bidi="zh-CN"/>
                    </w:rPr>
                  </w:pPr>
                  <w:r>
                    <w:rPr>
                      <w:b/>
                      <w:color w:val="auto"/>
                      <w:sz w:val="21"/>
                      <w:szCs w:val="21"/>
                      <w:lang w:val="zh-CN" w:bidi="zh-CN"/>
                    </w:rPr>
                    <w:t>大气</w:t>
                  </w:r>
                </w:p>
              </w:tc>
              <w:tc>
                <w:tcPr>
                  <w:tcW w:w="767" w:type="pct"/>
                  <w:noWrap w:val="0"/>
                  <w:vAlign w:val="center"/>
                </w:tcPr>
                <w:p w14:paraId="2A4FB856">
                  <w:pPr>
                    <w:adjustRightInd w:val="0"/>
                    <w:snapToGrid w:val="0"/>
                    <w:spacing w:line="240" w:lineRule="auto"/>
                    <w:jc w:val="center"/>
                    <w:rPr>
                      <w:b/>
                      <w:color w:val="auto"/>
                      <w:sz w:val="21"/>
                      <w:szCs w:val="21"/>
                      <w:lang w:val="zh-CN" w:bidi="zh-CN"/>
                    </w:rPr>
                  </w:pPr>
                  <w:r>
                    <w:rPr>
                      <w:b/>
                      <w:color w:val="auto"/>
                      <w:sz w:val="21"/>
                      <w:szCs w:val="21"/>
                      <w:lang w:val="zh-CN" w:bidi="zh-CN"/>
                    </w:rPr>
                    <w:t>排水系统</w:t>
                  </w:r>
                </w:p>
              </w:tc>
              <w:tc>
                <w:tcPr>
                  <w:tcW w:w="830" w:type="pct"/>
                  <w:noWrap w:val="0"/>
                  <w:vAlign w:val="center"/>
                </w:tcPr>
                <w:p w14:paraId="2562E31B">
                  <w:pPr>
                    <w:adjustRightInd w:val="0"/>
                    <w:snapToGrid w:val="0"/>
                    <w:spacing w:line="240" w:lineRule="auto"/>
                    <w:jc w:val="center"/>
                    <w:rPr>
                      <w:b/>
                      <w:color w:val="auto"/>
                      <w:sz w:val="21"/>
                      <w:szCs w:val="21"/>
                      <w:lang w:val="zh-CN" w:bidi="zh-CN"/>
                    </w:rPr>
                  </w:pPr>
                  <w:r>
                    <w:rPr>
                      <w:b/>
                      <w:color w:val="auto"/>
                      <w:sz w:val="21"/>
                      <w:szCs w:val="21"/>
                      <w:lang w:val="zh-CN" w:bidi="zh-CN"/>
                    </w:rPr>
                    <w:t>土壤、地下水</w:t>
                  </w:r>
                </w:p>
              </w:tc>
            </w:tr>
            <w:tr w14:paraId="6AA91DA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509" w:type="pct"/>
                  <w:vMerge w:val="restart"/>
                  <w:noWrap w:val="0"/>
                  <w:vAlign w:val="center"/>
                </w:tcPr>
                <w:p w14:paraId="19FF2409">
                  <w:pPr>
                    <w:adjustRightInd w:val="0"/>
                    <w:snapToGrid w:val="0"/>
                    <w:spacing w:line="240" w:lineRule="auto"/>
                    <w:jc w:val="center"/>
                    <w:rPr>
                      <w:b/>
                      <w:color w:val="auto"/>
                      <w:sz w:val="21"/>
                      <w:szCs w:val="21"/>
                      <w:lang w:val="zh-CN" w:bidi="zh-CN"/>
                    </w:rPr>
                  </w:pPr>
                  <w:r>
                    <w:rPr>
                      <w:rFonts w:hint="eastAsia"/>
                      <w:color w:val="auto"/>
                      <w:sz w:val="21"/>
                      <w:szCs w:val="21"/>
                      <w:lang w:val="zh-CN" w:bidi="zh-CN"/>
                    </w:rPr>
                    <w:t>生产车间</w:t>
                  </w:r>
                </w:p>
              </w:tc>
              <w:tc>
                <w:tcPr>
                  <w:tcW w:w="562" w:type="pct"/>
                  <w:vMerge w:val="restart"/>
                  <w:noWrap w:val="0"/>
                  <w:vAlign w:val="center"/>
                </w:tcPr>
                <w:p w14:paraId="232A5E0D">
                  <w:pPr>
                    <w:adjustRightInd w:val="0"/>
                    <w:snapToGrid w:val="0"/>
                    <w:spacing w:line="240" w:lineRule="auto"/>
                    <w:jc w:val="center"/>
                    <w:rPr>
                      <w:b/>
                      <w:color w:val="auto"/>
                      <w:sz w:val="21"/>
                      <w:szCs w:val="21"/>
                      <w:lang w:val="zh-CN" w:bidi="zh-CN"/>
                    </w:rPr>
                  </w:pPr>
                  <w:r>
                    <w:rPr>
                      <w:rFonts w:hint="eastAsia"/>
                      <w:color w:val="auto"/>
                      <w:sz w:val="21"/>
                      <w:szCs w:val="21"/>
                      <w:lang w:val="zh-CN" w:bidi="zh-CN"/>
                    </w:rPr>
                    <w:t>生产车间</w:t>
                  </w:r>
                </w:p>
              </w:tc>
              <w:tc>
                <w:tcPr>
                  <w:tcW w:w="970" w:type="pct"/>
                  <w:noWrap w:val="0"/>
                  <w:vAlign w:val="center"/>
                </w:tcPr>
                <w:p w14:paraId="53F950F9">
                  <w:pPr>
                    <w:adjustRightInd w:val="0"/>
                    <w:snapToGrid w:val="0"/>
                    <w:spacing w:line="240" w:lineRule="auto"/>
                    <w:jc w:val="center"/>
                    <w:rPr>
                      <w:rFonts w:hint="default"/>
                      <w:color w:val="auto"/>
                      <w:sz w:val="21"/>
                      <w:szCs w:val="21"/>
                      <w:lang w:val="en-US" w:bidi="zh-CN"/>
                    </w:rPr>
                  </w:pPr>
                  <w:r>
                    <w:rPr>
                      <w:rFonts w:hint="eastAsia"/>
                      <w:color w:val="auto"/>
                      <w:sz w:val="21"/>
                      <w:szCs w:val="21"/>
                      <w:lang w:val="zh-CN" w:bidi="zh-CN"/>
                    </w:rPr>
                    <w:t>切削液、</w:t>
                  </w:r>
                  <w:r>
                    <w:rPr>
                      <w:rFonts w:hint="eastAsia"/>
                      <w:color w:val="auto"/>
                      <w:sz w:val="21"/>
                      <w:szCs w:val="21"/>
                      <w:lang w:val="en-US" w:bidi="zh-CN"/>
                    </w:rPr>
                    <w:t>脱膜剂</w:t>
                  </w:r>
                </w:p>
              </w:tc>
              <w:tc>
                <w:tcPr>
                  <w:tcW w:w="680" w:type="pct"/>
                  <w:noWrap w:val="0"/>
                  <w:vAlign w:val="center"/>
                </w:tcPr>
                <w:p w14:paraId="41FABCA8">
                  <w:pPr>
                    <w:adjustRightInd w:val="0"/>
                    <w:snapToGrid w:val="0"/>
                    <w:spacing w:line="240" w:lineRule="auto"/>
                    <w:jc w:val="center"/>
                    <w:rPr>
                      <w:color w:val="auto"/>
                      <w:sz w:val="21"/>
                      <w:szCs w:val="21"/>
                      <w:lang w:val="zh-CN" w:bidi="zh-CN"/>
                    </w:rPr>
                  </w:pPr>
                  <w:r>
                    <w:rPr>
                      <w:color w:val="auto"/>
                      <w:sz w:val="21"/>
                      <w:szCs w:val="21"/>
                      <w:lang w:val="zh-CN" w:bidi="zh-CN"/>
                    </w:rPr>
                    <w:t>泄漏</w:t>
                  </w:r>
                </w:p>
              </w:tc>
              <w:tc>
                <w:tcPr>
                  <w:tcW w:w="680" w:type="pct"/>
                  <w:noWrap w:val="0"/>
                  <w:vAlign w:val="center"/>
                </w:tcPr>
                <w:p w14:paraId="2BFAC5E9">
                  <w:pPr>
                    <w:adjustRightInd w:val="0"/>
                    <w:snapToGrid w:val="0"/>
                    <w:spacing w:line="240" w:lineRule="auto"/>
                    <w:jc w:val="center"/>
                    <w:rPr>
                      <w:color w:val="auto"/>
                      <w:sz w:val="21"/>
                      <w:szCs w:val="21"/>
                      <w:lang w:val="zh-CN" w:bidi="zh-CN"/>
                    </w:rPr>
                  </w:pPr>
                  <w:r>
                    <w:rPr>
                      <w:color w:val="auto"/>
                      <w:sz w:val="21"/>
                      <w:szCs w:val="21"/>
                      <w:lang w:val="zh-CN" w:bidi="zh-CN"/>
                    </w:rPr>
                    <w:t>/</w:t>
                  </w:r>
                </w:p>
              </w:tc>
              <w:tc>
                <w:tcPr>
                  <w:tcW w:w="767" w:type="pct"/>
                  <w:noWrap w:val="0"/>
                  <w:vAlign w:val="center"/>
                </w:tcPr>
                <w:p w14:paraId="7E2CA34A">
                  <w:pPr>
                    <w:adjustRightInd w:val="0"/>
                    <w:snapToGrid w:val="0"/>
                    <w:spacing w:line="240" w:lineRule="auto"/>
                    <w:jc w:val="center"/>
                    <w:rPr>
                      <w:color w:val="auto"/>
                      <w:sz w:val="21"/>
                      <w:szCs w:val="21"/>
                      <w:lang w:val="zh-CN" w:bidi="zh-CN"/>
                    </w:rPr>
                  </w:pPr>
                  <w:r>
                    <w:rPr>
                      <w:color w:val="auto"/>
                      <w:sz w:val="21"/>
                      <w:szCs w:val="21"/>
                      <w:lang w:val="zh-CN" w:bidi="zh-CN"/>
                    </w:rPr>
                    <w:t>漫流</w:t>
                  </w:r>
                </w:p>
              </w:tc>
              <w:tc>
                <w:tcPr>
                  <w:tcW w:w="830" w:type="pct"/>
                  <w:noWrap w:val="0"/>
                  <w:vAlign w:val="center"/>
                </w:tcPr>
                <w:p w14:paraId="5E0547D1">
                  <w:pPr>
                    <w:adjustRightInd w:val="0"/>
                    <w:snapToGrid w:val="0"/>
                    <w:spacing w:line="240" w:lineRule="auto"/>
                    <w:jc w:val="center"/>
                    <w:rPr>
                      <w:color w:val="auto"/>
                      <w:sz w:val="21"/>
                      <w:szCs w:val="21"/>
                      <w:lang w:val="zh-CN" w:bidi="zh-CN"/>
                    </w:rPr>
                  </w:pPr>
                  <w:r>
                    <w:rPr>
                      <w:color w:val="auto"/>
                      <w:sz w:val="21"/>
                      <w:szCs w:val="21"/>
                      <w:lang w:val="zh-CN" w:bidi="zh-CN"/>
                    </w:rPr>
                    <w:t>渗透、吸收</w:t>
                  </w:r>
                </w:p>
              </w:tc>
            </w:tr>
            <w:tr w14:paraId="6360AA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509" w:type="pct"/>
                  <w:vMerge w:val="continue"/>
                  <w:noWrap w:val="0"/>
                  <w:vAlign w:val="center"/>
                </w:tcPr>
                <w:p w14:paraId="7DE29492">
                  <w:pPr>
                    <w:adjustRightInd w:val="0"/>
                    <w:snapToGrid w:val="0"/>
                    <w:spacing w:line="240" w:lineRule="auto"/>
                    <w:jc w:val="center"/>
                    <w:rPr>
                      <w:color w:val="auto"/>
                      <w:sz w:val="21"/>
                      <w:szCs w:val="21"/>
                      <w:lang w:val="zh-CN" w:bidi="zh-CN"/>
                    </w:rPr>
                  </w:pPr>
                </w:p>
              </w:tc>
              <w:tc>
                <w:tcPr>
                  <w:tcW w:w="562" w:type="pct"/>
                  <w:vMerge w:val="continue"/>
                  <w:noWrap w:val="0"/>
                  <w:vAlign w:val="center"/>
                </w:tcPr>
                <w:p w14:paraId="36301141">
                  <w:pPr>
                    <w:adjustRightInd w:val="0"/>
                    <w:snapToGrid w:val="0"/>
                    <w:spacing w:line="240" w:lineRule="auto"/>
                    <w:jc w:val="center"/>
                    <w:rPr>
                      <w:color w:val="auto"/>
                      <w:sz w:val="21"/>
                      <w:szCs w:val="21"/>
                      <w:lang w:val="zh-CN" w:bidi="zh-CN"/>
                    </w:rPr>
                  </w:pPr>
                </w:p>
              </w:tc>
              <w:tc>
                <w:tcPr>
                  <w:tcW w:w="970" w:type="pct"/>
                  <w:noWrap w:val="0"/>
                  <w:vAlign w:val="center"/>
                </w:tcPr>
                <w:p w14:paraId="6C4EC12F">
                  <w:pPr>
                    <w:adjustRightInd w:val="0"/>
                    <w:snapToGrid w:val="0"/>
                    <w:spacing w:line="240" w:lineRule="auto"/>
                    <w:jc w:val="center"/>
                    <w:rPr>
                      <w:color w:val="auto"/>
                      <w:sz w:val="21"/>
                      <w:szCs w:val="21"/>
                      <w:lang w:val="zh-CN" w:bidi="zh-CN"/>
                    </w:rPr>
                  </w:pPr>
                  <w:r>
                    <w:rPr>
                      <w:rFonts w:hint="eastAsia"/>
                      <w:color w:val="auto"/>
                      <w:sz w:val="21"/>
                      <w:szCs w:val="21"/>
                      <w:lang w:val="zh-CN" w:bidi="zh-CN"/>
                    </w:rPr>
                    <w:t>铝粉、铝液</w:t>
                  </w:r>
                </w:p>
              </w:tc>
              <w:tc>
                <w:tcPr>
                  <w:tcW w:w="680" w:type="pct"/>
                  <w:noWrap w:val="0"/>
                  <w:vAlign w:val="center"/>
                </w:tcPr>
                <w:p w14:paraId="5BE5C705">
                  <w:pPr>
                    <w:adjustRightInd w:val="0"/>
                    <w:snapToGrid w:val="0"/>
                    <w:spacing w:line="240" w:lineRule="auto"/>
                    <w:jc w:val="center"/>
                    <w:rPr>
                      <w:color w:val="auto"/>
                      <w:sz w:val="21"/>
                      <w:szCs w:val="21"/>
                      <w:lang w:val="zh-CN" w:bidi="zh-CN"/>
                    </w:rPr>
                  </w:pPr>
                  <w:r>
                    <w:rPr>
                      <w:color w:val="auto"/>
                      <w:sz w:val="21"/>
                      <w:szCs w:val="21"/>
                      <w:lang w:val="zh-CN" w:bidi="zh-CN"/>
                    </w:rPr>
                    <w:t>火灾</w:t>
                  </w:r>
                  <w:r>
                    <w:rPr>
                      <w:rFonts w:hint="eastAsia"/>
                      <w:color w:val="auto"/>
                      <w:sz w:val="21"/>
                      <w:szCs w:val="21"/>
                      <w:lang w:val="zh-CN" w:bidi="zh-CN"/>
                    </w:rPr>
                    <w:t>、爆炸</w:t>
                  </w:r>
                </w:p>
              </w:tc>
              <w:tc>
                <w:tcPr>
                  <w:tcW w:w="680" w:type="pct"/>
                  <w:noWrap w:val="0"/>
                  <w:vAlign w:val="center"/>
                </w:tcPr>
                <w:p w14:paraId="144FD614">
                  <w:pPr>
                    <w:adjustRightInd w:val="0"/>
                    <w:snapToGrid w:val="0"/>
                    <w:spacing w:line="240" w:lineRule="auto"/>
                    <w:jc w:val="center"/>
                    <w:rPr>
                      <w:color w:val="auto"/>
                      <w:sz w:val="21"/>
                      <w:szCs w:val="21"/>
                      <w:lang w:val="zh-CN" w:bidi="zh-CN"/>
                    </w:rPr>
                  </w:pPr>
                  <w:r>
                    <w:rPr>
                      <w:color w:val="auto"/>
                      <w:sz w:val="21"/>
                      <w:szCs w:val="21"/>
                      <w:lang w:val="zh-CN" w:bidi="zh-CN"/>
                    </w:rPr>
                    <w:t>伴</w:t>
                  </w:r>
                  <w:r>
                    <w:rPr>
                      <w:color w:val="auto"/>
                      <w:sz w:val="21"/>
                      <w:szCs w:val="21"/>
                      <w:lang w:bidi="zh-CN"/>
                    </w:rPr>
                    <w:t>/次生物质扩散</w:t>
                  </w:r>
                </w:p>
              </w:tc>
              <w:tc>
                <w:tcPr>
                  <w:tcW w:w="767" w:type="pct"/>
                  <w:noWrap w:val="0"/>
                  <w:vAlign w:val="center"/>
                </w:tcPr>
                <w:p w14:paraId="7D2142E6">
                  <w:pPr>
                    <w:adjustRightInd w:val="0"/>
                    <w:snapToGrid w:val="0"/>
                    <w:spacing w:line="240" w:lineRule="auto"/>
                    <w:jc w:val="center"/>
                    <w:rPr>
                      <w:color w:val="auto"/>
                      <w:sz w:val="21"/>
                      <w:szCs w:val="21"/>
                      <w:lang w:val="zh-CN" w:bidi="zh-CN"/>
                    </w:rPr>
                  </w:pPr>
                  <w:r>
                    <w:rPr>
                      <w:color w:val="auto"/>
                      <w:sz w:val="21"/>
                      <w:szCs w:val="21"/>
                      <w:lang w:val="zh-CN" w:bidi="zh-CN"/>
                    </w:rPr>
                    <w:t>消防废水漫流</w:t>
                  </w:r>
                </w:p>
              </w:tc>
              <w:tc>
                <w:tcPr>
                  <w:tcW w:w="830" w:type="pct"/>
                  <w:noWrap w:val="0"/>
                  <w:vAlign w:val="center"/>
                </w:tcPr>
                <w:p w14:paraId="2DD84488">
                  <w:pPr>
                    <w:adjustRightInd w:val="0"/>
                    <w:snapToGrid w:val="0"/>
                    <w:spacing w:line="240" w:lineRule="auto"/>
                    <w:jc w:val="center"/>
                    <w:rPr>
                      <w:color w:val="auto"/>
                      <w:sz w:val="21"/>
                      <w:szCs w:val="21"/>
                      <w:lang w:val="zh-CN" w:bidi="zh-CN"/>
                    </w:rPr>
                  </w:pPr>
                  <w:r>
                    <w:rPr>
                      <w:color w:val="auto"/>
                      <w:sz w:val="21"/>
                      <w:szCs w:val="21"/>
                      <w:lang w:val="zh-CN" w:bidi="zh-CN"/>
                    </w:rPr>
                    <w:t>消防废水</w:t>
                  </w:r>
                  <w:r>
                    <w:rPr>
                      <w:color w:val="auto"/>
                      <w:sz w:val="21"/>
                      <w:szCs w:val="21"/>
                      <w:lang w:bidi="zh-CN"/>
                    </w:rPr>
                    <w:t>渗透、吸收</w:t>
                  </w:r>
                </w:p>
              </w:tc>
            </w:tr>
            <w:tr w14:paraId="7760FB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09" w:type="pct"/>
                  <w:noWrap w:val="0"/>
                  <w:vAlign w:val="center"/>
                </w:tcPr>
                <w:p w14:paraId="59085750">
                  <w:pPr>
                    <w:adjustRightInd w:val="0"/>
                    <w:snapToGrid w:val="0"/>
                    <w:spacing w:line="240" w:lineRule="auto"/>
                    <w:jc w:val="center"/>
                    <w:rPr>
                      <w:color w:val="auto"/>
                      <w:sz w:val="21"/>
                      <w:szCs w:val="21"/>
                      <w:lang w:val="zh-CN" w:bidi="zh-CN"/>
                    </w:rPr>
                  </w:pPr>
                  <w:r>
                    <w:rPr>
                      <w:color w:val="auto"/>
                      <w:sz w:val="21"/>
                      <w:szCs w:val="21"/>
                      <w:lang w:val="zh-CN" w:bidi="zh-CN"/>
                    </w:rPr>
                    <w:t>废气处理设施</w:t>
                  </w:r>
                </w:p>
              </w:tc>
              <w:tc>
                <w:tcPr>
                  <w:tcW w:w="562" w:type="pct"/>
                  <w:noWrap w:val="0"/>
                  <w:vAlign w:val="center"/>
                </w:tcPr>
                <w:p w14:paraId="2717E457">
                  <w:pPr>
                    <w:adjustRightInd w:val="0"/>
                    <w:snapToGrid w:val="0"/>
                    <w:spacing w:line="240" w:lineRule="auto"/>
                    <w:jc w:val="center"/>
                    <w:rPr>
                      <w:color w:val="auto"/>
                      <w:sz w:val="21"/>
                      <w:szCs w:val="21"/>
                      <w:lang w:val="zh-CN" w:bidi="zh-CN"/>
                    </w:rPr>
                  </w:pPr>
                  <w:r>
                    <w:rPr>
                      <w:color w:val="auto"/>
                      <w:sz w:val="21"/>
                      <w:szCs w:val="21"/>
                      <w:lang w:val="zh-CN" w:bidi="zh-CN"/>
                    </w:rPr>
                    <w:t>布袋除尘器</w:t>
                  </w:r>
                </w:p>
              </w:tc>
              <w:tc>
                <w:tcPr>
                  <w:tcW w:w="970" w:type="pct"/>
                  <w:noWrap w:val="0"/>
                  <w:vAlign w:val="center"/>
                </w:tcPr>
                <w:p w14:paraId="1E2C0074">
                  <w:pPr>
                    <w:adjustRightInd w:val="0"/>
                    <w:snapToGrid w:val="0"/>
                    <w:spacing w:line="240" w:lineRule="auto"/>
                    <w:jc w:val="center"/>
                    <w:rPr>
                      <w:color w:val="auto"/>
                      <w:spacing w:val="-12"/>
                      <w:sz w:val="21"/>
                      <w:szCs w:val="21"/>
                      <w:lang w:val="zh-CN" w:bidi="zh-CN"/>
                    </w:rPr>
                  </w:pPr>
                  <w:r>
                    <w:rPr>
                      <w:rFonts w:hint="eastAsia"/>
                      <w:color w:val="auto"/>
                      <w:spacing w:val="-12"/>
                      <w:sz w:val="21"/>
                      <w:szCs w:val="21"/>
                      <w:lang w:val="zh-CN" w:bidi="zh-CN"/>
                    </w:rPr>
                    <w:t>颗粒物</w:t>
                  </w:r>
                </w:p>
              </w:tc>
              <w:tc>
                <w:tcPr>
                  <w:tcW w:w="680" w:type="pct"/>
                  <w:noWrap w:val="0"/>
                  <w:vAlign w:val="center"/>
                </w:tcPr>
                <w:p w14:paraId="39F8ECBE">
                  <w:pPr>
                    <w:adjustRightInd w:val="0"/>
                    <w:snapToGrid w:val="0"/>
                    <w:spacing w:line="240" w:lineRule="auto"/>
                    <w:jc w:val="center"/>
                    <w:rPr>
                      <w:color w:val="auto"/>
                      <w:sz w:val="21"/>
                      <w:szCs w:val="21"/>
                      <w:lang w:val="zh-CN" w:bidi="zh-CN"/>
                    </w:rPr>
                  </w:pPr>
                  <w:r>
                    <w:rPr>
                      <w:color w:val="auto"/>
                      <w:sz w:val="21"/>
                      <w:szCs w:val="21"/>
                      <w:lang w:val="zh-CN" w:bidi="zh-CN"/>
                    </w:rPr>
                    <w:t>未处理废气直接排放</w:t>
                  </w:r>
                </w:p>
              </w:tc>
              <w:tc>
                <w:tcPr>
                  <w:tcW w:w="680" w:type="pct"/>
                  <w:noWrap w:val="0"/>
                  <w:vAlign w:val="center"/>
                </w:tcPr>
                <w:p w14:paraId="06C3BB45">
                  <w:pPr>
                    <w:adjustRightInd w:val="0"/>
                    <w:snapToGrid w:val="0"/>
                    <w:spacing w:line="240" w:lineRule="auto"/>
                    <w:jc w:val="center"/>
                    <w:rPr>
                      <w:color w:val="auto"/>
                      <w:sz w:val="21"/>
                      <w:szCs w:val="21"/>
                      <w:lang w:val="zh-CN" w:bidi="zh-CN"/>
                    </w:rPr>
                  </w:pPr>
                  <w:r>
                    <w:rPr>
                      <w:color w:val="auto"/>
                      <w:sz w:val="21"/>
                      <w:szCs w:val="21"/>
                      <w:lang w:val="zh-CN" w:bidi="zh-CN"/>
                    </w:rPr>
                    <w:t>扩散</w:t>
                  </w:r>
                </w:p>
              </w:tc>
              <w:tc>
                <w:tcPr>
                  <w:tcW w:w="767" w:type="pct"/>
                  <w:noWrap w:val="0"/>
                  <w:vAlign w:val="center"/>
                </w:tcPr>
                <w:p w14:paraId="6DF3613F">
                  <w:pPr>
                    <w:adjustRightInd w:val="0"/>
                    <w:snapToGrid w:val="0"/>
                    <w:spacing w:line="240" w:lineRule="auto"/>
                    <w:jc w:val="center"/>
                    <w:rPr>
                      <w:color w:val="auto"/>
                      <w:sz w:val="21"/>
                      <w:szCs w:val="21"/>
                      <w:lang w:val="zh-CN" w:bidi="zh-CN"/>
                    </w:rPr>
                  </w:pPr>
                  <w:r>
                    <w:rPr>
                      <w:color w:val="auto"/>
                      <w:sz w:val="21"/>
                      <w:szCs w:val="21"/>
                      <w:lang w:bidi="zh-CN"/>
                    </w:rPr>
                    <w:t>/</w:t>
                  </w:r>
                </w:p>
              </w:tc>
              <w:tc>
                <w:tcPr>
                  <w:tcW w:w="830" w:type="pct"/>
                  <w:noWrap w:val="0"/>
                  <w:vAlign w:val="center"/>
                </w:tcPr>
                <w:p w14:paraId="16FEABD1">
                  <w:pPr>
                    <w:adjustRightInd w:val="0"/>
                    <w:snapToGrid w:val="0"/>
                    <w:spacing w:line="240" w:lineRule="auto"/>
                    <w:jc w:val="center"/>
                    <w:rPr>
                      <w:color w:val="auto"/>
                      <w:sz w:val="21"/>
                      <w:szCs w:val="21"/>
                      <w:lang w:val="zh-CN" w:bidi="zh-CN"/>
                    </w:rPr>
                  </w:pPr>
                  <w:r>
                    <w:rPr>
                      <w:color w:val="auto"/>
                      <w:sz w:val="21"/>
                      <w:szCs w:val="21"/>
                      <w:lang w:bidi="zh-CN"/>
                    </w:rPr>
                    <w:t>/</w:t>
                  </w:r>
                </w:p>
              </w:tc>
            </w:tr>
            <w:tr w14:paraId="14DDB1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509" w:type="pct"/>
                  <w:vMerge w:val="restart"/>
                  <w:noWrap w:val="0"/>
                  <w:vAlign w:val="center"/>
                </w:tcPr>
                <w:p w14:paraId="79A43AB6">
                  <w:pPr>
                    <w:adjustRightInd w:val="0"/>
                    <w:snapToGrid w:val="0"/>
                    <w:spacing w:line="240" w:lineRule="auto"/>
                    <w:jc w:val="center"/>
                    <w:rPr>
                      <w:color w:val="auto"/>
                      <w:sz w:val="21"/>
                      <w:szCs w:val="21"/>
                      <w:lang w:val="zh-CN" w:bidi="zh-CN"/>
                    </w:rPr>
                  </w:pPr>
                  <w:r>
                    <w:rPr>
                      <w:color w:val="auto"/>
                      <w:sz w:val="21"/>
                      <w:szCs w:val="21"/>
                      <w:lang w:val="zh-CN" w:bidi="zh-CN"/>
                    </w:rPr>
                    <w:t>危废库</w:t>
                  </w:r>
                </w:p>
              </w:tc>
              <w:tc>
                <w:tcPr>
                  <w:tcW w:w="562" w:type="pct"/>
                  <w:vMerge w:val="restart"/>
                  <w:noWrap w:val="0"/>
                  <w:vAlign w:val="center"/>
                </w:tcPr>
                <w:p w14:paraId="0F2EFCBC">
                  <w:pPr>
                    <w:adjustRightInd w:val="0"/>
                    <w:snapToGrid w:val="0"/>
                    <w:spacing w:line="240" w:lineRule="auto"/>
                    <w:jc w:val="center"/>
                    <w:rPr>
                      <w:color w:val="auto"/>
                      <w:sz w:val="21"/>
                      <w:szCs w:val="21"/>
                      <w:lang w:val="zh-CN" w:bidi="zh-CN"/>
                    </w:rPr>
                  </w:pPr>
                  <w:r>
                    <w:rPr>
                      <w:color w:val="auto"/>
                      <w:sz w:val="21"/>
                      <w:szCs w:val="21"/>
                      <w:lang w:val="zh-CN" w:bidi="zh-CN"/>
                    </w:rPr>
                    <w:t>危废库</w:t>
                  </w:r>
                </w:p>
              </w:tc>
              <w:tc>
                <w:tcPr>
                  <w:tcW w:w="970" w:type="pct"/>
                  <w:vMerge w:val="restart"/>
                  <w:noWrap w:val="0"/>
                  <w:vAlign w:val="center"/>
                </w:tcPr>
                <w:p w14:paraId="2613E425">
                  <w:pPr>
                    <w:adjustRightInd w:val="0"/>
                    <w:snapToGrid w:val="0"/>
                    <w:spacing w:line="240" w:lineRule="auto"/>
                    <w:jc w:val="center"/>
                    <w:rPr>
                      <w:rFonts w:hint="eastAsia" w:ascii="Times New Roman" w:hAnsi="Times New Roman" w:eastAsia="宋体" w:cs="Times New Roman"/>
                      <w:color w:val="auto"/>
                      <w:sz w:val="21"/>
                      <w:szCs w:val="21"/>
                      <w:lang w:val="zh-CN" w:bidi="zh-CN"/>
                    </w:rPr>
                  </w:pPr>
                  <w:r>
                    <w:rPr>
                      <w:rFonts w:hint="eastAsia" w:ascii="Times New Roman" w:hAnsi="Times New Roman" w:eastAsia="宋体" w:cs="Times New Roman"/>
                      <w:color w:val="auto"/>
                      <w:sz w:val="21"/>
                      <w:szCs w:val="21"/>
                      <w:lang w:val="zh-CN" w:bidi="zh-CN"/>
                    </w:rPr>
                    <w:t>废切削液等危险废物</w:t>
                  </w:r>
                </w:p>
              </w:tc>
              <w:tc>
                <w:tcPr>
                  <w:tcW w:w="680" w:type="pct"/>
                  <w:noWrap w:val="0"/>
                  <w:vAlign w:val="center"/>
                </w:tcPr>
                <w:p w14:paraId="027BFF5A">
                  <w:pPr>
                    <w:adjustRightInd w:val="0"/>
                    <w:snapToGrid w:val="0"/>
                    <w:spacing w:line="240" w:lineRule="auto"/>
                    <w:jc w:val="center"/>
                    <w:rPr>
                      <w:rFonts w:ascii="Times New Roman" w:hAnsi="Times New Roman" w:eastAsia="宋体" w:cs="Times New Roman"/>
                      <w:color w:val="auto"/>
                      <w:sz w:val="21"/>
                      <w:szCs w:val="21"/>
                      <w:lang w:val="zh-CN" w:bidi="zh-CN"/>
                    </w:rPr>
                  </w:pPr>
                  <w:r>
                    <w:rPr>
                      <w:rFonts w:ascii="Times New Roman" w:hAnsi="Times New Roman" w:eastAsia="宋体" w:cs="Times New Roman"/>
                      <w:color w:val="auto"/>
                      <w:sz w:val="21"/>
                      <w:szCs w:val="21"/>
                      <w:lang w:val="zh-CN" w:bidi="zh-CN"/>
                    </w:rPr>
                    <w:t>泄漏</w:t>
                  </w:r>
                </w:p>
              </w:tc>
              <w:tc>
                <w:tcPr>
                  <w:tcW w:w="680" w:type="pct"/>
                  <w:noWrap w:val="0"/>
                  <w:vAlign w:val="center"/>
                </w:tcPr>
                <w:p w14:paraId="5537482A">
                  <w:pPr>
                    <w:adjustRightInd w:val="0"/>
                    <w:snapToGrid w:val="0"/>
                    <w:spacing w:line="240" w:lineRule="auto"/>
                    <w:jc w:val="center"/>
                    <w:rPr>
                      <w:rFonts w:ascii="Times New Roman" w:hAnsi="Times New Roman" w:eastAsia="宋体" w:cs="Times New Roman"/>
                      <w:color w:val="auto"/>
                      <w:sz w:val="21"/>
                      <w:szCs w:val="21"/>
                      <w:lang w:val="zh-CN" w:bidi="zh-CN"/>
                    </w:rPr>
                  </w:pPr>
                  <w:r>
                    <w:rPr>
                      <w:rFonts w:ascii="Times New Roman" w:hAnsi="Times New Roman" w:eastAsia="宋体" w:cs="Times New Roman"/>
                      <w:color w:val="auto"/>
                      <w:sz w:val="21"/>
                      <w:szCs w:val="21"/>
                      <w:lang w:val="zh-CN" w:bidi="zh-CN"/>
                    </w:rPr>
                    <w:t>/</w:t>
                  </w:r>
                </w:p>
              </w:tc>
              <w:tc>
                <w:tcPr>
                  <w:tcW w:w="767" w:type="pct"/>
                  <w:noWrap w:val="0"/>
                  <w:vAlign w:val="center"/>
                </w:tcPr>
                <w:p w14:paraId="0C3D53E2">
                  <w:pPr>
                    <w:adjustRightInd w:val="0"/>
                    <w:snapToGrid w:val="0"/>
                    <w:spacing w:line="240" w:lineRule="auto"/>
                    <w:jc w:val="center"/>
                    <w:rPr>
                      <w:color w:val="auto"/>
                      <w:sz w:val="21"/>
                      <w:szCs w:val="21"/>
                      <w:lang w:val="zh-CN" w:bidi="zh-CN"/>
                    </w:rPr>
                  </w:pPr>
                  <w:r>
                    <w:rPr>
                      <w:color w:val="auto"/>
                      <w:sz w:val="21"/>
                      <w:szCs w:val="21"/>
                      <w:lang w:bidi="zh-CN"/>
                    </w:rPr>
                    <w:t>/</w:t>
                  </w:r>
                </w:p>
              </w:tc>
              <w:tc>
                <w:tcPr>
                  <w:tcW w:w="830" w:type="pct"/>
                  <w:noWrap w:val="0"/>
                  <w:vAlign w:val="center"/>
                </w:tcPr>
                <w:p w14:paraId="2DA53070">
                  <w:pPr>
                    <w:adjustRightInd w:val="0"/>
                    <w:snapToGrid w:val="0"/>
                    <w:spacing w:line="240" w:lineRule="auto"/>
                    <w:jc w:val="center"/>
                    <w:rPr>
                      <w:color w:val="auto"/>
                      <w:sz w:val="21"/>
                      <w:szCs w:val="21"/>
                      <w:lang w:val="zh-CN" w:bidi="zh-CN"/>
                    </w:rPr>
                  </w:pPr>
                  <w:r>
                    <w:rPr>
                      <w:color w:val="auto"/>
                      <w:sz w:val="21"/>
                      <w:szCs w:val="21"/>
                      <w:lang w:bidi="zh-CN"/>
                    </w:rPr>
                    <w:t>/</w:t>
                  </w:r>
                </w:p>
              </w:tc>
            </w:tr>
            <w:tr w14:paraId="2C8E8D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0" w:hRule="atLeast"/>
                <w:jc w:val="center"/>
              </w:trPr>
              <w:tc>
                <w:tcPr>
                  <w:tcW w:w="509" w:type="pct"/>
                  <w:vMerge w:val="continue"/>
                  <w:noWrap w:val="0"/>
                  <w:vAlign w:val="center"/>
                </w:tcPr>
                <w:p w14:paraId="03D75630">
                  <w:pPr>
                    <w:adjustRightInd w:val="0"/>
                    <w:snapToGrid w:val="0"/>
                    <w:spacing w:line="240" w:lineRule="auto"/>
                    <w:jc w:val="center"/>
                    <w:rPr>
                      <w:color w:val="auto"/>
                      <w:sz w:val="21"/>
                      <w:szCs w:val="21"/>
                      <w:lang w:val="zh-CN" w:bidi="zh-CN"/>
                    </w:rPr>
                  </w:pPr>
                </w:p>
              </w:tc>
              <w:tc>
                <w:tcPr>
                  <w:tcW w:w="562" w:type="pct"/>
                  <w:vMerge w:val="continue"/>
                  <w:noWrap w:val="0"/>
                  <w:vAlign w:val="center"/>
                </w:tcPr>
                <w:p w14:paraId="659B8A35">
                  <w:pPr>
                    <w:adjustRightInd w:val="0"/>
                    <w:snapToGrid w:val="0"/>
                    <w:spacing w:line="240" w:lineRule="auto"/>
                    <w:jc w:val="center"/>
                    <w:rPr>
                      <w:color w:val="auto"/>
                      <w:sz w:val="21"/>
                      <w:szCs w:val="21"/>
                      <w:lang w:val="zh-CN" w:bidi="zh-CN"/>
                    </w:rPr>
                  </w:pPr>
                </w:p>
              </w:tc>
              <w:tc>
                <w:tcPr>
                  <w:tcW w:w="970" w:type="pct"/>
                  <w:vMerge w:val="continue"/>
                  <w:noWrap w:val="0"/>
                  <w:vAlign w:val="center"/>
                </w:tcPr>
                <w:p w14:paraId="7B4B192F">
                  <w:pPr>
                    <w:adjustRightInd w:val="0"/>
                    <w:snapToGrid w:val="0"/>
                    <w:spacing w:line="240" w:lineRule="auto"/>
                    <w:jc w:val="center"/>
                    <w:rPr>
                      <w:rFonts w:ascii="Times New Roman" w:hAnsi="Times New Roman" w:eastAsia="宋体" w:cs="Times New Roman"/>
                      <w:color w:val="auto"/>
                      <w:sz w:val="21"/>
                      <w:szCs w:val="21"/>
                      <w:lang w:val="zh-CN" w:bidi="zh-CN"/>
                    </w:rPr>
                  </w:pPr>
                </w:p>
              </w:tc>
              <w:tc>
                <w:tcPr>
                  <w:tcW w:w="680" w:type="pct"/>
                  <w:noWrap w:val="0"/>
                  <w:vAlign w:val="center"/>
                </w:tcPr>
                <w:p w14:paraId="63A341F0">
                  <w:pPr>
                    <w:adjustRightInd w:val="0"/>
                    <w:snapToGrid w:val="0"/>
                    <w:spacing w:line="240" w:lineRule="auto"/>
                    <w:jc w:val="center"/>
                    <w:rPr>
                      <w:rFonts w:ascii="Times New Roman" w:hAnsi="Times New Roman" w:eastAsia="宋体" w:cs="Times New Roman"/>
                      <w:color w:val="auto"/>
                      <w:sz w:val="21"/>
                      <w:szCs w:val="21"/>
                      <w:lang w:val="zh-CN" w:bidi="zh-CN"/>
                    </w:rPr>
                  </w:pPr>
                  <w:r>
                    <w:rPr>
                      <w:rFonts w:ascii="Times New Roman" w:hAnsi="Times New Roman" w:eastAsia="宋体" w:cs="Times New Roman"/>
                      <w:color w:val="auto"/>
                      <w:sz w:val="21"/>
                      <w:szCs w:val="21"/>
                      <w:lang w:val="zh-CN" w:bidi="zh-CN"/>
                    </w:rPr>
                    <w:t>火灾</w:t>
                  </w:r>
                </w:p>
              </w:tc>
              <w:tc>
                <w:tcPr>
                  <w:tcW w:w="680" w:type="pct"/>
                  <w:noWrap w:val="0"/>
                  <w:vAlign w:val="center"/>
                </w:tcPr>
                <w:p w14:paraId="451A5780">
                  <w:pPr>
                    <w:adjustRightInd w:val="0"/>
                    <w:snapToGrid w:val="0"/>
                    <w:spacing w:line="240" w:lineRule="auto"/>
                    <w:jc w:val="center"/>
                    <w:rPr>
                      <w:rFonts w:ascii="Times New Roman" w:hAnsi="Times New Roman" w:eastAsia="宋体" w:cs="Times New Roman"/>
                      <w:color w:val="auto"/>
                      <w:sz w:val="21"/>
                      <w:szCs w:val="21"/>
                      <w:lang w:val="zh-CN" w:bidi="zh-CN"/>
                    </w:rPr>
                  </w:pPr>
                  <w:r>
                    <w:rPr>
                      <w:rFonts w:ascii="Times New Roman" w:hAnsi="Times New Roman" w:eastAsia="宋体" w:cs="Times New Roman"/>
                      <w:color w:val="auto"/>
                      <w:sz w:val="21"/>
                      <w:szCs w:val="21"/>
                      <w:lang w:val="zh-CN" w:bidi="zh-CN"/>
                    </w:rPr>
                    <w:t>伴/次生物质扩散</w:t>
                  </w:r>
                </w:p>
              </w:tc>
              <w:tc>
                <w:tcPr>
                  <w:tcW w:w="767" w:type="pct"/>
                  <w:noWrap w:val="0"/>
                  <w:vAlign w:val="center"/>
                </w:tcPr>
                <w:p w14:paraId="7BC18215">
                  <w:pPr>
                    <w:adjustRightInd w:val="0"/>
                    <w:snapToGrid w:val="0"/>
                    <w:spacing w:line="240" w:lineRule="auto"/>
                    <w:jc w:val="center"/>
                    <w:rPr>
                      <w:color w:val="auto"/>
                      <w:sz w:val="21"/>
                      <w:szCs w:val="21"/>
                      <w:lang w:val="zh-CN" w:bidi="zh-CN"/>
                    </w:rPr>
                  </w:pPr>
                  <w:r>
                    <w:rPr>
                      <w:color w:val="auto"/>
                      <w:sz w:val="21"/>
                      <w:szCs w:val="21"/>
                      <w:lang w:val="zh-CN" w:bidi="zh-CN"/>
                    </w:rPr>
                    <w:t>消防废水、初期雨水漫流</w:t>
                  </w:r>
                </w:p>
              </w:tc>
              <w:tc>
                <w:tcPr>
                  <w:tcW w:w="830" w:type="pct"/>
                  <w:noWrap w:val="0"/>
                  <w:vAlign w:val="center"/>
                </w:tcPr>
                <w:p w14:paraId="24D58250">
                  <w:pPr>
                    <w:adjustRightInd w:val="0"/>
                    <w:snapToGrid w:val="0"/>
                    <w:spacing w:line="240" w:lineRule="auto"/>
                    <w:jc w:val="center"/>
                    <w:rPr>
                      <w:color w:val="auto"/>
                      <w:sz w:val="21"/>
                      <w:szCs w:val="21"/>
                      <w:lang w:val="zh-CN" w:bidi="zh-CN"/>
                    </w:rPr>
                  </w:pPr>
                  <w:r>
                    <w:rPr>
                      <w:color w:val="auto"/>
                      <w:sz w:val="21"/>
                      <w:szCs w:val="21"/>
                      <w:lang w:val="zh-CN" w:bidi="zh-CN"/>
                    </w:rPr>
                    <w:t>消防废水、初期雨水</w:t>
                  </w:r>
                  <w:r>
                    <w:rPr>
                      <w:color w:val="auto"/>
                      <w:sz w:val="21"/>
                      <w:szCs w:val="21"/>
                      <w:lang w:bidi="zh-CN"/>
                    </w:rPr>
                    <w:t>渗透、吸收</w:t>
                  </w:r>
                </w:p>
              </w:tc>
            </w:tr>
            <w:tr w14:paraId="021119A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 w:hRule="atLeast"/>
                <w:jc w:val="center"/>
              </w:trPr>
              <w:tc>
                <w:tcPr>
                  <w:tcW w:w="509" w:type="pct"/>
                  <w:vMerge w:val="continue"/>
                  <w:noWrap w:val="0"/>
                  <w:vAlign w:val="center"/>
                </w:tcPr>
                <w:p w14:paraId="3A18F807">
                  <w:pPr>
                    <w:adjustRightInd w:val="0"/>
                    <w:snapToGrid w:val="0"/>
                    <w:spacing w:line="240" w:lineRule="auto"/>
                    <w:jc w:val="center"/>
                    <w:rPr>
                      <w:color w:val="auto"/>
                      <w:sz w:val="21"/>
                      <w:szCs w:val="21"/>
                      <w:lang w:val="zh-CN" w:bidi="zh-CN"/>
                    </w:rPr>
                  </w:pPr>
                </w:p>
              </w:tc>
              <w:tc>
                <w:tcPr>
                  <w:tcW w:w="562" w:type="pct"/>
                  <w:vMerge w:val="continue"/>
                  <w:noWrap w:val="0"/>
                  <w:vAlign w:val="center"/>
                </w:tcPr>
                <w:p w14:paraId="4AF48E8B">
                  <w:pPr>
                    <w:adjustRightInd w:val="0"/>
                    <w:snapToGrid w:val="0"/>
                    <w:spacing w:line="240" w:lineRule="auto"/>
                    <w:jc w:val="center"/>
                    <w:rPr>
                      <w:color w:val="auto"/>
                      <w:sz w:val="21"/>
                      <w:szCs w:val="21"/>
                      <w:lang w:val="zh-CN" w:bidi="zh-CN"/>
                    </w:rPr>
                  </w:pPr>
                </w:p>
              </w:tc>
              <w:tc>
                <w:tcPr>
                  <w:tcW w:w="970" w:type="pct"/>
                  <w:vMerge w:val="continue"/>
                  <w:noWrap w:val="0"/>
                  <w:vAlign w:val="center"/>
                </w:tcPr>
                <w:p w14:paraId="104288AB">
                  <w:pPr>
                    <w:adjustRightInd w:val="0"/>
                    <w:snapToGrid w:val="0"/>
                    <w:spacing w:line="240" w:lineRule="auto"/>
                    <w:jc w:val="center"/>
                    <w:rPr>
                      <w:rFonts w:ascii="Times New Roman" w:hAnsi="Times New Roman" w:eastAsia="宋体" w:cs="Times New Roman"/>
                      <w:color w:val="auto"/>
                      <w:sz w:val="21"/>
                      <w:szCs w:val="21"/>
                      <w:lang w:val="zh-CN" w:bidi="zh-CN"/>
                    </w:rPr>
                  </w:pPr>
                </w:p>
              </w:tc>
              <w:tc>
                <w:tcPr>
                  <w:tcW w:w="680" w:type="pct"/>
                  <w:noWrap w:val="0"/>
                  <w:vAlign w:val="center"/>
                </w:tcPr>
                <w:p w14:paraId="743D15A6">
                  <w:pPr>
                    <w:adjustRightInd w:val="0"/>
                    <w:snapToGrid w:val="0"/>
                    <w:spacing w:line="240" w:lineRule="auto"/>
                    <w:jc w:val="center"/>
                    <w:rPr>
                      <w:rFonts w:ascii="Times New Roman" w:hAnsi="Times New Roman" w:eastAsia="宋体" w:cs="Times New Roman"/>
                      <w:color w:val="auto"/>
                      <w:sz w:val="21"/>
                      <w:szCs w:val="21"/>
                      <w:lang w:val="zh-CN" w:bidi="zh-CN"/>
                    </w:rPr>
                  </w:pPr>
                  <w:r>
                    <w:rPr>
                      <w:rFonts w:hint="eastAsia" w:ascii="Times New Roman" w:hAnsi="Times New Roman" w:eastAsia="宋体" w:cs="Times New Roman"/>
                      <w:color w:val="auto"/>
                      <w:sz w:val="21"/>
                      <w:szCs w:val="21"/>
                      <w:lang w:val="zh-CN" w:bidi="zh-CN"/>
                    </w:rPr>
                    <w:t>铝尘爆炸</w:t>
                  </w:r>
                </w:p>
              </w:tc>
              <w:tc>
                <w:tcPr>
                  <w:tcW w:w="680" w:type="pct"/>
                  <w:noWrap w:val="0"/>
                  <w:vAlign w:val="center"/>
                </w:tcPr>
                <w:p w14:paraId="34571753">
                  <w:pPr>
                    <w:adjustRightInd w:val="0"/>
                    <w:snapToGrid w:val="0"/>
                    <w:spacing w:line="240" w:lineRule="auto"/>
                    <w:jc w:val="center"/>
                    <w:rPr>
                      <w:rFonts w:ascii="Times New Roman" w:hAnsi="Times New Roman" w:eastAsia="宋体" w:cs="Times New Roman"/>
                      <w:color w:val="auto"/>
                      <w:sz w:val="21"/>
                      <w:szCs w:val="21"/>
                      <w:lang w:val="zh-CN" w:bidi="zh-CN"/>
                    </w:rPr>
                  </w:pPr>
                  <w:r>
                    <w:rPr>
                      <w:color w:val="auto"/>
                      <w:sz w:val="21"/>
                      <w:szCs w:val="21"/>
                      <w:lang w:val="zh-CN" w:bidi="zh-CN"/>
                    </w:rPr>
                    <w:t>伴</w:t>
                  </w:r>
                  <w:r>
                    <w:rPr>
                      <w:color w:val="auto"/>
                      <w:sz w:val="21"/>
                      <w:szCs w:val="21"/>
                      <w:lang w:bidi="zh-CN"/>
                    </w:rPr>
                    <w:t>/次生物质扩散</w:t>
                  </w:r>
                </w:p>
              </w:tc>
              <w:tc>
                <w:tcPr>
                  <w:tcW w:w="767" w:type="pct"/>
                  <w:noWrap w:val="0"/>
                  <w:vAlign w:val="center"/>
                </w:tcPr>
                <w:p w14:paraId="79D21CE7">
                  <w:pPr>
                    <w:adjustRightInd w:val="0"/>
                    <w:snapToGrid w:val="0"/>
                    <w:spacing w:line="240" w:lineRule="auto"/>
                    <w:jc w:val="center"/>
                    <w:rPr>
                      <w:color w:val="auto"/>
                      <w:sz w:val="21"/>
                      <w:szCs w:val="21"/>
                      <w:lang w:val="zh-CN" w:bidi="zh-CN"/>
                    </w:rPr>
                  </w:pPr>
                  <w:r>
                    <w:rPr>
                      <w:color w:val="auto"/>
                      <w:sz w:val="21"/>
                      <w:szCs w:val="21"/>
                      <w:lang w:val="zh-CN" w:bidi="zh-CN"/>
                    </w:rPr>
                    <w:t>消防废水漫流</w:t>
                  </w:r>
                </w:p>
              </w:tc>
              <w:tc>
                <w:tcPr>
                  <w:tcW w:w="830" w:type="pct"/>
                  <w:noWrap w:val="0"/>
                  <w:vAlign w:val="center"/>
                </w:tcPr>
                <w:p w14:paraId="4A67C79A">
                  <w:pPr>
                    <w:adjustRightInd w:val="0"/>
                    <w:snapToGrid w:val="0"/>
                    <w:spacing w:line="240" w:lineRule="auto"/>
                    <w:jc w:val="center"/>
                    <w:rPr>
                      <w:color w:val="auto"/>
                      <w:sz w:val="21"/>
                      <w:szCs w:val="21"/>
                      <w:lang w:val="zh-CN" w:bidi="zh-CN"/>
                    </w:rPr>
                  </w:pPr>
                  <w:r>
                    <w:rPr>
                      <w:color w:val="auto"/>
                      <w:sz w:val="21"/>
                      <w:szCs w:val="21"/>
                      <w:lang w:val="zh-CN" w:bidi="zh-CN"/>
                    </w:rPr>
                    <w:t>消防废水</w:t>
                  </w:r>
                  <w:r>
                    <w:rPr>
                      <w:color w:val="auto"/>
                      <w:sz w:val="21"/>
                      <w:szCs w:val="21"/>
                      <w:lang w:bidi="zh-CN"/>
                    </w:rPr>
                    <w:t>渗透、吸收</w:t>
                  </w:r>
                </w:p>
              </w:tc>
            </w:tr>
          </w:tbl>
          <w:p w14:paraId="1143C1B3">
            <w:pPr>
              <w:adjustRightInd w:val="0"/>
              <w:snapToGrid w:val="0"/>
              <w:spacing w:line="360" w:lineRule="auto"/>
              <w:ind w:firstLine="422" w:firstLineChars="200"/>
              <w:rPr>
                <w:rFonts w:hAnsi="宋体" w:cs="宋体"/>
                <w:b/>
                <w:color w:val="auto"/>
                <w:kern w:val="0"/>
                <w:szCs w:val="21"/>
              </w:rPr>
            </w:pPr>
            <w:r>
              <w:rPr>
                <w:rFonts w:hint="eastAsia"/>
                <w:b/>
                <w:color w:val="auto"/>
                <w:kern w:val="0"/>
                <w:szCs w:val="21"/>
                <w:lang w:val="en-US" w:eastAsia="zh-CN"/>
              </w:rPr>
              <w:t>7.2</w:t>
            </w:r>
            <w:r>
              <w:rPr>
                <w:rFonts w:hint="eastAsia"/>
                <w:b/>
                <w:color w:val="auto"/>
                <w:kern w:val="0"/>
                <w:szCs w:val="21"/>
              </w:rPr>
              <w:t>典型事故影响分析</w:t>
            </w:r>
          </w:p>
          <w:p w14:paraId="2996508A">
            <w:pPr>
              <w:adjustRightInd w:val="0"/>
              <w:snapToGrid w:val="0"/>
              <w:spacing w:line="360" w:lineRule="auto"/>
              <w:ind w:firstLine="420" w:firstLineChars="200"/>
              <w:rPr>
                <w:rFonts w:ascii="宋体"/>
                <w:color w:val="auto"/>
                <w:kern w:val="0"/>
                <w:szCs w:val="21"/>
              </w:rPr>
            </w:pPr>
            <w:r>
              <w:rPr>
                <w:rFonts w:hint="eastAsia"/>
                <w:color w:val="auto"/>
                <w:kern w:val="0"/>
                <w:szCs w:val="21"/>
              </w:rPr>
              <w:t>①大气环境风险分析</w:t>
            </w:r>
          </w:p>
          <w:p w14:paraId="3826CAF5">
            <w:pPr>
              <w:adjustRightInd w:val="0"/>
              <w:snapToGrid w:val="0"/>
              <w:spacing w:line="360" w:lineRule="auto"/>
              <w:ind w:firstLine="420" w:firstLineChars="200"/>
              <w:rPr>
                <w:color w:val="auto"/>
                <w:kern w:val="0"/>
                <w:szCs w:val="21"/>
              </w:rPr>
            </w:pPr>
            <w:r>
              <w:rPr>
                <w:color w:val="auto"/>
                <w:kern w:val="0"/>
                <w:szCs w:val="21"/>
              </w:rPr>
              <w:t>A</w:t>
            </w:r>
            <w:r>
              <w:rPr>
                <w:rFonts w:hint="eastAsia"/>
                <w:color w:val="auto"/>
                <w:kern w:val="0"/>
                <w:szCs w:val="21"/>
                <w:lang w:eastAsia="zh-CN"/>
              </w:rPr>
              <w:t>.</w:t>
            </w:r>
            <w:r>
              <w:rPr>
                <w:rFonts w:hint="eastAsia"/>
                <w:color w:val="auto"/>
                <w:kern w:val="0"/>
                <w:szCs w:val="21"/>
              </w:rPr>
              <w:t>物料泄漏</w:t>
            </w:r>
          </w:p>
          <w:p w14:paraId="172EF7ED">
            <w:pPr>
              <w:adjustRightInd w:val="0"/>
              <w:snapToGrid w:val="0"/>
              <w:spacing w:line="360" w:lineRule="auto"/>
              <w:ind w:firstLine="420" w:firstLineChars="200"/>
              <w:rPr>
                <w:color w:val="auto"/>
                <w:kern w:val="0"/>
                <w:szCs w:val="21"/>
              </w:rPr>
            </w:pPr>
            <w:r>
              <w:rPr>
                <w:rFonts w:hint="eastAsia"/>
                <w:color w:val="auto"/>
                <w:kern w:val="0"/>
                <w:szCs w:val="21"/>
              </w:rPr>
              <w:t>项目在生产中应注意</w:t>
            </w:r>
            <w:r>
              <w:rPr>
                <w:rFonts w:hint="eastAsia" w:hAnsi="宋体"/>
                <w:color w:val="auto"/>
                <w:kern w:val="0"/>
                <w:szCs w:val="21"/>
              </w:rPr>
              <w:t>切削液</w:t>
            </w:r>
            <w:r>
              <w:rPr>
                <w:rFonts w:hint="eastAsia"/>
                <w:color w:val="auto"/>
                <w:kern w:val="0"/>
                <w:szCs w:val="21"/>
              </w:rPr>
              <w:t>等物质的存储，一旦发生泄漏，疏散泄漏污染区人员至安全区，禁止无关人员进入污染区，切断火源。建议应急处理人员戴正压自给式呼吸器，穿化学防护服。不要直接接触泄漏物，在确保安全情况下堵漏。少量泄漏使用</w:t>
            </w:r>
            <w:r>
              <w:rPr>
                <w:rFonts w:hint="eastAsia"/>
                <w:color w:val="auto"/>
                <w:kern w:val="0"/>
                <w:szCs w:val="21"/>
                <w:lang w:eastAsia="zh-CN"/>
              </w:rPr>
              <w:t>黄沙</w:t>
            </w:r>
            <w:r>
              <w:rPr>
                <w:rFonts w:hint="eastAsia"/>
                <w:color w:val="auto"/>
                <w:kern w:val="0"/>
                <w:szCs w:val="21"/>
              </w:rPr>
              <w:t>吸附。如大量泄漏，利用围堤收容，然后收集、转移、回收或无害处理后废弃。</w:t>
            </w:r>
          </w:p>
          <w:p w14:paraId="13765FEC">
            <w:pPr>
              <w:adjustRightInd w:val="0"/>
              <w:snapToGrid w:val="0"/>
              <w:spacing w:line="360" w:lineRule="auto"/>
              <w:ind w:firstLine="420" w:firstLineChars="200"/>
              <w:rPr>
                <w:color w:val="auto"/>
                <w:kern w:val="0"/>
                <w:szCs w:val="21"/>
              </w:rPr>
            </w:pPr>
            <w:r>
              <w:rPr>
                <w:color w:val="auto"/>
                <w:kern w:val="0"/>
                <w:szCs w:val="21"/>
              </w:rPr>
              <w:t>B</w:t>
            </w:r>
            <w:r>
              <w:rPr>
                <w:rFonts w:hint="eastAsia"/>
                <w:color w:val="auto"/>
                <w:kern w:val="0"/>
                <w:szCs w:val="21"/>
                <w:lang w:eastAsia="zh-CN"/>
              </w:rPr>
              <w:t>.</w:t>
            </w:r>
            <w:r>
              <w:rPr>
                <w:rFonts w:hint="eastAsia"/>
                <w:color w:val="auto"/>
                <w:kern w:val="0"/>
                <w:szCs w:val="21"/>
              </w:rPr>
              <w:t>火灾、爆炸</w:t>
            </w:r>
          </w:p>
          <w:p w14:paraId="2AFF9FF1">
            <w:pPr>
              <w:adjustRightInd w:val="0"/>
              <w:snapToGrid w:val="0"/>
              <w:spacing w:line="360" w:lineRule="auto"/>
              <w:ind w:firstLine="420" w:firstLineChars="200"/>
              <w:rPr>
                <w:color w:val="auto"/>
                <w:kern w:val="0"/>
                <w:szCs w:val="21"/>
              </w:rPr>
            </w:pPr>
            <w:r>
              <w:rPr>
                <w:rFonts w:hint="eastAsia"/>
                <w:color w:val="auto"/>
                <w:kern w:val="0"/>
                <w:szCs w:val="21"/>
              </w:rPr>
              <w:t>易燃物料的元素组成主要为</w:t>
            </w:r>
            <w:r>
              <w:rPr>
                <w:color w:val="auto"/>
                <w:kern w:val="0"/>
                <w:szCs w:val="21"/>
              </w:rPr>
              <w:t>C</w:t>
            </w:r>
            <w:r>
              <w:rPr>
                <w:rFonts w:hint="eastAsia"/>
                <w:color w:val="auto"/>
                <w:kern w:val="0"/>
                <w:szCs w:val="21"/>
              </w:rPr>
              <w:t>、</w:t>
            </w:r>
            <w:r>
              <w:rPr>
                <w:color w:val="auto"/>
                <w:kern w:val="0"/>
                <w:szCs w:val="21"/>
              </w:rPr>
              <w:t>H</w:t>
            </w:r>
            <w:r>
              <w:rPr>
                <w:rFonts w:hint="eastAsia"/>
                <w:color w:val="auto"/>
                <w:kern w:val="0"/>
                <w:szCs w:val="21"/>
              </w:rPr>
              <w:t>、</w:t>
            </w:r>
            <w:r>
              <w:rPr>
                <w:color w:val="auto"/>
                <w:kern w:val="0"/>
                <w:szCs w:val="21"/>
              </w:rPr>
              <w:t>O</w:t>
            </w:r>
            <w:r>
              <w:rPr>
                <w:rFonts w:hint="eastAsia"/>
                <w:color w:val="auto"/>
                <w:kern w:val="0"/>
                <w:szCs w:val="21"/>
              </w:rPr>
              <w:t>等，因此火灾次生的污染物主要为挥发性有机物、</w:t>
            </w:r>
            <w:r>
              <w:rPr>
                <w:color w:val="auto"/>
                <w:kern w:val="0"/>
                <w:szCs w:val="21"/>
              </w:rPr>
              <w:t>CO</w:t>
            </w:r>
            <w:r>
              <w:rPr>
                <w:rFonts w:hint="eastAsia"/>
                <w:color w:val="auto"/>
                <w:kern w:val="0"/>
                <w:szCs w:val="21"/>
              </w:rPr>
              <w:t>等，因此本项目主要的环境事故考虑火灾爆炸次生</w:t>
            </w:r>
            <w:r>
              <w:rPr>
                <w:color w:val="auto"/>
                <w:kern w:val="0"/>
                <w:szCs w:val="21"/>
              </w:rPr>
              <w:t>/</w:t>
            </w:r>
            <w:r>
              <w:rPr>
                <w:rFonts w:hint="eastAsia"/>
                <w:color w:val="auto"/>
                <w:kern w:val="0"/>
                <w:szCs w:val="21"/>
              </w:rPr>
              <w:t>伴生的</w:t>
            </w:r>
            <w:r>
              <w:rPr>
                <w:color w:val="auto"/>
                <w:kern w:val="0"/>
                <w:szCs w:val="21"/>
              </w:rPr>
              <w:t>CO</w:t>
            </w:r>
            <w:r>
              <w:rPr>
                <w:rFonts w:hint="eastAsia"/>
                <w:color w:val="auto"/>
                <w:kern w:val="0"/>
                <w:szCs w:val="21"/>
              </w:rPr>
              <w:t>对环境的影响。一氧化碳是含碳物质不完全燃烧的产物，是一种无色、无臭、无刺激性的有毒气体，几乎不溶于水，在空气中不易与其他物质产生化学反应，发生火灾事故后物质燃烧造成</w:t>
            </w:r>
            <w:r>
              <w:rPr>
                <w:color w:val="auto"/>
                <w:kern w:val="0"/>
                <w:szCs w:val="21"/>
              </w:rPr>
              <w:t>CO</w:t>
            </w:r>
            <w:r>
              <w:rPr>
                <w:rFonts w:hint="eastAsia"/>
                <w:color w:val="auto"/>
                <w:kern w:val="0"/>
                <w:szCs w:val="21"/>
              </w:rPr>
              <w:t>局部污染严重，因此在事故中心地区会对人群健康有一定危害。事故发生后需及时启动突发环境事件应急预案，对下风向职工、居民进行疏散，同时迅速进行消防、堵漏作业，将环境风险降至最低。</w:t>
            </w:r>
          </w:p>
          <w:p w14:paraId="0C9AA40F">
            <w:pPr>
              <w:adjustRightInd w:val="0"/>
              <w:snapToGrid w:val="0"/>
              <w:spacing w:line="360" w:lineRule="auto"/>
              <w:ind w:firstLine="420" w:firstLineChars="200"/>
              <w:rPr>
                <w:rFonts w:ascii="宋体"/>
                <w:color w:val="auto"/>
                <w:kern w:val="0"/>
                <w:szCs w:val="21"/>
              </w:rPr>
            </w:pPr>
            <w:r>
              <w:rPr>
                <w:rFonts w:hint="eastAsia"/>
                <w:color w:val="auto"/>
                <w:kern w:val="0"/>
                <w:szCs w:val="21"/>
              </w:rPr>
              <w:t>②地下水及土壤环境风险分析</w:t>
            </w:r>
          </w:p>
          <w:p w14:paraId="6F2138F2">
            <w:pPr>
              <w:adjustRightInd w:val="0"/>
              <w:snapToGrid w:val="0"/>
              <w:spacing w:line="360" w:lineRule="auto"/>
              <w:ind w:firstLine="420" w:firstLineChars="200"/>
              <w:rPr>
                <w:color w:val="auto"/>
                <w:kern w:val="0"/>
                <w:szCs w:val="21"/>
              </w:rPr>
            </w:pPr>
            <w:r>
              <w:rPr>
                <w:rFonts w:hint="eastAsia"/>
                <w:color w:val="auto"/>
                <w:kern w:val="0"/>
                <w:szCs w:val="21"/>
              </w:rPr>
              <w:t>本项目危废仓库按《危险废物贮存污染控制标准》（</w:t>
            </w:r>
            <w:r>
              <w:rPr>
                <w:color w:val="auto"/>
                <w:kern w:val="0"/>
                <w:szCs w:val="21"/>
              </w:rPr>
              <w:t>GB18597-20</w:t>
            </w:r>
            <w:r>
              <w:rPr>
                <w:rFonts w:hint="eastAsia"/>
                <w:color w:val="auto"/>
                <w:kern w:val="0"/>
                <w:szCs w:val="21"/>
              </w:rPr>
              <w:t>23）要求进行规范化建设，并定期对防渗层进行检修，且本项目危险废物定期收集运走，因此危废仓库发生防渗措施及危废存储容器同时破损的概率极低，对地下水及土壤产生影响的可能较小。</w:t>
            </w:r>
          </w:p>
          <w:p w14:paraId="0187E14E">
            <w:pPr>
              <w:adjustRightInd w:val="0"/>
              <w:snapToGrid w:val="0"/>
              <w:spacing w:line="360" w:lineRule="auto"/>
              <w:ind w:firstLine="420" w:firstLineChars="200"/>
              <w:rPr>
                <w:color w:val="auto"/>
                <w:kern w:val="0"/>
                <w:szCs w:val="21"/>
              </w:rPr>
            </w:pPr>
            <w:r>
              <w:rPr>
                <w:rFonts w:hint="eastAsia"/>
                <w:color w:val="auto"/>
                <w:kern w:val="0"/>
                <w:szCs w:val="21"/>
              </w:rPr>
              <w:t>③地表水环境风险分析</w:t>
            </w:r>
          </w:p>
          <w:p w14:paraId="196FFD02">
            <w:pPr>
              <w:adjustRightInd w:val="0"/>
              <w:snapToGrid w:val="0"/>
              <w:spacing w:line="360" w:lineRule="auto"/>
              <w:ind w:firstLine="420" w:firstLineChars="200"/>
              <w:rPr>
                <w:color w:val="auto"/>
                <w:kern w:val="0"/>
                <w:szCs w:val="21"/>
              </w:rPr>
            </w:pPr>
            <w:r>
              <w:rPr>
                <w:rFonts w:hint="eastAsia"/>
                <w:color w:val="auto"/>
                <w:kern w:val="0"/>
                <w:szCs w:val="21"/>
              </w:rPr>
              <w:t>本项目突发环境事件的类型主要是火灾爆炸和泄漏次生的环境污染物事故，物料发生大量泄漏时，极有可能引发火灾爆炸事故。为防止火灾爆炸和环境空气污染事故，一般采用消防水对泄漏区进行喷淋冷却，采用此法将直接导致泄漏的物料转移至消防水，若消防水从清下水排口外排，会对周围水环境造成污染。为避免事故状况下泄漏的有毒物质及火灾爆炸期间消防污水污染水环境，企业必须制定严格的排水规划，设置消防污水收集池、管网、切换阀和监控池等，使消防水排水处于监控状态，严禁事故废水排出厂外，次生危害造成水体污染。拟建项目建设一座事故池，发生事故时能够全部收集事故池内。在事故工况下，消防废水通过事故废水收集管线进入事故池，事故池能够满足事故废水收集要求。</w:t>
            </w:r>
          </w:p>
          <w:p w14:paraId="5AE3BF14">
            <w:pPr>
              <w:adjustRightInd w:val="0"/>
              <w:snapToGrid w:val="0"/>
              <w:spacing w:line="360" w:lineRule="auto"/>
              <w:ind w:firstLine="420" w:firstLineChars="200"/>
              <w:rPr>
                <w:rFonts w:hint="eastAsia" w:ascii="Times New Roman" w:hAnsi="Times New Roman" w:eastAsia="宋体" w:cs="Times New Roman"/>
                <w:color w:val="auto"/>
                <w:kern w:val="0"/>
                <w:szCs w:val="21"/>
              </w:rPr>
            </w:pPr>
            <w:r>
              <w:rPr>
                <w:rFonts w:hint="eastAsia"/>
                <w:color w:val="auto"/>
                <w:kern w:val="0"/>
                <w:szCs w:val="21"/>
              </w:rPr>
              <w:t>企业应根据要求设置紧急切断阀，一旦发生泄漏立即切断运输管线，防止更多的物质进入水体。并立即启</w:t>
            </w:r>
            <w:r>
              <w:rPr>
                <w:rFonts w:hint="eastAsia" w:ascii="Times New Roman" w:hAnsi="Times New Roman" w:eastAsia="宋体" w:cs="Times New Roman"/>
                <w:color w:val="auto"/>
                <w:kern w:val="0"/>
                <w:szCs w:val="21"/>
              </w:rPr>
              <w:t>动应急预案，设置围栏、抛洒</w:t>
            </w:r>
            <w:r>
              <w:rPr>
                <w:rFonts w:hint="eastAsia" w:ascii="Times New Roman" w:hAnsi="Times New Roman" w:eastAsia="宋体" w:cs="Times New Roman"/>
                <w:color w:val="auto"/>
                <w:kern w:val="0"/>
                <w:szCs w:val="21"/>
                <w:lang w:eastAsia="zh-CN"/>
              </w:rPr>
              <w:t>黄沙</w:t>
            </w:r>
            <w:r>
              <w:rPr>
                <w:rFonts w:hint="eastAsia" w:ascii="Times New Roman" w:hAnsi="Times New Roman" w:eastAsia="宋体" w:cs="Times New Roman"/>
                <w:color w:val="auto"/>
                <w:kern w:val="0"/>
                <w:szCs w:val="21"/>
              </w:rPr>
              <w:t>等对泄漏物质进行截流、疏导和收集。采取相应措施，尽量将影响降至最低。</w:t>
            </w:r>
          </w:p>
          <w:p w14:paraId="29C2A63F">
            <w:pPr>
              <w:adjustRightInd w:val="0"/>
              <w:snapToGrid w:val="0"/>
              <w:spacing w:line="360" w:lineRule="auto"/>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 xml:space="preserve">④废气事故排放风险分析 </w:t>
            </w:r>
          </w:p>
          <w:p w14:paraId="6CC25D3A">
            <w:pPr>
              <w:adjustRightInd w:val="0"/>
              <w:snapToGrid w:val="0"/>
              <w:spacing w:line="360" w:lineRule="auto"/>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采用市政电网供电系统，系统停电概率较小，一旦停电，生产设备及配套设置的废气处理设备将立即停止运转，造成工艺废气无法处理直接超标排放，部分废气无组织排放，但这种事故排放的影响时间较短，随着生产设备停止工作，废气超标排放或无组织排放的现象将逐渐减少。</w:t>
            </w:r>
          </w:p>
          <w:p w14:paraId="30D7F7E3">
            <w:pPr>
              <w:snapToGrid w:val="0"/>
              <w:spacing w:line="360" w:lineRule="auto"/>
              <w:ind w:firstLine="422" w:firstLineChars="200"/>
              <w:rPr>
                <w:b/>
                <w:color w:val="auto"/>
                <w:kern w:val="0"/>
                <w:szCs w:val="21"/>
              </w:rPr>
            </w:pPr>
            <w:r>
              <w:rPr>
                <w:rFonts w:hint="eastAsia"/>
                <w:b/>
                <w:color w:val="auto"/>
                <w:kern w:val="0"/>
                <w:szCs w:val="21"/>
                <w:lang w:val="en-US" w:eastAsia="zh-CN"/>
              </w:rPr>
              <w:t>7.3</w:t>
            </w:r>
            <w:r>
              <w:rPr>
                <w:rFonts w:hint="eastAsia"/>
                <w:b/>
                <w:color w:val="auto"/>
                <w:kern w:val="0"/>
                <w:szCs w:val="21"/>
              </w:rPr>
              <w:t>环境风险防范措施</w:t>
            </w:r>
          </w:p>
          <w:p w14:paraId="10A1E703">
            <w:pPr>
              <w:snapToGrid w:val="0"/>
              <w:spacing w:line="360" w:lineRule="auto"/>
              <w:ind w:firstLine="420" w:firstLineChars="200"/>
              <w:rPr>
                <w:color w:val="auto"/>
                <w:kern w:val="0"/>
                <w:szCs w:val="21"/>
              </w:rPr>
            </w:pPr>
            <w:r>
              <w:rPr>
                <w:color w:val="auto"/>
                <w:kern w:val="0"/>
                <w:szCs w:val="21"/>
              </w:rPr>
              <w:t>①</w:t>
            </w:r>
            <w:r>
              <w:rPr>
                <w:rFonts w:hint="eastAsia"/>
                <w:color w:val="auto"/>
                <w:kern w:val="0"/>
                <w:szCs w:val="21"/>
              </w:rPr>
              <w:t>机构设置</w:t>
            </w:r>
          </w:p>
          <w:p w14:paraId="6B17DEDF">
            <w:pPr>
              <w:snapToGrid w:val="0"/>
              <w:spacing w:line="360" w:lineRule="auto"/>
              <w:ind w:firstLine="420" w:firstLineChars="200"/>
              <w:rPr>
                <w:color w:val="auto"/>
                <w:kern w:val="0"/>
                <w:szCs w:val="21"/>
              </w:rPr>
            </w:pPr>
            <w:r>
              <w:rPr>
                <w:rFonts w:hint="eastAsia"/>
                <w:color w:val="auto"/>
                <w:kern w:val="0"/>
                <w:szCs w:val="21"/>
              </w:rPr>
              <w:t>项目在建成后，</w:t>
            </w:r>
            <w:r>
              <w:rPr>
                <w:color w:val="auto"/>
                <w:kern w:val="0"/>
                <w:szCs w:val="21"/>
              </w:rPr>
              <w:t>为能有效预防突发事件发生，并能做到在事件发生后能迅速有效地实现控制和处理，最大程度地减少事件所带来的损失，</w:t>
            </w:r>
            <w:r>
              <w:rPr>
                <w:rFonts w:hint="eastAsia"/>
                <w:color w:val="auto"/>
                <w:kern w:val="0"/>
                <w:szCs w:val="21"/>
              </w:rPr>
              <w:t>企业</w:t>
            </w:r>
            <w:r>
              <w:rPr>
                <w:color w:val="auto"/>
                <w:kern w:val="0"/>
                <w:szCs w:val="21"/>
              </w:rPr>
              <w:t>按照“预防为主、自救为主、统一指挥、分工负责”的原则成立应急救援小组，公司级突发环境事件应急救援组织体系包括指挥组和专业救援组。指挥组负责现场全面指挥；专业救援组负责事故控制、救援和善后处理。专业救援组又编为综合协调组、应急处置组、应急保障组、环境应急监测组、医疗救护组五个行动小组</w:t>
            </w:r>
            <w:r>
              <w:rPr>
                <w:rFonts w:hint="eastAsia"/>
                <w:color w:val="auto"/>
                <w:kern w:val="0"/>
                <w:szCs w:val="21"/>
              </w:rPr>
              <w:t>。</w:t>
            </w:r>
          </w:p>
          <w:p w14:paraId="2597F5C9">
            <w:pPr>
              <w:snapToGrid w:val="0"/>
              <w:spacing w:line="360" w:lineRule="auto"/>
              <w:ind w:firstLine="420" w:firstLineChars="200"/>
              <w:rPr>
                <w:color w:val="auto"/>
                <w:kern w:val="0"/>
                <w:szCs w:val="21"/>
              </w:rPr>
            </w:pPr>
            <w:r>
              <w:rPr>
                <w:color w:val="auto"/>
                <w:kern w:val="0"/>
                <w:szCs w:val="21"/>
              </w:rPr>
              <w:t>②</w:t>
            </w:r>
            <w:r>
              <w:rPr>
                <w:rFonts w:hint="eastAsia"/>
                <w:color w:val="auto"/>
                <w:kern w:val="0"/>
                <w:szCs w:val="21"/>
              </w:rPr>
              <w:t>物料泄漏事故的预防措施</w:t>
            </w:r>
          </w:p>
          <w:p w14:paraId="7273B271">
            <w:pPr>
              <w:adjustRightInd w:val="0"/>
              <w:snapToGrid w:val="0"/>
              <w:spacing w:line="360" w:lineRule="auto"/>
              <w:ind w:firstLine="420" w:firstLineChars="200"/>
              <w:rPr>
                <w:color w:val="auto"/>
                <w:kern w:val="0"/>
                <w:szCs w:val="21"/>
              </w:rPr>
            </w:pPr>
            <w:r>
              <w:rPr>
                <w:rFonts w:hint="eastAsia"/>
                <w:color w:val="auto"/>
                <w:kern w:val="0"/>
                <w:szCs w:val="21"/>
              </w:rPr>
              <w:t>泄漏事故的预防是物料储运中最重要的环节，发生泄漏事故可能引起中毒、火灾和爆炸等一系列重大事故。经验表明：设备失灵和人为的操作失误是发生泄漏的主要原因。因此选用较好的设备、精心设计、认真管理和操作人员的责任心是减少泄漏事故的关键。本项目应主要采取以下预防措施：</w:t>
            </w:r>
          </w:p>
          <w:p w14:paraId="2EB346F6">
            <w:pPr>
              <w:adjustRightInd w:val="0"/>
              <w:snapToGrid w:val="0"/>
              <w:spacing w:line="360" w:lineRule="auto"/>
              <w:ind w:firstLine="420" w:firstLineChars="200"/>
              <w:rPr>
                <w:color w:val="auto"/>
                <w:kern w:val="0"/>
                <w:szCs w:val="21"/>
              </w:rPr>
            </w:pPr>
            <w:r>
              <w:rPr>
                <w:color w:val="auto"/>
                <w:kern w:val="0"/>
                <w:szCs w:val="21"/>
              </w:rPr>
              <w:t>1</w:t>
            </w:r>
            <w:r>
              <w:rPr>
                <w:rFonts w:hint="eastAsia"/>
                <w:color w:val="auto"/>
                <w:kern w:val="0"/>
                <w:szCs w:val="21"/>
              </w:rPr>
              <w:t>）为满足意外事故并能及时抢险需要，工程设计应按照有关规范对贮存区设置消防系统，防止储运过程发生着火等事故。针对储料的种类和性质，配备相应的个体防护用品，事故时用于应急防护。贮存区必须设置物料的应急排放设备或场所，以备应急使用。</w:t>
            </w:r>
          </w:p>
          <w:p w14:paraId="7B06987A">
            <w:pPr>
              <w:adjustRightInd w:val="0"/>
              <w:snapToGrid w:val="0"/>
              <w:spacing w:line="360" w:lineRule="auto"/>
              <w:ind w:firstLine="420" w:firstLineChars="200"/>
              <w:rPr>
                <w:color w:val="auto"/>
                <w:kern w:val="0"/>
                <w:szCs w:val="21"/>
              </w:rPr>
            </w:pPr>
            <w:r>
              <w:rPr>
                <w:color w:val="auto"/>
                <w:kern w:val="0"/>
                <w:szCs w:val="21"/>
              </w:rPr>
              <w:t>2</w:t>
            </w:r>
            <w:r>
              <w:rPr>
                <w:rFonts w:hint="eastAsia"/>
                <w:color w:val="auto"/>
                <w:kern w:val="0"/>
                <w:szCs w:val="21"/>
              </w:rPr>
              <w:t>）在消防设计方面，严格执行“以防为主，防消结合”的原则，严格执行国家颁布的消防法规，完善厂区的消防管理体系和消防人员的建制，配置并完善对外联络的通讯设备。</w:t>
            </w:r>
          </w:p>
          <w:p w14:paraId="31301DF8">
            <w:pPr>
              <w:adjustRightInd w:val="0"/>
              <w:snapToGrid w:val="0"/>
              <w:spacing w:line="360" w:lineRule="auto"/>
              <w:ind w:firstLine="420" w:firstLineChars="200"/>
              <w:rPr>
                <w:color w:val="auto"/>
                <w:kern w:val="0"/>
                <w:szCs w:val="21"/>
              </w:rPr>
            </w:pPr>
            <w:r>
              <w:rPr>
                <w:color w:val="auto"/>
                <w:kern w:val="0"/>
                <w:szCs w:val="21"/>
              </w:rPr>
              <w:t>3</w:t>
            </w:r>
            <w:r>
              <w:rPr>
                <w:rFonts w:hint="eastAsia"/>
                <w:color w:val="auto"/>
                <w:kern w:val="0"/>
                <w:szCs w:val="21"/>
              </w:rPr>
              <w:t>）在贮存区设立消防器材、设施和防火设施，应设置相适应的消防设施，供专职消防人员和岗位操作人员使用。消防器材、设施应符合《建筑设计防火规范》等相关规范中的相应规定。</w:t>
            </w:r>
          </w:p>
          <w:p w14:paraId="5948A970">
            <w:pPr>
              <w:adjustRightInd w:val="0"/>
              <w:snapToGrid w:val="0"/>
              <w:spacing w:line="360" w:lineRule="auto"/>
              <w:ind w:firstLine="420" w:firstLineChars="200"/>
              <w:rPr>
                <w:color w:val="auto"/>
                <w:kern w:val="0"/>
                <w:szCs w:val="21"/>
              </w:rPr>
            </w:pPr>
            <w:r>
              <w:rPr>
                <w:color w:val="auto"/>
                <w:kern w:val="0"/>
                <w:szCs w:val="21"/>
              </w:rPr>
              <w:t>4</w:t>
            </w:r>
            <w:r>
              <w:rPr>
                <w:rFonts w:hint="eastAsia"/>
                <w:color w:val="auto"/>
                <w:kern w:val="0"/>
                <w:szCs w:val="21"/>
              </w:rPr>
              <w:t>）车间总图布置执行《建筑设计防火规范》和其他安全卫生规范的规定，并充分考虑风向的因素，安全防护距离，消防和疏散通道以及人货分流等问题，有利于安全生产。</w:t>
            </w:r>
          </w:p>
          <w:p w14:paraId="2740A567">
            <w:pPr>
              <w:adjustRightInd w:val="0"/>
              <w:snapToGrid w:val="0"/>
              <w:spacing w:line="360" w:lineRule="auto"/>
              <w:ind w:firstLine="420" w:firstLineChars="200"/>
              <w:rPr>
                <w:color w:val="auto"/>
                <w:kern w:val="0"/>
                <w:szCs w:val="21"/>
              </w:rPr>
            </w:pPr>
            <w:r>
              <w:rPr>
                <w:rFonts w:hint="eastAsia"/>
                <w:color w:val="auto"/>
                <w:kern w:val="0"/>
                <w:szCs w:val="21"/>
              </w:rPr>
              <w:t>5）在企业环境风险单元及环境风险防控设施张贴环境应急处置卡。</w:t>
            </w:r>
          </w:p>
          <w:p w14:paraId="0D134096">
            <w:pPr>
              <w:snapToGrid w:val="0"/>
              <w:spacing w:line="360" w:lineRule="auto"/>
              <w:ind w:firstLine="420" w:firstLineChars="200"/>
              <w:rPr>
                <w:color w:val="auto"/>
                <w:kern w:val="0"/>
                <w:szCs w:val="21"/>
              </w:rPr>
            </w:pPr>
            <w:r>
              <w:rPr>
                <w:color w:val="auto"/>
                <w:kern w:val="0"/>
                <w:szCs w:val="21"/>
              </w:rPr>
              <w:t>③</w:t>
            </w:r>
            <w:r>
              <w:rPr>
                <w:rFonts w:hint="eastAsia"/>
                <w:color w:val="auto"/>
                <w:kern w:val="0"/>
                <w:szCs w:val="21"/>
              </w:rPr>
              <w:t>火灾爆炸事故的预防措施</w:t>
            </w:r>
          </w:p>
          <w:p w14:paraId="413F3CE5">
            <w:pPr>
              <w:adjustRightInd w:val="0"/>
              <w:snapToGrid w:val="0"/>
              <w:spacing w:line="360" w:lineRule="auto"/>
              <w:ind w:firstLine="420" w:firstLineChars="200"/>
              <w:rPr>
                <w:color w:val="auto"/>
                <w:kern w:val="0"/>
                <w:szCs w:val="21"/>
              </w:rPr>
            </w:pPr>
            <w:r>
              <w:rPr>
                <w:color w:val="auto"/>
                <w:kern w:val="0"/>
                <w:szCs w:val="21"/>
              </w:rPr>
              <w:t>1</w:t>
            </w:r>
            <w:r>
              <w:rPr>
                <w:rFonts w:hint="eastAsia"/>
                <w:color w:val="auto"/>
                <w:kern w:val="0"/>
                <w:szCs w:val="21"/>
              </w:rPr>
              <w:t>）易燃物料分类隔离存放，车间设置机械通风设施。</w:t>
            </w:r>
          </w:p>
          <w:p w14:paraId="2285EFA6">
            <w:pPr>
              <w:adjustRightInd w:val="0"/>
              <w:snapToGrid w:val="0"/>
              <w:spacing w:line="360" w:lineRule="auto"/>
              <w:ind w:firstLine="420" w:firstLineChars="200"/>
              <w:rPr>
                <w:color w:val="auto"/>
                <w:kern w:val="0"/>
                <w:szCs w:val="21"/>
              </w:rPr>
            </w:pPr>
            <w:r>
              <w:rPr>
                <w:color w:val="auto"/>
                <w:kern w:val="0"/>
                <w:szCs w:val="21"/>
              </w:rPr>
              <w:t>2</w:t>
            </w:r>
            <w:r>
              <w:rPr>
                <w:rFonts w:hint="eastAsia"/>
                <w:color w:val="auto"/>
                <w:kern w:val="0"/>
                <w:szCs w:val="21"/>
              </w:rPr>
              <w:t>）生产车间至少设两部直通外线电话，当发生事故，用户可报警，并能及时与消防部门联系。</w:t>
            </w:r>
          </w:p>
          <w:p w14:paraId="7BC18AF4">
            <w:pPr>
              <w:adjustRightInd w:val="0"/>
              <w:snapToGrid w:val="0"/>
              <w:spacing w:line="360" w:lineRule="auto"/>
              <w:ind w:firstLine="420" w:firstLineChars="200"/>
              <w:rPr>
                <w:color w:val="auto"/>
                <w:kern w:val="0"/>
                <w:szCs w:val="21"/>
              </w:rPr>
            </w:pPr>
            <w:r>
              <w:rPr>
                <w:rFonts w:hint="eastAsia"/>
                <w:color w:val="auto"/>
                <w:kern w:val="0"/>
                <w:szCs w:val="21"/>
              </w:rPr>
              <w:t>3）</w:t>
            </w:r>
            <w:r>
              <w:rPr>
                <w:rFonts w:hint="eastAsia"/>
                <w:color w:val="auto"/>
                <w:kern w:val="0"/>
                <w:szCs w:val="21"/>
                <w:lang w:eastAsia="zh-CN"/>
              </w:rPr>
              <w:t>增强</w:t>
            </w:r>
            <w:r>
              <w:rPr>
                <w:rFonts w:hint="eastAsia"/>
                <w:color w:val="auto"/>
                <w:kern w:val="0"/>
                <w:szCs w:val="21"/>
              </w:rPr>
              <w:t>企业职工防火意识，不得将火源带入生产区。对应急人员进行消防器材的使用方法、火灾逃生方法、火灾紧急报警等内容的安全教育，使其了解相应的安全知识。</w:t>
            </w:r>
          </w:p>
          <w:p w14:paraId="263F8354">
            <w:pPr>
              <w:adjustRightInd w:val="0"/>
              <w:snapToGrid w:val="0"/>
              <w:spacing w:line="360" w:lineRule="auto"/>
              <w:ind w:firstLine="420" w:firstLineChars="200"/>
              <w:rPr>
                <w:color w:val="auto"/>
                <w:kern w:val="0"/>
                <w:szCs w:val="21"/>
              </w:rPr>
            </w:pPr>
            <w:r>
              <w:rPr>
                <w:rFonts w:hint="eastAsia"/>
                <w:color w:val="auto"/>
                <w:kern w:val="0"/>
                <w:szCs w:val="21"/>
              </w:rPr>
              <w:t>4）在生产车间配有灭火砂箱、灭火器、火灾报警装置。配备各类安全工具、通讯工具。应急个人防护用品主要有：防毒面具、防静电服等。应急工具主要有：固定（便携）移动照明工具等。公司将用于个体防护、医疗救援、通讯装备及器材配备齐全，并保证器材始终处于完好状况。</w:t>
            </w:r>
          </w:p>
          <w:p w14:paraId="0847C959">
            <w:pPr>
              <w:adjustRightInd w:val="0"/>
              <w:snapToGrid w:val="0"/>
              <w:spacing w:line="360" w:lineRule="auto"/>
              <w:ind w:firstLine="420" w:firstLineChars="200"/>
              <w:rPr>
                <w:rFonts w:hint="eastAsia"/>
                <w:color w:val="auto"/>
                <w:kern w:val="0"/>
                <w:szCs w:val="21"/>
                <w:lang w:val="en-US" w:eastAsia="zh-CN"/>
              </w:rPr>
            </w:pPr>
            <w:r>
              <w:rPr>
                <w:rFonts w:hint="eastAsia"/>
                <w:color w:val="auto"/>
                <w:kern w:val="0"/>
                <w:szCs w:val="21"/>
                <w:lang w:val="en-US" w:eastAsia="zh-CN"/>
              </w:rPr>
              <w:t>5）当熔融金属引起的可燃物着火时，应使用干燥沙子或者其他耐火材料扑救，不得使用水或者二氧化碳灭火器、水剂灭火器进行灭火；存在高温辐射及熔融金属喷溅危险岗位的工作人员，应当配备阻燃服及其他防护用品。</w:t>
            </w:r>
          </w:p>
          <w:p w14:paraId="1FCD214D">
            <w:pPr>
              <w:adjustRightInd w:val="0"/>
              <w:snapToGrid w:val="0"/>
              <w:spacing w:line="360" w:lineRule="auto"/>
              <w:ind w:firstLine="420" w:firstLineChars="200"/>
              <w:rPr>
                <w:rFonts w:hint="eastAsia" w:eastAsia="宋体"/>
                <w:color w:val="auto"/>
                <w:kern w:val="0"/>
                <w:szCs w:val="21"/>
                <w:lang w:val="en-US" w:eastAsia="zh-CN"/>
              </w:rPr>
            </w:pPr>
            <w:r>
              <w:rPr>
                <w:rFonts w:hint="eastAsia"/>
                <w:color w:val="auto"/>
                <w:kern w:val="0"/>
                <w:szCs w:val="21"/>
                <w:lang w:val="en-US" w:eastAsia="zh-CN"/>
              </w:rPr>
              <w:t>6）保证安全的前提下应及时用熔剂或者砂土挡住已流出的金属液体，防止熔融金属大面积流淌或者流入积水。</w:t>
            </w:r>
          </w:p>
          <w:p w14:paraId="2CB88018">
            <w:pPr>
              <w:adjustRightInd w:val="0"/>
              <w:snapToGrid w:val="0"/>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④铝粉尘爆炸事故风险防范措施</w:t>
            </w:r>
          </w:p>
          <w:p w14:paraId="44EF451E">
            <w:pPr>
              <w:adjustRightInd w:val="0"/>
              <w:snapToGrid w:val="0"/>
              <w:spacing w:line="360" w:lineRule="auto"/>
              <w:ind w:firstLine="420" w:firstLineChars="200"/>
              <w:rPr>
                <w:rFonts w:hint="eastAsia" w:ascii="宋体" w:hAnsi="宋体" w:eastAsia="宋体" w:cs="宋体"/>
                <w:color w:val="auto"/>
                <w:kern w:val="0"/>
                <w:szCs w:val="21"/>
              </w:rPr>
            </w:pPr>
            <w:r>
              <w:rPr>
                <w:rFonts w:hint="eastAsia"/>
                <w:color w:val="auto"/>
                <w:kern w:val="0"/>
                <w:szCs w:val="21"/>
                <w:lang w:val="en-US" w:eastAsia="zh-CN"/>
              </w:rPr>
              <w:t>1）</w:t>
            </w:r>
            <w:r>
              <w:rPr>
                <w:rFonts w:hint="eastAsia" w:ascii="宋体" w:hAnsi="宋体" w:eastAsia="宋体" w:cs="宋体"/>
                <w:color w:val="auto"/>
                <w:kern w:val="0"/>
                <w:szCs w:val="21"/>
              </w:rPr>
              <w:t>建立和落实粉尘防爆安全管理制度，制度内容应包括粉尘爆炸风险辨识评估和管控，</w:t>
            </w:r>
          </w:p>
          <w:p w14:paraId="06151C7C">
            <w:pPr>
              <w:adjustRightInd w:val="0"/>
              <w:snapToGri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粉尘爆炸事故隐患排查治理，粉尘作业岗位安全操作规程，粉尘防爆专项安全生产教育和培训，粉尘清理和处置，除尘系统和相关安全设施设备运行、维护及检修、维修管理，粉尘爆炸事故应急处置和救援。</w:t>
            </w:r>
          </w:p>
          <w:p w14:paraId="2427A088">
            <w:pPr>
              <w:adjustRightInd w:val="0"/>
              <w:snapToGrid w:val="0"/>
              <w:spacing w:line="360" w:lineRule="auto"/>
              <w:ind w:firstLine="420" w:firstLineChars="200"/>
              <w:rPr>
                <w:rFonts w:hint="eastAsia" w:ascii="宋体" w:hAnsi="宋体" w:eastAsia="宋体" w:cs="宋体"/>
                <w:color w:val="auto"/>
                <w:kern w:val="0"/>
                <w:szCs w:val="21"/>
              </w:rPr>
            </w:pPr>
            <w:r>
              <w:rPr>
                <w:rFonts w:hint="eastAsia"/>
                <w:color w:val="auto"/>
                <w:kern w:val="0"/>
                <w:szCs w:val="21"/>
                <w:lang w:val="en-US" w:eastAsia="zh-CN"/>
              </w:rPr>
              <w:t>2）</w:t>
            </w:r>
            <w:r>
              <w:rPr>
                <w:rFonts w:hint="eastAsia" w:ascii="宋体" w:hAnsi="宋体" w:eastAsia="宋体" w:cs="宋体"/>
                <w:color w:val="auto"/>
                <w:kern w:val="0"/>
                <w:szCs w:val="21"/>
              </w:rPr>
              <w:t>定期组织对涉及粉尘防爆的生产、设备、安全管理等有关负责人和粉尘作业岗位等相关从业人员进行粉尘防爆专项安全生产教育和培训，并如实记录粉尘防爆专项安全生产教育和培训的时间，使其了解作业场所和工作岗位存在的爆炸风险，掌握粉尘爆炸事故防范和应急措施;未经教育培训合格的，不得上岗作业。</w:t>
            </w:r>
          </w:p>
          <w:p w14:paraId="02AF3583">
            <w:pPr>
              <w:adjustRightInd w:val="0"/>
              <w:snapToGrid w:val="0"/>
              <w:spacing w:line="360" w:lineRule="auto"/>
              <w:ind w:firstLine="420" w:firstLineChars="200"/>
              <w:rPr>
                <w:rFonts w:hint="eastAsia" w:ascii="宋体" w:hAnsi="宋体" w:eastAsia="宋体" w:cs="宋体"/>
                <w:color w:val="auto"/>
                <w:kern w:val="0"/>
                <w:szCs w:val="21"/>
              </w:rPr>
            </w:pPr>
            <w:r>
              <w:rPr>
                <w:rFonts w:hint="eastAsia"/>
                <w:color w:val="auto"/>
                <w:kern w:val="0"/>
                <w:szCs w:val="21"/>
                <w:lang w:val="en-US" w:eastAsia="zh-CN"/>
              </w:rPr>
              <w:t>3）</w:t>
            </w:r>
            <w:r>
              <w:rPr>
                <w:rFonts w:hint="eastAsia" w:ascii="宋体" w:hAnsi="宋体" w:eastAsia="宋体" w:cs="宋体"/>
                <w:color w:val="auto"/>
                <w:kern w:val="0"/>
                <w:szCs w:val="21"/>
              </w:rPr>
              <w:t>制定铝粉尘爆炸事故应急救援预案，并依法定期组织演练，在铝粉尘爆炸较大危险因素的工艺、场所、设施设备和岗位，设置安全警示标志。建立事故隐患排查清单，明确和细化排查事项、具体内容、排查周期及责任人员，及时组织开展事故隐患排查治理，如实记录隐患排查治理情况，并向从业人员通报。</w:t>
            </w:r>
          </w:p>
          <w:p w14:paraId="18AA7F7C">
            <w:pPr>
              <w:adjustRightInd w:val="0"/>
              <w:snapToGrid w:val="0"/>
              <w:spacing w:line="360" w:lineRule="auto"/>
              <w:ind w:firstLine="420" w:firstLineChars="200"/>
              <w:rPr>
                <w:rFonts w:hint="eastAsia" w:ascii="宋体" w:hAnsi="宋体" w:eastAsia="宋体" w:cs="宋体"/>
                <w:color w:val="auto"/>
                <w:kern w:val="0"/>
                <w:szCs w:val="21"/>
              </w:rPr>
            </w:pPr>
            <w:r>
              <w:rPr>
                <w:rFonts w:hint="eastAsia"/>
                <w:color w:val="auto"/>
                <w:kern w:val="0"/>
                <w:szCs w:val="21"/>
                <w:lang w:val="en-US" w:eastAsia="zh-CN"/>
              </w:rPr>
              <w:t>4）</w:t>
            </w:r>
            <w:r>
              <w:rPr>
                <w:rFonts w:hint="eastAsia" w:ascii="宋体" w:hAnsi="宋体" w:eastAsia="宋体" w:cs="宋体"/>
                <w:color w:val="auto"/>
                <w:kern w:val="0"/>
                <w:szCs w:val="21"/>
              </w:rPr>
              <w:t>制定并落实铝粉尘爆炸危险场所的粉尘清理制度，明确清理范围、清理周期、清理方式和责任人员，并在铝粉尘爆炸危险场所醒目位置张贴。相关责任人员应当定期清理粉尘并如实记录，确保可能积尘的粉尘作业区域和设备设施全面及时规范清理。粉尘作业区域应当保证每班清理。</w:t>
            </w:r>
          </w:p>
          <w:p w14:paraId="505F2426">
            <w:pPr>
              <w:adjustRightInd w:val="0"/>
              <w:snapToGrid w:val="0"/>
              <w:spacing w:line="360" w:lineRule="auto"/>
              <w:ind w:firstLine="420" w:firstLineChars="200"/>
              <w:rPr>
                <w:rFonts w:hint="eastAsia" w:ascii="宋体" w:hAnsi="宋体" w:eastAsia="宋体" w:cs="宋体"/>
                <w:color w:val="auto"/>
                <w:kern w:val="0"/>
                <w:szCs w:val="21"/>
              </w:rPr>
            </w:pPr>
            <w:r>
              <w:rPr>
                <w:rFonts w:hint="eastAsia"/>
                <w:color w:val="auto"/>
                <w:kern w:val="0"/>
                <w:szCs w:val="21"/>
                <w:lang w:val="en-US" w:eastAsia="zh-CN"/>
              </w:rPr>
              <w:t>5）</w:t>
            </w:r>
            <w:r>
              <w:rPr>
                <w:rFonts w:hint="eastAsia" w:ascii="宋体" w:hAnsi="宋体" w:eastAsia="宋体" w:cs="宋体"/>
                <w:color w:val="auto"/>
                <w:kern w:val="0"/>
                <w:szCs w:val="21"/>
              </w:rPr>
              <w:t>对铝粉尘爆炸危险场所设备设施或者除尘系统检修维修作业，应当实行专项作业审</w:t>
            </w:r>
          </w:p>
          <w:p w14:paraId="661D3978">
            <w:pPr>
              <w:adjustRightInd w:val="0"/>
              <w:snapToGri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批。作业前，应当制定专项方案;对存在粉尘沉积的除尘器、管道等设施设备进行动火作业前，应当清理干净内部积尘和作业区域的可燃性粉尘。作业时，生产设备应当处于停止运行状态，检修维修工具应当采用防止产生火花的防爆工具。作业后，应当妥善清理现场，作业点最高温度恢复到常温后方可重新开始生产。</w:t>
            </w:r>
          </w:p>
          <w:p w14:paraId="2885D9AB">
            <w:pPr>
              <w:adjustRightInd w:val="0"/>
              <w:snapToGrid w:val="0"/>
              <w:spacing w:line="360" w:lineRule="auto"/>
              <w:ind w:firstLine="420" w:firstLineChars="200"/>
              <w:rPr>
                <w:color w:val="auto"/>
                <w:kern w:val="0"/>
                <w:szCs w:val="21"/>
              </w:rPr>
            </w:pPr>
            <w:r>
              <w:rPr>
                <w:rFonts w:hint="eastAsia"/>
                <w:color w:val="auto"/>
                <w:kern w:val="0"/>
                <w:szCs w:val="21"/>
              </w:rPr>
              <w:t>此外，在消防安全上，本项目的设计和施工应遵照《建筑设计防火规范》的要求以及消防部门提供的技术规范。厂房内设置完备的消防器材，以达到“消防条例”的要求标准。对工序中的温度控制，将采用风扇或空调降温等措施，确保劳动者的健康和安全。各值班点必须与控制室设置通讯电话。</w:t>
            </w:r>
          </w:p>
          <w:p w14:paraId="45652D88">
            <w:pPr>
              <w:adjustRightInd w:val="0"/>
              <w:snapToGrid w:val="0"/>
              <w:spacing w:line="360" w:lineRule="auto"/>
              <w:ind w:firstLine="420" w:firstLineChars="200"/>
              <w:rPr>
                <w:rFonts w:hint="default"/>
                <w:color w:val="auto"/>
                <w:kern w:val="0"/>
                <w:szCs w:val="21"/>
                <w:lang w:val="en-US" w:eastAsia="zh-CN"/>
              </w:rPr>
            </w:pPr>
            <w:r>
              <w:rPr>
                <w:rFonts w:hint="eastAsia" w:cs="Times New Roman"/>
                <w:color w:val="auto"/>
                <w:kern w:val="0"/>
                <w:szCs w:val="21"/>
                <w:lang w:val="en-US" w:eastAsia="zh-CN"/>
              </w:rPr>
              <w:t>⑤活性炭</w:t>
            </w:r>
            <w:r>
              <w:rPr>
                <w:rFonts w:hint="eastAsia"/>
                <w:color w:val="auto"/>
                <w:kern w:val="0"/>
                <w:szCs w:val="21"/>
                <w:lang w:val="en-US" w:eastAsia="zh-CN"/>
              </w:rPr>
              <w:t>吸附装置运行保障及环境风险防范措施</w:t>
            </w:r>
          </w:p>
          <w:p w14:paraId="25B5D3B4">
            <w:pPr>
              <w:adjustRightInd w:val="0"/>
              <w:snapToGrid w:val="0"/>
              <w:spacing w:line="360" w:lineRule="auto"/>
              <w:ind w:firstLine="420" w:firstLineChars="200"/>
              <w:rPr>
                <w:rFonts w:hint="eastAsia" w:eastAsia="宋体"/>
                <w:color w:val="auto"/>
                <w:kern w:val="0"/>
                <w:szCs w:val="21"/>
                <w:lang w:eastAsia="zh-CN"/>
              </w:rPr>
            </w:pPr>
            <w:r>
              <w:rPr>
                <w:rFonts w:hint="default"/>
                <w:color w:val="auto"/>
                <w:kern w:val="0"/>
                <w:szCs w:val="21"/>
              </w:rPr>
              <w:t>运行保障措施</w:t>
            </w:r>
            <w:r>
              <w:rPr>
                <w:rFonts w:hint="eastAsia"/>
                <w:color w:val="auto"/>
                <w:kern w:val="0"/>
                <w:szCs w:val="21"/>
                <w:lang w:eastAsia="zh-CN"/>
              </w:rPr>
              <w:t>：</w:t>
            </w:r>
          </w:p>
          <w:p w14:paraId="25C72688">
            <w:pPr>
              <w:adjustRightInd w:val="0"/>
              <w:snapToGrid w:val="0"/>
              <w:spacing w:line="360" w:lineRule="auto"/>
              <w:ind w:firstLine="420" w:firstLineChars="200"/>
              <w:rPr>
                <w:rFonts w:hint="default"/>
                <w:color w:val="auto"/>
                <w:kern w:val="0"/>
                <w:szCs w:val="21"/>
              </w:rPr>
            </w:pPr>
            <w:r>
              <w:rPr>
                <w:rFonts w:hint="eastAsia"/>
                <w:color w:val="auto"/>
                <w:kern w:val="0"/>
                <w:szCs w:val="21"/>
                <w:lang w:val="en-US" w:eastAsia="zh-CN"/>
              </w:rPr>
              <w:t>1）</w:t>
            </w:r>
            <w:r>
              <w:rPr>
                <w:rFonts w:hint="default"/>
                <w:color w:val="auto"/>
                <w:kern w:val="0"/>
                <w:szCs w:val="21"/>
              </w:rPr>
              <w:t>‌操作规范与培训‌</w:t>
            </w:r>
          </w:p>
          <w:p w14:paraId="77DBAF57">
            <w:pPr>
              <w:adjustRightInd w:val="0"/>
              <w:snapToGrid w:val="0"/>
              <w:spacing w:line="360" w:lineRule="auto"/>
              <w:ind w:firstLine="420" w:firstLineChars="200"/>
              <w:rPr>
                <w:rFonts w:hint="eastAsia"/>
                <w:color w:val="auto"/>
                <w:kern w:val="0"/>
                <w:szCs w:val="21"/>
              </w:rPr>
            </w:pPr>
            <w:r>
              <w:rPr>
                <w:rFonts w:hint="default"/>
                <w:color w:val="auto"/>
                <w:kern w:val="0"/>
                <w:szCs w:val="21"/>
              </w:rPr>
              <w:t>操作人员需经专业培训，熟悉设备原理、流程及安全规范，确保规范操作。</w:t>
            </w:r>
          </w:p>
          <w:p w14:paraId="6E154BBC">
            <w:pPr>
              <w:adjustRightInd w:val="0"/>
              <w:snapToGrid w:val="0"/>
              <w:spacing w:line="360" w:lineRule="auto"/>
              <w:ind w:firstLine="420" w:firstLineChars="200"/>
              <w:rPr>
                <w:rFonts w:hint="eastAsia"/>
                <w:color w:val="auto"/>
                <w:kern w:val="0"/>
                <w:szCs w:val="21"/>
              </w:rPr>
            </w:pPr>
            <w:r>
              <w:rPr>
                <w:rFonts w:hint="default"/>
                <w:color w:val="auto"/>
                <w:kern w:val="0"/>
                <w:szCs w:val="21"/>
              </w:rPr>
              <w:t>定期检查设备运行状态，包括活性炭吸附效率、风机运转、电气元件安全性等，并记录台账。</w:t>
            </w:r>
          </w:p>
          <w:p w14:paraId="5B56E0F5">
            <w:pPr>
              <w:adjustRightInd w:val="0"/>
              <w:snapToGrid w:val="0"/>
              <w:spacing w:line="360" w:lineRule="auto"/>
              <w:ind w:firstLine="420" w:firstLineChars="200"/>
              <w:rPr>
                <w:rFonts w:hint="default"/>
                <w:color w:val="auto"/>
                <w:kern w:val="0"/>
                <w:szCs w:val="21"/>
              </w:rPr>
            </w:pPr>
            <w:r>
              <w:rPr>
                <w:rFonts w:hint="eastAsia"/>
                <w:color w:val="auto"/>
                <w:kern w:val="0"/>
                <w:szCs w:val="21"/>
                <w:lang w:val="en-US" w:eastAsia="zh-CN"/>
              </w:rPr>
              <w:t>2）</w:t>
            </w:r>
            <w:r>
              <w:rPr>
                <w:rFonts w:hint="default"/>
                <w:color w:val="auto"/>
                <w:kern w:val="0"/>
                <w:szCs w:val="21"/>
              </w:rPr>
              <w:t>‌活性炭维护与更换‌</w:t>
            </w:r>
          </w:p>
          <w:p w14:paraId="0D74E143">
            <w:pPr>
              <w:adjustRightInd w:val="0"/>
              <w:snapToGrid w:val="0"/>
              <w:spacing w:line="360" w:lineRule="auto"/>
              <w:ind w:firstLine="420" w:firstLineChars="200"/>
              <w:rPr>
                <w:rFonts w:hint="eastAsia"/>
                <w:color w:val="auto"/>
                <w:kern w:val="0"/>
                <w:szCs w:val="21"/>
              </w:rPr>
            </w:pPr>
            <w:r>
              <w:rPr>
                <w:rFonts w:hint="default"/>
                <w:color w:val="auto"/>
                <w:kern w:val="0"/>
                <w:szCs w:val="21"/>
              </w:rPr>
              <w:t>根据废气流量、污染物浓度动态调整活性炭更换周期，避免吸附饱和失效。更换周期可参考公式计算（需结合动态吸附量、风量等参数）。</w:t>
            </w:r>
          </w:p>
          <w:p w14:paraId="4E862C74">
            <w:pPr>
              <w:adjustRightInd w:val="0"/>
              <w:snapToGrid w:val="0"/>
              <w:spacing w:line="360" w:lineRule="auto"/>
              <w:ind w:firstLine="420" w:firstLineChars="200"/>
              <w:rPr>
                <w:rFonts w:hint="eastAsia"/>
                <w:color w:val="auto"/>
                <w:kern w:val="0"/>
                <w:szCs w:val="21"/>
              </w:rPr>
            </w:pPr>
            <w:r>
              <w:rPr>
                <w:rFonts w:hint="default"/>
                <w:color w:val="auto"/>
                <w:kern w:val="0"/>
                <w:szCs w:val="21"/>
              </w:rPr>
              <w:t>装填时筛除碎炭粉尘，均匀填装防止气体偏流；更换时需停机操作，旧活性炭按危废规范处置。</w:t>
            </w:r>
          </w:p>
          <w:p w14:paraId="379B8D97">
            <w:pPr>
              <w:adjustRightInd w:val="0"/>
              <w:snapToGrid w:val="0"/>
              <w:spacing w:line="360" w:lineRule="auto"/>
              <w:ind w:firstLine="420" w:firstLineChars="200"/>
              <w:rPr>
                <w:rFonts w:hint="eastAsia"/>
                <w:color w:val="auto"/>
                <w:kern w:val="0"/>
                <w:szCs w:val="21"/>
              </w:rPr>
            </w:pPr>
            <w:r>
              <w:rPr>
                <w:rFonts w:hint="eastAsia"/>
                <w:color w:val="auto"/>
                <w:kern w:val="0"/>
                <w:szCs w:val="21"/>
                <w:lang w:val="en-US" w:eastAsia="zh-CN"/>
              </w:rPr>
              <w:t>3）</w:t>
            </w:r>
            <w:r>
              <w:rPr>
                <w:rFonts w:hint="default"/>
                <w:color w:val="auto"/>
                <w:kern w:val="0"/>
                <w:szCs w:val="21"/>
              </w:rPr>
              <w:t>‌设备维护与监控‌</w:t>
            </w:r>
          </w:p>
          <w:p w14:paraId="01357E21">
            <w:pPr>
              <w:adjustRightInd w:val="0"/>
              <w:snapToGrid w:val="0"/>
              <w:spacing w:line="360" w:lineRule="auto"/>
              <w:ind w:firstLine="420" w:firstLineChars="200"/>
              <w:rPr>
                <w:rFonts w:hint="eastAsia"/>
                <w:color w:val="auto"/>
                <w:kern w:val="0"/>
                <w:szCs w:val="21"/>
              </w:rPr>
            </w:pPr>
            <w:r>
              <w:rPr>
                <w:rFonts w:hint="default"/>
                <w:color w:val="auto"/>
                <w:kern w:val="0"/>
                <w:szCs w:val="21"/>
              </w:rPr>
              <w:t>定期清理过滤器、管路，确保无堵塞；检查密封性及漏风情况，使用高质量密封材料防止废气泄漏。</w:t>
            </w:r>
          </w:p>
          <w:p w14:paraId="29564F60">
            <w:pPr>
              <w:adjustRightInd w:val="0"/>
              <w:snapToGrid w:val="0"/>
              <w:spacing w:line="360" w:lineRule="auto"/>
              <w:ind w:firstLine="420" w:firstLineChars="200"/>
              <w:rPr>
                <w:rFonts w:hint="eastAsia"/>
                <w:color w:val="auto"/>
                <w:kern w:val="0"/>
                <w:szCs w:val="21"/>
              </w:rPr>
            </w:pPr>
            <w:r>
              <w:rPr>
                <w:rFonts w:hint="default"/>
                <w:color w:val="auto"/>
                <w:kern w:val="0"/>
                <w:szCs w:val="21"/>
              </w:rPr>
              <w:t>配备温度传感器、压力监测装置，实时监控活性炭层温度及箱体压力，异常时触发报警或自动停机。</w:t>
            </w:r>
          </w:p>
          <w:p w14:paraId="0E720761">
            <w:pPr>
              <w:adjustRightInd w:val="0"/>
              <w:snapToGrid w:val="0"/>
              <w:spacing w:line="360" w:lineRule="auto"/>
              <w:ind w:firstLine="420" w:firstLineChars="200"/>
              <w:rPr>
                <w:rFonts w:hint="eastAsia" w:eastAsia="宋体"/>
                <w:color w:val="auto"/>
                <w:kern w:val="0"/>
                <w:szCs w:val="21"/>
                <w:lang w:eastAsia="zh-CN"/>
              </w:rPr>
            </w:pPr>
            <w:r>
              <w:rPr>
                <w:rFonts w:hint="default"/>
                <w:color w:val="auto"/>
                <w:kern w:val="0"/>
                <w:szCs w:val="21"/>
              </w:rPr>
              <w:t>环境风险防范措施</w:t>
            </w:r>
            <w:r>
              <w:rPr>
                <w:rFonts w:hint="eastAsia"/>
                <w:color w:val="auto"/>
                <w:kern w:val="0"/>
                <w:szCs w:val="21"/>
                <w:lang w:eastAsia="zh-CN"/>
              </w:rPr>
              <w:t>：</w:t>
            </w:r>
          </w:p>
          <w:p w14:paraId="78B94630">
            <w:pPr>
              <w:adjustRightInd w:val="0"/>
              <w:snapToGrid w:val="0"/>
              <w:spacing w:line="360" w:lineRule="auto"/>
              <w:ind w:firstLine="420" w:firstLineChars="200"/>
              <w:rPr>
                <w:rFonts w:hint="default"/>
                <w:color w:val="auto"/>
                <w:kern w:val="0"/>
                <w:szCs w:val="21"/>
              </w:rPr>
            </w:pPr>
            <w:r>
              <w:rPr>
                <w:rFonts w:hint="eastAsia"/>
                <w:color w:val="auto"/>
                <w:kern w:val="0"/>
                <w:szCs w:val="21"/>
                <w:lang w:val="en-US" w:eastAsia="zh-CN"/>
              </w:rPr>
              <w:t>1）</w:t>
            </w:r>
            <w:r>
              <w:rPr>
                <w:rFonts w:hint="default"/>
                <w:color w:val="auto"/>
                <w:kern w:val="0"/>
                <w:szCs w:val="21"/>
              </w:rPr>
              <w:t>‌防火防爆控制‌</w:t>
            </w:r>
          </w:p>
          <w:p w14:paraId="781F78E4">
            <w:pPr>
              <w:adjustRightInd w:val="0"/>
              <w:snapToGrid w:val="0"/>
              <w:spacing w:line="360" w:lineRule="auto"/>
              <w:ind w:firstLine="420" w:firstLineChars="200"/>
              <w:rPr>
                <w:rFonts w:hint="default"/>
                <w:color w:val="auto"/>
                <w:kern w:val="0"/>
                <w:szCs w:val="21"/>
              </w:rPr>
            </w:pPr>
            <w:r>
              <w:rPr>
                <w:rFonts w:hint="default"/>
                <w:color w:val="auto"/>
                <w:kern w:val="0"/>
                <w:szCs w:val="21"/>
              </w:rPr>
              <w:t>处理高浓度VOCs时采用氮封系统保护，防止形成爆炸性混合物；废气输送管道安装阻火器（防火阀）。</w:t>
            </w:r>
          </w:p>
          <w:p w14:paraId="7E4F36C7">
            <w:pPr>
              <w:adjustRightInd w:val="0"/>
              <w:snapToGrid w:val="0"/>
              <w:spacing w:line="360" w:lineRule="auto"/>
              <w:ind w:firstLine="420" w:firstLineChars="200"/>
              <w:rPr>
                <w:rFonts w:hint="default"/>
                <w:color w:val="auto"/>
                <w:kern w:val="0"/>
                <w:szCs w:val="21"/>
              </w:rPr>
            </w:pPr>
            <w:r>
              <w:rPr>
                <w:rFonts w:hint="default"/>
                <w:color w:val="auto"/>
                <w:kern w:val="0"/>
                <w:szCs w:val="21"/>
              </w:rPr>
              <w:t>吸附装置内配置喷淋灭火系统，并设置泄爆片/板，应对初期火灾或爆燃风险。</w:t>
            </w:r>
          </w:p>
          <w:p w14:paraId="62526142">
            <w:pPr>
              <w:adjustRightInd w:val="0"/>
              <w:snapToGrid w:val="0"/>
              <w:spacing w:line="360" w:lineRule="auto"/>
              <w:ind w:firstLine="420" w:firstLineChars="200"/>
              <w:rPr>
                <w:rFonts w:hint="default"/>
                <w:color w:val="auto"/>
                <w:kern w:val="0"/>
                <w:szCs w:val="21"/>
              </w:rPr>
            </w:pPr>
            <w:r>
              <w:rPr>
                <w:rFonts w:hint="default"/>
                <w:color w:val="auto"/>
                <w:kern w:val="0"/>
                <w:szCs w:val="21"/>
              </w:rPr>
              <w:t>禁止活性炭接触高温或明火，再生时需降温至800℃以下，避免自燃。</w:t>
            </w:r>
          </w:p>
          <w:p w14:paraId="2A9CBD7E">
            <w:pPr>
              <w:adjustRightInd w:val="0"/>
              <w:snapToGrid w:val="0"/>
              <w:spacing w:line="360" w:lineRule="auto"/>
              <w:ind w:firstLine="420" w:firstLineChars="200"/>
              <w:rPr>
                <w:rFonts w:hint="default"/>
                <w:color w:val="auto"/>
                <w:kern w:val="0"/>
                <w:szCs w:val="21"/>
              </w:rPr>
            </w:pPr>
            <w:r>
              <w:rPr>
                <w:rFonts w:hint="eastAsia"/>
                <w:color w:val="auto"/>
                <w:kern w:val="0"/>
                <w:szCs w:val="21"/>
                <w:lang w:val="en-US" w:eastAsia="zh-CN"/>
              </w:rPr>
              <w:t>2）</w:t>
            </w:r>
            <w:r>
              <w:rPr>
                <w:rFonts w:hint="default"/>
                <w:color w:val="auto"/>
                <w:kern w:val="0"/>
                <w:szCs w:val="21"/>
              </w:rPr>
              <w:t>‌废气泄漏控制‌</w:t>
            </w:r>
          </w:p>
          <w:p w14:paraId="5FC5D59A">
            <w:pPr>
              <w:adjustRightInd w:val="0"/>
              <w:snapToGrid w:val="0"/>
              <w:spacing w:line="360" w:lineRule="auto"/>
              <w:ind w:firstLine="420" w:firstLineChars="200"/>
              <w:rPr>
                <w:rFonts w:hint="default"/>
                <w:color w:val="auto"/>
                <w:kern w:val="0"/>
                <w:szCs w:val="21"/>
              </w:rPr>
            </w:pPr>
            <w:r>
              <w:rPr>
                <w:rFonts w:hint="default"/>
                <w:color w:val="auto"/>
                <w:kern w:val="0"/>
                <w:szCs w:val="21"/>
              </w:rPr>
              <w:t>确保设备密封性，定期检测管路完整性；废气缓冲罐安装泄压装置，防止压力异常。</w:t>
            </w:r>
          </w:p>
          <w:p w14:paraId="31D235C9">
            <w:pPr>
              <w:adjustRightInd w:val="0"/>
              <w:snapToGrid w:val="0"/>
              <w:spacing w:line="360" w:lineRule="auto"/>
              <w:ind w:firstLine="420" w:firstLineChars="200"/>
              <w:rPr>
                <w:rFonts w:hint="default"/>
                <w:color w:val="auto"/>
                <w:kern w:val="0"/>
                <w:szCs w:val="21"/>
              </w:rPr>
            </w:pPr>
            <w:r>
              <w:rPr>
                <w:rFonts w:hint="default"/>
                <w:color w:val="auto"/>
                <w:kern w:val="0"/>
                <w:szCs w:val="21"/>
              </w:rPr>
              <w:t>前段工序加强气渣分离，避免焦油类物质堵塞活性炭孔隙，降低吸附效率。</w:t>
            </w:r>
          </w:p>
          <w:p w14:paraId="299C7AE1">
            <w:pPr>
              <w:adjustRightInd w:val="0"/>
              <w:snapToGrid w:val="0"/>
              <w:spacing w:line="360" w:lineRule="auto"/>
              <w:ind w:firstLine="420" w:firstLineChars="200"/>
              <w:rPr>
                <w:rFonts w:hint="default"/>
                <w:color w:val="auto"/>
                <w:kern w:val="0"/>
                <w:szCs w:val="21"/>
              </w:rPr>
            </w:pPr>
            <w:r>
              <w:rPr>
                <w:rFonts w:hint="eastAsia"/>
                <w:color w:val="auto"/>
                <w:kern w:val="0"/>
                <w:szCs w:val="21"/>
                <w:lang w:val="en-US" w:eastAsia="zh-CN"/>
              </w:rPr>
              <w:t>3）</w:t>
            </w:r>
            <w:r>
              <w:rPr>
                <w:rFonts w:hint="default"/>
                <w:color w:val="auto"/>
                <w:kern w:val="0"/>
                <w:szCs w:val="21"/>
              </w:rPr>
              <w:t>‌环境监控与应急‌</w:t>
            </w:r>
          </w:p>
          <w:p w14:paraId="67306835">
            <w:pPr>
              <w:adjustRightInd w:val="0"/>
              <w:snapToGrid w:val="0"/>
              <w:spacing w:line="360" w:lineRule="auto"/>
              <w:ind w:firstLine="420" w:firstLineChars="200"/>
              <w:rPr>
                <w:rFonts w:hint="default"/>
                <w:color w:val="auto"/>
                <w:kern w:val="0"/>
                <w:szCs w:val="21"/>
              </w:rPr>
            </w:pPr>
            <w:r>
              <w:rPr>
                <w:rFonts w:hint="default"/>
                <w:color w:val="auto"/>
                <w:kern w:val="0"/>
                <w:szCs w:val="21"/>
              </w:rPr>
              <w:t>作业区域安装气体检测仪，实时监测VOCs浓度；确保通风良好，防止有害气体积聚。</w:t>
            </w:r>
          </w:p>
          <w:p w14:paraId="19BD32E8">
            <w:pPr>
              <w:adjustRightInd w:val="0"/>
              <w:snapToGrid w:val="0"/>
              <w:spacing w:line="360" w:lineRule="auto"/>
              <w:ind w:firstLine="420" w:firstLineChars="200"/>
              <w:rPr>
                <w:rFonts w:hint="default"/>
                <w:color w:val="auto"/>
                <w:kern w:val="0"/>
                <w:szCs w:val="21"/>
              </w:rPr>
            </w:pPr>
            <w:r>
              <w:rPr>
                <w:rFonts w:hint="default"/>
                <w:color w:val="auto"/>
                <w:kern w:val="0"/>
                <w:szCs w:val="21"/>
              </w:rPr>
              <w:t>制定应急预案，定期演练；人员需穿戴防护装备，掌握初期火灾扑救及应急停机技能。</w:t>
            </w:r>
          </w:p>
          <w:p w14:paraId="0B78C50D">
            <w:pPr>
              <w:adjustRightInd w:val="0"/>
              <w:snapToGrid w:val="0"/>
              <w:spacing w:line="360" w:lineRule="auto"/>
              <w:ind w:firstLine="420" w:firstLineChars="200"/>
              <w:rPr>
                <w:rFonts w:hint="default"/>
                <w:color w:val="auto"/>
                <w:kern w:val="0"/>
                <w:szCs w:val="21"/>
              </w:rPr>
            </w:pPr>
            <w:r>
              <w:rPr>
                <w:rFonts w:hint="eastAsia"/>
                <w:color w:val="auto"/>
                <w:kern w:val="0"/>
                <w:szCs w:val="21"/>
                <w:lang w:val="en-US" w:eastAsia="zh-CN"/>
              </w:rPr>
              <w:t>4）</w:t>
            </w:r>
            <w:r>
              <w:rPr>
                <w:rFonts w:hint="default"/>
                <w:color w:val="auto"/>
                <w:kern w:val="0"/>
                <w:szCs w:val="21"/>
              </w:rPr>
              <w:t>‌危险废物管理‌</w:t>
            </w:r>
          </w:p>
          <w:p w14:paraId="5926C119">
            <w:pPr>
              <w:adjustRightInd w:val="0"/>
              <w:snapToGrid w:val="0"/>
              <w:spacing w:line="360" w:lineRule="auto"/>
              <w:ind w:firstLine="420" w:firstLineChars="200"/>
              <w:rPr>
                <w:rFonts w:hint="eastAsia" w:eastAsia="宋体"/>
                <w:color w:val="auto"/>
                <w:kern w:val="0"/>
                <w:szCs w:val="21"/>
                <w:lang w:eastAsia="zh-CN"/>
              </w:rPr>
            </w:pPr>
            <w:r>
              <w:rPr>
                <w:rFonts w:hint="default"/>
                <w:color w:val="auto"/>
                <w:kern w:val="0"/>
                <w:szCs w:val="21"/>
              </w:rPr>
              <w:t>废活性炭按危废规范贮存、运输，严禁随意倾倒；台账记录需完整，确保可追溯</w:t>
            </w:r>
            <w:r>
              <w:rPr>
                <w:rFonts w:hint="eastAsia"/>
                <w:color w:val="auto"/>
                <w:kern w:val="0"/>
                <w:szCs w:val="21"/>
                <w:lang w:eastAsia="zh-CN"/>
              </w:rPr>
              <w:t>。</w:t>
            </w:r>
          </w:p>
          <w:p w14:paraId="6961E010">
            <w:pPr>
              <w:adjustRightInd w:val="0"/>
              <w:snapToGrid w:val="0"/>
              <w:spacing w:line="360" w:lineRule="auto"/>
              <w:ind w:firstLine="420" w:firstLineChars="200"/>
              <w:rPr>
                <w:color w:val="auto"/>
                <w:kern w:val="0"/>
                <w:szCs w:val="21"/>
              </w:rPr>
            </w:pPr>
            <w:r>
              <w:rPr>
                <w:rFonts w:hint="eastAsia" w:cs="Times New Roman"/>
                <w:color w:val="auto"/>
                <w:kern w:val="0"/>
                <w:szCs w:val="21"/>
                <w:lang w:val="en-US" w:eastAsia="zh-CN"/>
              </w:rPr>
              <w:t>⑥</w:t>
            </w:r>
            <w:r>
              <w:rPr>
                <w:rFonts w:hint="eastAsia" w:ascii="Times New Roman" w:hAnsi="Times New Roman" w:eastAsia="宋体" w:cs="Times New Roman"/>
                <w:color w:val="auto"/>
                <w:kern w:val="0"/>
                <w:szCs w:val="21"/>
              </w:rPr>
              <w:t>大气</w:t>
            </w:r>
            <w:r>
              <w:rPr>
                <w:rFonts w:hint="eastAsia"/>
                <w:color w:val="auto"/>
                <w:kern w:val="0"/>
                <w:szCs w:val="21"/>
              </w:rPr>
              <w:t>环境风险防范措施</w:t>
            </w:r>
          </w:p>
          <w:p w14:paraId="68B31C02">
            <w:pPr>
              <w:adjustRightInd w:val="0"/>
              <w:snapToGrid w:val="0"/>
              <w:spacing w:line="360" w:lineRule="auto"/>
              <w:ind w:firstLine="420" w:firstLineChars="200"/>
              <w:rPr>
                <w:color w:val="auto"/>
                <w:kern w:val="0"/>
                <w:szCs w:val="21"/>
              </w:rPr>
            </w:pPr>
            <w:r>
              <w:rPr>
                <w:rFonts w:hint="eastAsia"/>
                <w:color w:val="auto"/>
                <w:kern w:val="0"/>
                <w:szCs w:val="21"/>
              </w:rPr>
              <w:t>本次项目大气环境风险主要危害因子为颗粒物</w:t>
            </w:r>
            <w:r>
              <w:rPr>
                <w:rFonts w:hint="eastAsia"/>
                <w:color w:val="auto"/>
                <w:kern w:val="0"/>
                <w:szCs w:val="21"/>
                <w:lang w:eastAsia="zh-CN"/>
              </w:rPr>
              <w:t>、</w:t>
            </w:r>
            <w:r>
              <w:rPr>
                <w:rFonts w:hint="eastAsia"/>
                <w:color w:val="auto"/>
                <w:kern w:val="0"/>
                <w:szCs w:val="21"/>
                <w:lang w:val="en-US" w:eastAsia="zh-CN"/>
              </w:rPr>
              <w:t>有机废气</w:t>
            </w:r>
            <w:r>
              <w:rPr>
                <w:rFonts w:hint="eastAsia"/>
                <w:color w:val="auto"/>
                <w:kern w:val="0"/>
                <w:szCs w:val="21"/>
              </w:rPr>
              <w:t>以及燃烧爆炸产生的二次污染物，为防止事故对周围人员的影响，应采取以下措施：</w:t>
            </w:r>
          </w:p>
          <w:p w14:paraId="54E0BC4A">
            <w:pPr>
              <w:adjustRightInd w:val="0"/>
              <w:snapToGrid w:val="0"/>
              <w:spacing w:line="360" w:lineRule="auto"/>
              <w:ind w:firstLine="420" w:firstLineChars="200"/>
              <w:rPr>
                <w:color w:val="auto"/>
                <w:kern w:val="0"/>
                <w:szCs w:val="21"/>
              </w:rPr>
            </w:pPr>
            <w:r>
              <w:rPr>
                <w:color w:val="auto"/>
                <w:kern w:val="0"/>
                <w:szCs w:val="21"/>
              </w:rPr>
              <w:t>1</w:t>
            </w:r>
            <w:r>
              <w:rPr>
                <w:rFonts w:hint="eastAsia"/>
                <w:color w:val="auto"/>
                <w:kern w:val="0"/>
                <w:szCs w:val="21"/>
              </w:rPr>
              <w:t>）一旦发生事故立即启动应急程序，必要时停车检修，避免废气未经处理对外排放。发生泄漏事故，立刻采取堵漏措施。</w:t>
            </w:r>
          </w:p>
          <w:p w14:paraId="303C82D3">
            <w:pPr>
              <w:adjustRightInd w:val="0"/>
              <w:snapToGrid w:val="0"/>
              <w:spacing w:line="360" w:lineRule="auto"/>
              <w:ind w:firstLine="420" w:firstLineChars="200"/>
              <w:rPr>
                <w:color w:val="auto"/>
                <w:kern w:val="0"/>
                <w:szCs w:val="21"/>
              </w:rPr>
            </w:pPr>
            <w:r>
              <w:rPr>
                <w:color w:val="auto"/>
                <w:kern w:val="0"/>
                <w:szCs w:val="21"/>
              </w:rPr>
              <w:t>2</w:t>
            </w:r>
            <w:r>
              <w:rPr>
                <w:rFonts w:hint="eastAsia"/>
                <w:color w:val="auto"/>
                <w:kern w:val="0"/>
                <w:szCs w:val="21"/>
              </w:rPr>
              <w:t>）即刻对周围可能受影响的人员进行疏散，要求如下：事故发生后，由各生产班组安全员作为疏散、撤离组织负责人。</w:t>
            </w:r>
          </w:p>
          <w:p w14:paraId="69275EA5">
            <w:pPr>
              <w:adjustRightInd w:val="0"/>
              <w:snapToGrid w:val="0"/>
              <w:spacing w:line="360" w:lineRule="auto"/>
              <w:ind w:firstLine="420" w:firstLineChars="200"/>
              <w:rPr>
                <w:color w:val="auto"/>
                <w:kern w:val="0"/>
                <w:szCs w:val="21"/>
              </w:rPr>
            </w:pPr>
            <w:r>
              <w:rPr>
                <w:rFonts w:hint="eastAsia"/>
                <w:color w:val="auto"/>
                <w:kern w:val="0"/>
                <w:szCs w:val="21"/>
              </w:rPr>
              <w:t>事故现场人员清点、撤离方式、方法</w:t>
            </w:r>
          </w:p>
          <w:p w14:paraId="17DD0912">
            <w:pPr>
              <w:adjustRightInd w:val="0"/>
              <w:snapToGrid w:val="0"/>
              <w:spacing w:line="360" w:lineRule="auto"/>
              <w:ind w:firstLine="420" w:firstLineChars="200"/>
              <w:rPr>
                <w:color w:val="auto"/>
                <w:kern w:val="0"/>
                <w:szCs w:val="21"/>
              </w:rPr>
            </w:pPr>
            <w:r>
              <w:rPr>
                <w:rFonts w:hint="eastAsia"/>
                <w:color w:val="auto"/>
                <w:kern w:val="0"/>
                <w:szCs w:val="21"/>
              </w:rPr>
              <w:t>当发生重大泄漏事故时，由应急指挥部实施紧急疏散、撤离计划。事故区域所有员工必须执行紧急疏散、撤离命令。抢救队员应立即到达事故现场，设立警戒区域，在疏散和撤离的路线上可设立指示牌，指明方向，指导警戒区内的员工有序</w:t>
            </w:r>
            <w:r>
              <w:rPr>
                <w:rFonts w:hint="eastAsia"/>
                <w:color w:val="auto"/>
                <w:kern w:val="0"/>
                <w:szCs w:val="21"/>
                <w:lang w:eastAsia="zh-CN"/>
              </w:rPr>
              <w:t>地</w:t>
            </w:r>
            <w:r>
              <w:rPr>
                <w:rFonts w:hint="eastAsia"/>
                <w:color w:val="auto"/>
                <w:kern w:val="0"/>
                <w:szCs w:val="21"/>
              </w:rPr>
              <w:t>离开。警戒区域内的各生产班组安全员应清点撤离人员，检查确认区域内确无任何人滞留后，向指挥组汇报撤离人数，进行最后撤离。人员不要在低洼处滞留；要查清是否有人留在泄漏区或污染区。如没有及时撤离人员，应由佩戴适宜防护装备的抢险队员两人进入现场搜寻，并实施救助。</w:t>
            </w:r>
          </w:p>
          <w:p w14:paraId="15E16A57">
            <w:pPr>
              <w:adjustRightInd w:val="0"/>
              <w:snapToGrid w:val="0"/>
              <w:spacing w:line="360" w:lineRule="auto"/>
              <w:ind w:firstLine="420" w:firstLineChars="200"/>
              <w:rPr>
                <w:color w:val="auto"/>
                <w:kern w:val="0"/>
                <w:szCs w:val="21"/>
              </w:rPr>
            </w:pPr>
            <w:r>
              <w:rPr>
                <w:rFonts w:hint="eastAsia"/>
                <w:color w:val="auto"/>
                <w:kern w:val="0"/>
                <w:szCs w:val="21"/>
              </w:rPr>
              <w:t>当员工接到紧急撤离命令后，应对生产装置进行紧急停车，并对物料进行安全处置无危险后，方可撤离岗位到指定地点进行集合。员工在撤离过程中，应戴好岗位上所配备的防毒面具，在无防毒面具的情况下，不能剧烈奔跑和碰撞容易产生火花的铁器或石块，应憋住呼吸，用湿毛巾捂住口、鼻部位，缓缓地朝逆风方向，或指定的集中地点走去。</w:t>
            </w:r>
          </w:p>
          <w:p w14:paraId="0296950D">
            <w:pPr>
              <w:adjustRightInd w:val="0"/>
              <w:snapToGrid w:val="0"/>
              <w:spacing w:line="360" w:lineRule="auto"/>
              <w:ind w:firstLine="420" w:firstLineChars="200"/>
              <w:rPr>
                <w:color w:val="auto"/>
                <w:kern w:val="0"/>
                <w:szCs w:val="21"/>
              </w:rPr>
            </w:pPr>
            <w:r>
              <w:rPr>
                <w:rFonts w:hint="eastAsia" w:cs="Times New Roman"/>
                <w:color w:val="auto"/>
                <w:kern w:val="0"/>
                <w:szCs w:val="21"/>
                <w:lang w:val="en-US" w:eastAsia="zh-CN"/>
              </w:rPr>
              <w:t>⑦</w:t>
            </w:r>
            <w:r>
              <w:rPr>
                <w:rFonts w:hint="eastAsia" w:ascii="Times New Roman" w:hAnsi="Times New Roman" w:eastAsia="宋体" w:cs="Times New Roman"/>
                <w:color w:val="auto"/>
                <w:kern w:val="0"/>
                <w:szCs w:val="21"/>
              </w:rPr>
              <w:t>撤</w:t>
            </w:r>
            <w:r>
              <w:rPr>
                <w:rFonts w:hint="eastAsia"/>
                <w:color w:val="auto"/>
                <w:kern w:val="0"/>
                <w:szCs w:val="21"/>
              </w:rPr>
              <w:t>离路线描述</w:t>
            </w:r>
          </w:p>
          <w:p w14:paraId="3B68C7C5">
            <w:pPr>
              <w:adjustRightInd w:val="0"/>
              <w:snapToGrid w:val="0"/>
              <w:spacing w:line="360" w:lineRule="auto"/>
              <w:ind w:firstLine="420" w:firstLineChars="200"/>
              <w:rPr>
                <w:color w:val="auto"/>
                <w:kern w:val="0"/>
                <w:szCs w:val="21"/>
              </w:rPr>
            </w:pPr>
            <w:r>
              <w:rPr>
                <w:rFonts w:hint="eastAsia"/>
                <w:color w:val="auto"/>
                <w:kern w:val="0"/>
                <w:szCs w:val="21"/>
              </w:rPr>
              <w:t>建设单位对风险影响范围内人群制定详细的疏散方案，划定紧急集中点，并定期进行风险应急撤离演练。相应负责人应将发生事故的场所，设施及周围情况、化学品的性质和危害程度，以及当时的风向（根据设立的风向标）等气象情况向应急指挥部</w:t>
            </w:r>
            <w:r>
              <w:rPr>
                <w:rFonts w:hint="eastAsia"/>
                <w:color w:val="auto"/>
                <w:kern w:val="0"/>
                <w:szCs w:val="21"/>
                <w:lang w:eastAsia="zh-CN"/>
              </w:rPr>
              <w:t>做</w:t>
            </w:r>
            <w:r>
              <w:rPr>
                <w:rFonts w:hint="eastAsia"/>
                <w:color w:val="auto"/>
                <w:kern w:val="0"/>
                <w:szCs w:val="21"/>
              </w:rPr>
              <w:t>详细报告后确定疏散、撤离路线。疏散警报响起，首先判断风向，原则上往上风处疏散，若气体泄漏源为上风处时，宜向与风向垂直之方向疏散（以宽度疏散）。为使疏散计划执行期间厂内员工能从容撤离灾区，要随时了解员工状况，采取必要之应变措施，根据厂内疏散路线，员工按照指示迅速撤离、疏散至集合地点大门口，各生产班组安全员负责人清点人数。</w:t>
            </w:r>
          </w:p>
          <w:p w14:paraId="02E5556D">
            <w:pPr>
              <w:adjustRightInd w:val="0"/>
              <w:snapToGrid w:val="0"/>
              <w:spacing w:line="360" w:lineRule="auto"/>
              <w:ind w:firstLine="420" w:firstLineChars="200"/>
              <w:rPr>
                <w:color w:val="auto"/>
                <w:kern w:val="0"/>
                <w:szCs w:val="21"/>
              </w:rPr>
            </w:pPr>
            <w:r>
              <w:rPr>
                <w:rFonts w:hint="eastAsia"/>
                <w:color w:val="auto"/>
                <w:kern w:val="0"/>
                <w:szCs w:val="21"/>
              </w:rPr>
              <w:t>1）周边区域的工厂、社区人员的疏散</w:t>
            </w:r>
          </w:p>
          <w:p w14:paraId="74372E7C">
            <w:pPr>
              <w:adjustRightInd w:val="0"/>
              <w:snapToGrid w:val="0"/>
              <w:spacing w:line="360" w:lineRule="auto"/>
              <w:ind w:firstLine="420" w:firstLineChars="200"/>
              <w:rPr>
                <w:color w:val="auto"/>
                <w:kern w:val="0"/>
                <w:szCs w:val="21"/>
              </w:rPr>
            </w:pPr>
            <w:r>
              <w:rPr>
                <w:rFonts w:hint="eastAsia"/>
                <w:color w:val="auto"/>
                <w:kern w:val="0"/>
                <w:szCs w:val="21"/>
              </w:rPr>
              <w:t>如发生重大事故时，可能危及周边区域的单位、社区安全时，根据当时的气象条件、污染物可能扩散的区域和污染物的性质，由应急指挥部决定是否需要向周边地区发布信息，并与政府有关部门联系。政府部门根据实际需要对周边区域的工厂，社区和村落的人员进行疏散时，由公安、民政部门、街道组织抽调力量负责组织实施，立即组织广播车辆和专业人员协助公安及其他政府有关部门的人员进行动员和疏导，使周边区域的人员安全疏散。事故现场、非事故现场和周边区域的人员按指挥组命令撤离、疏散至安全地点集中后，由相关负责人清点、统计人数后，及时向指挥组报告。</w:t>
            </w:r>
          </w:p>
          <w:p w14:paraId="7AAAEC54">
            <w:pPr>
              <w:adjustRightInd w:val="0"/>
              <w:snapToGrid w:val="0"/>
              <w:spacing w:line="360" w:lineRule="auto"/>
              <w:ind w:firstLine="413" w:firstLineChars="196"/>
              <w:rPr>
                <w:b/>
                <w:bCs w:val="0"/>
                <w:color w:val="auto"/>
                <w:szCs w:val="21"/>
              </w:rPr>
            </w:pPr>
            <w:r>
              <w:rPr>
                <w:rFonts w:hint="eastAsia"/>
                <w:b/>
                <w:bCs w:val="0"/>
                <w:color w:val="auto"/>
                <w:szCs w:val="21"/>
                <w:lang w:val="en-US" w:eastAsia="zh-CN"/>
              </w:rPr>
              <w:t>7.4</w:t>
            </w:r>
            <w:r>
              <w:rPr>
                <w:rFonts w:hint="eastAsia"/>
                <w:b/>
                <w:bCs w:val="0"/>
                <w:color w:val="auto"/>
                <w:szCs w:val="21"/>
              </w:rPr>
              <w:t>事故废水拦截设施</w:t>
            </w:r>
          </w:p>
          <w:p w14:paraId="4275ED06">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在事故状态下，由于管理和失误操作等原因，可能会导致泄漏的物料、消防废水等通过雨水系统进入周边水环境，从而对其造成污染。当发生事故后，应立即打开厂区管网与事故应急池连接阀门，使可能受污染的雨水、事故废水进入事故应急池，将其截留在厂区内，确保污染物不进入外部水体。</w:t>
            </w:r>
          </w:p>
          <w:p w14:paraId="38D5BE53">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事故池根据《事故状态下水体污染的预防和控制技术要求》（Q/SY08190-2019）中的相关规定设置。事故池主要用于厂区内发生事故或火灾时，控制、收集和存放污染事故水（包括污染雨水）及消防污染水。污染事故水及污染消防水通过雨水管道收集。事故应急池容量按下式计算：</w:t>
            </w:r>
          </w:p>
          <w:p w14:paraId="5D7EE65C">
            <w:pPr>
              <w:pStyle w:val="33"/>
              <w:snapToGrid w:val="0"/>
              <w:spacing w:after="0" w:line="360" w:lineRule="auto"/>
              <w:jc w:val="center"/>
              <w:rPr>
                <w:rFonts w:ascii="Times New Roman" w:eastAsia="宋体"/>
                <w:b w:val="0"/>
                <w:bCs/>
                <w:color w:val="auto"/>
                <w:sz w:val="21"/>
                <w:szCs w:val="21"/>
              </w:rPr>
            </w:pPr>
            <w:r>
              <w:rPr>
                <w:rFonts w:ascii="Times New Roman" w:eastAsia="宋体"/>
                <w:b w:val="0"/>
                <w:bCs/>
                <w:color w:val="auto"/>
                <w:sz w:val="21"/>
                <w:szCs w:val="21"/>
              </w:rPr>
              <w:t>V</w:t>
            </w:r>
            <w:r>
              <w:rPr>
                <w:rFonts w:ascii="Times New Roman" w:eastAsia="宋体"/>
                <w:b w:val="0"/>
                <w:bCs/>
                <w:color w:val="auto"/>
                <w:sz w:val="21"/>
                <w:szCs w:val="21"/>
                <w:vertAlign w:val="subscript"/>
              </w:rPr>
              <w:t>总</w:t>
            </w:r>
            <w:r>
              <w:rPr>
                <w:rFonts w:ascii="Times New Roman" w:eastAsia="宋体"/>
                <w:b w:val="0"/>
                <w:bCs/>
                <w:color w:val="auto"/>
                <w:sz w:val="21"/>
                <w:szCs w:val="21"/>
              </w:rPr>
              <w:t>=（V</w:t>
            </w:r>
            <w:r>
              <w:rPr>
                <w:rFonts w:ascii="Times New Roman" w:eastAsia="宋体"/>
                <w:b w:val="0"/>
                <w:bCs/>
                <w:color w:val="auto"/>
                <w:sz w:val="21"/>
                <w:szCs w:val="21"/>
                <w:vertAlign w:val="subscript"/>
              </w:rPr>
              <w:t>1</w:t>
            </w:r>
            <w:r>
              <w:rPr>
                <w:rFonts w:ascii="Times New Roman" w:eastAsia="宋体"/>
                <w:b w:val="0"/>
                <w:bCs/>
                <w:color w:val="auto"/>
                <w:sz w:val="21"/>
                <w:szCs w:val="21"/>
              </w:rPr>
              <w:t>+V</w:t>
            </w:r>
            <w:r>
              <w:rPr>
                <w:rFonts w:ascii="Times New Roman" w:eastAsia="宋体"/>
                <w:b w:val="0"/>
                <w:bCs/>
                <w:color w:val="auto"/>
                <w:sz w:val="21"/>
                <w:szCs w:val="21"/>
                <w:vertAlign w:val="subscript"/>
              </w:rPr>
              <w:t>2</w:t>
            </w:r>
            <w:r>
              <w:rPr>
                <w:rFonts w:ascii="Times New Roman" w:eastAsia="宋体"/>
                <w:b w:val="0"/>
                <w:bCs/>
                <w:color w:val="auto"/>
                <w:sz w:val="21"/>
                <w:szCs w:val="21"/>
              </w:rPr>
              <w:t>-V</w:t>
            </w:r>
            <w:r>
              <w:rPr>
                <w:rFonts w:ascii="Times New Roman" w:eastAsia="宋体"/>
                <w:b w:val="0"/>
                <w:bCs/>
                <w:color w:val="auto"/>
                <w:sz w:val="21"/>
                <w:szCs w:val="21"/>
                <w:vertAlign w:val="subscript"/>
              </w:rPr>
              <w:t>3</w:t>
            </w:r>
            <w:r>
              <w:rPr>
                <w:rFonts w:ascii="Times New Roman" w:eastAsia="宋体"/>
                <w:b w:val="0"/>
                <w:bCs/>
                <w:color w:val="auto"/>
                <w:sz w:val="21"/>
                <w:szCs w:val="21"/>
              </w:rPr>
              <w:t>）max+V</w:t>
            </w:r>
            <w:r>
              <w:rPr>
                <w:rFonts w:ascii="Times New Roman" w:eastAsia="宋体"/>
                <w:b w:val="0"/>
                <w:bCs/>
                <w:color w:val="auto"/>
                <w:sz w:val="21"/>
                <w:szCs w:val="21"/>
                <w:vertAlign w:val="subscript"/>
              </w:rPr>
              <w:t>4</w:t>
            </w:r>
            <w:r>
              <w:rPr>
                <w:rFonts w:ascii="Times New Roman" w:eastAsia="宋体"/>
                <w:b w:val="0"/>
                <w:bCs/>
                <w:color w:val="auto"/>
                <w:sz w:val="21"/>
                <w:szCs w:val="21"/>
              </w:rPr>
              <w:t>+V</w:t>
            </w:r>
            <w:r>
              <w:rPr>
                <w:rFonts w:ascii="Times New Roman" w:eastAsia="宋体"/>
                <w:b w:val="0"/>
                <w:bCs/>
                <w:color w:val="auto"/>
                <w:sz w:val="21"/>
                <w:szCs w:val="21"/>
                <w:vertAlign w:val="subscript"/>
              </w:rPr>
              <w:t>5</w:t>
            </w:r>
          </w:p>
          <w:p w14:paraId="7D212EAA">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式中，（V</w:t>
            </w:r>
            <w:r>
              <w:rPr>
                <w:rFonts w:ascii="Times New Roman" w:eastAsia="宋体"/>
                <w:b w:val="0"/>
                <w:bCs/>
                <w:color w:val="auto"/>
                <w:sz w:val="21"/>
                <w:szCs w:val="21"/>
                <w:vertAlign w:val="subscript"/>
              </w:rPr>
              <w:t>1</w:t>
            </w:r>
            <w:r>
              <w:rPr>
                <w:rFonts w:ascii="Times New Roman" w:eastAsia="宋体"/>
                <w:b w:val="0"/>
                <w:bCs/>
                <w:color w:val="auto"/>
                <w:sz w:val="21"/>
                <w:szCs w:val="21"/>
              </w:rPr>
              <w:t>+V</w:t>
            </w:r>
            <w:r>
              <w:rPr>
                <w:rFonts w:ascii="Times New Roman" w:eastAsia="宋体"/>
                <w:b w:val="0"/>
                <w:bCs/>
                <w:color w:val="auto"/>
                <w:sz w:val="21"/>
                <w:szCs w:val="21"/>
                <w:vertAlign w:val="subscript"/>
              </w:rPr>
              <w:t>2</w:t>
            </w:r>
            <w:r>
              <w:rPr>
                <w:rFonts w:ascii="Times New Roman" w:eastAsia="宋体"/>
                <w:b w:val="0"/>
                <w:bCs/>
                <w:color w:val="auto"/>
                <w:sz w:val="21"/>
                <w:szCs w:val="21"/>
              </w:rPr>
              <w:t>-V</w:t>
            </w:r>
            <w:r>
              <w:rPr>
                <w:rFonts w:ascii="Times New Roman" w:eastAsia="宋体"/>
                <w:b w:val="0"/>
                <w:bCs/>
                <w:color w:val="auto"/>
                <w:sz w:val="21"/>
                <w:szCs w:val="21"/>
                <w:vertAlign w:val="subscript"/>
              </w:rPr>
              <w:t>3</w:t>
            </w:r>
            <w:r>
              <w:rPr>
                <w:rFonts w:ascii="Times New Roman" w:eastAsia="宋体"/>
                <w:b w:val="0"/>
                <w:bCs/>
                <w:color w:val="auto"/>
                <w:sz w:val="21"/>
                <w:szCs w:val="21"/>
              </w:rPr>
              <w:t>）max—应急事故废水最大计算量，m</w:t>
            </w:r>
            <w:r>
              <w:rPr>
                <w:rFonts w:ascii="Times New Roman" w:eastAsia="宋体"/>
                <w:b w:val="0"/>
                <w:bCs/>
                <w:color w:val="auto"/>
                <w:sz w:val="21"/>
                <w:szCs w:val="21"/>
                <w:vertAlign w:val="superscript"/>
              </w:rPr>
              <w:t>3</w:t>
            </w:r>
            <w:r>
              <w:rPr>
                <w:rFonts w:ascii="Times New Roman" w:eastAsia="宋体"/>
                <w:b w:val="0"/>
                <w:bCs/>
                <w:color w:val="auto"/>
                <w:sz w:val="21"/>
                <w:szCs w:val="21"/>
              </w:rPr>
              <w:t>；</w:t>
            </w:r>
          </w:p>
          <w:p w14:paraId="18B88FC8">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V</w:t>
            </w:r>
            <w:r>
              <w:rPr>
                <w:rFonts w:ascii="Times New Roman" w:eastAsia="宋体"/>
                <w:b w:val="0"/>
                <w:bCs/>
                <w:color w:val="auto"/>
                <w:sz w:val="21"/>
                <w:szCs w:val="21"/>
                <w:vertAlign w:val="subscript"/>
              </w:rPr>
              <w:t>1</w:t>
            </w:r>
            <w:r>
              <w:rPr>
                <w:rFonts w:ascii="Times New Roman" w:eastAsia="宋体"/>
                <w:b w:val="0"/>
                <w:bCs/>
                <w:color w:val="auto"/>
                <w:sz w:val="21"/>
                <w:szCs w:val="21"/>
              </w:rPr>
              <w:t>—收集系统范围内发生事故的物料量，按最大一个容器的设备、装置或贮罐的物料贮存量计，m</w:t>
            </w:r>
            <w:r>
              <w:rPr>
                <w:rFonts w:ascii="Times New Roman" w:eastAsia="宋体"/>
                <w:b w:val="0"/>
                <w:bCs/>
                <w:color w:val="auto"/>
                <w:sz w:val="21"/>
                <w:szCs w:val="21"/>
                <w:vertAlign w:val="superscript"/>
              </w:rPr>
              <w:t>3</w:t>
            </w:r>
            <w:r>
              <w:rPr>
                <w:rFonts w:ascii="Times New Roman" w:eastAsia="宋体"/>
                <w:b w:val="0"/>
                <w:bCs/>
                <w:color w:val="auto"/>
                <w:sz w:val="21"/>
                <w:szCs w:val="21"/>
              </w:rPr>
              <w:t>（V</w:t>
            </w:r>
            <w:r>
              <w:rPr>
                <w:rFonts w:ascii="Times New Roman" w:eastAsia="宋体"/>
                <w:b w:val="0"/>
                <w:bCs/>
                <w:color w:val="auto"/>
                <w:sz w:val="21"/>
                <w:szCs w:val="21"/>
                <w:vertAlign w:val="subscript"/>
              </w:rPr>
              <w:t>1</w:t>
            </w:r>
            <w:r>
              <w:rPr>
                <w:rFonts w:ascii="Times New Roman" w:eastAsia="宋体"/>
                <w:b w:val="0"/>
                <w:bCs/>
                <w:color w:val="auto"/>
                <w:sz w:val="21"/>
                <w:szCs w:val="21"/>
              </w:rPr>
              <w:t>取</w:t>
            </w:r>
            <w:r>
              <w:rPr>
                <w:rFonts w:hint="eastAsia" w:ascii="Times New Roman" w:eastAsia="宋体"/>
                <w:b w:val="0"/>
                <w:bCs/>
                <w:color w:val="auto"/>
                <w:sz w:val="21"/>
                <w:szCs w:val="21"/>
              </w:rPr>
              <w:t>最大槽体的有效容积</w:t>
            </w:r>
            <w:r>
              <w:rPr>
                <w:rFonts w:hint="eastAsia" w:ascii="Times New Roman" w:eastAsia="宋体"/>
                <w:b w:val="0"/>
                <w:bCs/>
                <w:color w:val="auto"/>
                <w:sz w:val="21"/>
                <w:szCs w:val="21"/>
                <w:lang w:val="en-US" w:eastAsia="zh-CN"/>
              </w:rPr>
              <w:t>4</w:t>
            </w:r>
            <w:r>
              <w:rPr>
                <w:rFonts w:ascii="Times New Roman" w:eastAsia="宋体"/>
                <w:b w:val="0"/>
                <w:bCs/>
                <w:color w:val="auto"/>
                <w:sz w:val="21"/>
                <w:szCs w:val="21"/>
              </w:rPr>
              <w:t>m³）；</w:t>
            </w:r>
          </w:p>
          <w:p w14:paraId="54144E9C">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V</w:t>
            </w:r>
            <w:r>
              <w:rPr>
                <w:rFonts w:ascii="Times New Roman" w:eastAsia="宋体"/>
                <w:b w:val="0"/>
                <w:bCs/>
                <w:color w:val="auto"/>
                <w:sz w:val="21"/>
                <w:szCs w:val="21"/>
                <w:vertAlign w:val="subscript"/>
              </w:rPr>
              <w:t>2</w:t>
            </w:r>
            <w:r>
              <w:rPr>
                <w:rFonts w:ascii="Times New Roman" w:eastAsia="宋体"/>
                <w:b w:val="0"/>
                <w:bCs/>
                <w:color w:val="auto"/>
                <w:sz w:val="21"/>
                <w:szCs w:val="21"/>
              </w:rPr>
              <w:t>—发生事故的储罐、装置或铁路、汽车装卸区的消防水量，包括扑灭火灾所需用水量和保护临近设备或贮罐（最少</w:t>
            </w:r>
            <w:r>
              <w:rPr>
                <w:rFonts w:hint="eastAsia" w:ascii="Times New Roman" w:eastAsia="宋体"/>
                <w:b w:val="0"/>
                <w:bCs/>
                <w:color w:val="auto"/>
                <w:sz w:val="21"/>
                <w:szCs w:val="21"/>
              </w:rPr>
              <w:t>2</w:t>
            </w:r>
            <w:r>
              <w:rPr>
                <w:rFonts w:ascii="Times New Roman" w:eastAsia="宋体"/>
                <w:b w:val="0"/>
                <w:bCs/>
                <w:color w:val="auto"/>
                <w:sz w:val="21"/>
                <w:szCs w:val="21"/>
              </w:rPr>
              <w:t>个）的喷淋水量，m</w:t>
            </w:r>
            <w:r>
              <w:rPr>
                <w:rFonts w:ascii="Times New Roman" w:eastAsia="宋体"/>
                <w:b w:val="0"/>
                <w:bCs/>
                <w:color w:val="auto"/>
                <w:sz w:val="21"/>
                <w:szCs w:val="21"/>
                <w:vertAlign w:val="superscript"/>
              </w:rPr>
              <w:t>3</w:t>
            </w:r>
            <w:r>
              <w:rPr>
                <w:rFonts w:ascii="Times New Roman" w:eastAsia="宋体"/>
                <w:b w:val="0"/>
                <w:bCs/>
                <w:color w:val="auto"/>
                <w:sz w:val="21"/>
                <w:szCs w:val="21"/>
              </w:rPr>
              <w:t>；</w:t>
            </w:r>
          </w:p>
          <w:p w14:paraId="1E0F0D44">
            <w:pPr>
              <w:autoSpaceDE w:val="0"/>
              <w:autoSpaceDN w:val="0"/>
              <w:adjustRightInd w:val="0"/>
              <w:snapToGrid w:val="0"/>
              <w:spacing w:line="360" w:lineRule="auto"/>
              <w:ind w:firstLine="420" w:firstLineChars="200"/>
              <w:jc w:val="left"/>
              <w:outlineLvl w:val="3"/>
              <w:rPr>
                <w:b w:val="0"/>
                <w:bCs/>
                <w:color w:val="auto"/>
                <w:szCs w:val="21"/>
                <w:lang w:val="zh-CN"/>
              </w:rPr>
            </w:pPr>
            <w:r>
              <w:rPr>
                <w:b w:val="0"/>
                <w:bCs/>
                <w:color w:val="auto"/>
                <w:szCs w:val="21"/>
                <w:lang w:val="zh-CN"/>
              </w:rPr>
              <w:t>根据《消防给水及消火栓系统技术规范》(GB50974-2014)表 3.3.2，</w:t>
            </w:r>
            <w:r>
              <w:rPr>
                <w:rFonts w:hint="eastAsia"/>
                <w:b w:val="0"/>
                <w:bCs/>
                <w:color w:val="auto"/>
                <w:szCs w:val="21"/>
                <w:lang w:val="zh-CN"/>
              </w:rPr>
              <w:t>丁</w:t>
            </w:r>
            <w:r>
              <w:rPr>
                <w:b w:val="0"/>
                <w:bCs/>
                <w:color w:val="auto"/>
                <w:szCs w:val="21"/>
                <w:lang w:val="zh-CN"/>
              </w:rPr>
              <w:t>类厂房建筑体积最大为</w:t>
            </w:r>
            <w:r>
              <w:rPr>
                <w:rFonts w:hint="eastAsia"/>
                <w:b w:val="0"/>
                <w:bCs/>
                <w:color w:val="auto"/>
                <w:szCs w:val="21"/>
                <w:lang w:val="en-US" w:eastAsia="zh-CN"/>
              </w:rPr>
              <w:t>988</w:t>
            </w:r>
            <w:r>
              <w:rPr>
                <w:rFonts w:hint="eastAsia"/>
                <w:b w:val="0"/>
                <w:bCs/>
                <w:color w:val="auto"/>
                <w:szCs w:val="21"/>
              </w:rPr>
              <w:t>0</w:t>
            </w:r>
            <w:r>
              <w:rPr>
                <w:b w:val="0"/>
                <w:bCs/>
                <w:color w:val="auto"/>
                <w:szCs w:val="21"/>
                <w:lang w:val="zh-CN"/>
              </w:rPr>
              <w:t>m</w:t>
            </w:r>
            <w:r>
              <w:rPr>
                <w:b w:val="0"/>
                <w:bCs/>
                <w:color w:val="auto"/>
                <w:szCs w:val="21"/>
                <w:vertAlign w:val="superscript"/>
                <w:lang w:val="zh-CN"/>
              </w:rPr>
              <w:t>3</w:t>
            </w:r>
            <w:r>
              <w:rPr>
                <w:b w:val="0"/>
                <w:bCs/>
                <w:color w:val="auto"/>
                <w:szCs w:val="21"/>
                <w:lang w:val="zh-CN"/>
              </w:rPr>
              <w:t>，属于</w:t>
            </w:r>
            <w:r>
              <w:rPr>
                <w:rFonts w:hint="eastAsia"/>
                <w:b w:val="0"/>
                <w:bCs/>
                <w:color w:val="auto"/>
                <w:szCs w:val="21"/>
              </w:rPr>
              <w:t>5000＜</w:t>
            </w:r>
            <w:r>
              <w:rPr>
                <w:b w:val="0"/>
                <w:bCs/>
                <w:color w:val="auto"/>
                <w:szCs w:val="21"/>
                <w:lang w:val="zh-CN"/>
              </w:rPr>
              <w:t>V</w:t>
            </w:r>
            <w:r>
              <w:rPr>
                <w:rFonts w:hint="eastAsia"/>
                <w:b w:val="0"/>
                <w:bCs/>
                <w:color w:val="auto"/>
                <w:szCs w:val="21"/>
              </w:rPr>
              <w:t>＜2</w:t>
            </w:r>
            <w:r>
              <w:rPr>
                <w:b w:val="0"/>
                <w:bCs/>
                <w:color w:val="auto"/>
                <w:szCs w:val="21"/>
                <w:lang w:val="zh-CN"/>
              </w:rPr>
              <w:t>0000m</w:t>
            </w:r>
            <w:r>
              <w:rPr>
                <w:b w:val="0"/>
                <w:bCs/>
                <w:color w:val="auto"/>
                <w:szCs w:val="21"/>
                <w:vertAlign w:val="superscript"/>
                <w:lang w:val="zh-CN"/>
              </w:rPr>
              <w:t>3</w:t>
            </w:r>
            <w:r>
              <w:rPr>
                <w:b w:val="0"/>
                <w:bCs/>
                <w:color w:val="auto"/>
                <w:szCs w:val="21"/>
                <w:lang w:val="zh-CN"/>
              </w:rPr>
              <w:t>，</w:t>
            </w:r>
            <w:r>
              <w:rPr>
                <w:rFonts w:hint="eastAsia"/>
                <w:b w:val="0"/>
                <w:bCs/>
                <w:color w:val="auto"/>
                <w:szCs w:val="21"/>
                <w:lang w:val="zh-CN"/>
              </w:rPr>
              <w:t>建筑物室外</w:t>
            </w:r>
            <w:r>
              <w:rPr>
                <w:b w:val="0"/>
                <w:bCs/>
                <w:color w:val="auto"/>
                <w:szCs w:val="21"/>
                <w:lang w:val="zh-CN"/>
              </w:rPr>
              <w:t>事故消防给水量以</w:t>
            </w:r>
            <w:r>
              <w:rPr>
                <w:rFonts w:hint="eastAsia"/>
                <w:b w:val="0"/>
                <w:bCs/>
                <w:color w:val="auto"/>
                <w:szCs w:val="21"/>
              </w:rPr>
              <w:t>15</w:t>
            </w:r>
            <w:r>
              <w:rPr>
                <w:b w:val="0"/>
                <w:bCs/>
                <w:color w:val="auto"/>
                <w:szCs w:val="21"/>
                <w:lang w:val="zh-CN"/>
              </w:rPr>
              <w:t>L/S计；根据《建筑防火通用规范》(GB55037-2022)表10.1.5，</w:t>
            </w:r>
            <w:r>
              <w:rPr>
                <w:rFonts w:hint="eastAsia"/>
                <w:b w:val="0"/>
                <w:bCs/>
                <w:color w:val="auto"/>
                <w:szCs w:val="21"/>
                <w:lang w:val="zh-CN"/>
              </w:rPr>
              <w:t>丁类</w:t>
            </w:r>
            <w:r>
              <w:rPr>
                <w:b w:val="0"/>
                <w:bCs/>
                <w:color w:val="auto"/>
                <w:szCs w:val="21"/>
                <w:lang w:val="zh-CN"/>
              </w:rPr>
              <w:t>厂房的设计火灾延续时间以2h计，则</w:t>
            </w:r>
            <w:r>
              <w:rPr>
                <w:rFonts w:hint="eastAsia"/>
                <w:b w:val="0"/>
                <w:bCs/>
                <w:color w:val="auto"/>
                <w:szCs w:val="21"/>
                <w:lang w:val="zh-CN"/>
              </w:rPr>
              <w:t>室外</w:t>
            </w:r>
            <w:r>
              <w:rPr>
                <w:b w:val="0"/>
                <w:bCs/>
                <w:color w:val="auto"/>
                <w:szCs w:val="21"/>
                <w:lang w:val="zh-CN"/>
              </w:rPr>
              <w:t>事故消防用水量：V</w:t>
            </w:r>
            <w:r>
              <w:rPr>
                <w:rFonts w:hint="eastAsia"/>
                <w:b w:val="0"/>
                <w:bCs/>
                <w:color w:val="auto"/>
                <w:szCs w:val="21"/>
                <w:vertAlign w:val="subscript"/>
                <w:lang w:val="zh-CN"/>
              </w:rPr>
              <w:t>室外</w:t>
            </w:r>
            <w:r>
              <w:rPr>
                <w:b w:val="0"/>
                <w:bCs/>
                <w:color w:val="auto"/>
                <w:szCs w:val="21"/>
                <w:lang w:val="zh-CN"/>
              </w:rPr>
              <w:t>=</w:t>
            </w:r>
            <w:r>
              <w:rPr>
                <w:rFonts w:hint="eastAsia"/>
                <w:b w:val="0"/>
                <w:bCs/>
                <w:color w:val="auto"/>
                <w:szCs w:val="21"/>
              </w:rPr>
              <w:t>15</w:t>
            </w:r>
            <w:r>
              <w:rPr>
                <w:b w:val="0"/>
                <w:bCs/>
                <w:color w:val="auto"/>
                <w:szCs w:val="21"/>
                <w:lang w:val="zh-CN"/>
              </w:rPr>
              <w:t>×3600×</w:t>
            </w:r>
            <w:r>
              <w:rPr>
                <w:rFonts w:hint="eastAsia"/>
                <w:b w:val="0"/>
                <w:bCs/>
                <w:color w:val="auto"/>
                <w:szCs w:val="21"/>
              </w:rPr>
              <w:t>2</w:t>
            </w:r>
            <w:r>
              <w:rPr>
                <w:b w:val="0"/>
                <w:bCs/>
                <w:color w:val="auto"/>
                <w:szCs w:val="21"/>
                <w:lang w:val="zh-CN"/>
              </w:rPr>
              <w:t>/1000=1</w:t>
            </w:r>
            <w:r>
              <w:rPr>
                <w:rFonts w:hint="eastAsia"/>
                <w:b w:val="0"/>
                <w:bCs/>
                <w:color w:val="auto"/>
                <w:szCs w:val="21"/>
              </w:rPr>
              <w:t>08</w:t>
            </w:r>
            <w:r>
              <w:rPr>
                <w:b w:val="0"/>
                <w:bCs/>
                <w:color w:val="auto"/>
                <w:szCs w:val="21"/>
                <w:lang w:val="zh-CN"/>
              </w:rPr>
              <w:t>m</w:t>
            </w:r>
            <w:r>
              <w:rPr>
                <w:b w:val="0"/>
                <w:bCs/>
                <w:color w:val="auto"/>
                <w:szCs w:val="21"/>
                <w:vertAlign w:val="superscript"/>
                <w:lang w:val="zh-CN"/>
              </w:rPr>
              <w:t>3</w:t>
            </w:r>
            <w:r>
              <w:rPr>
                <w:b w:val="0"/>
                <w:bCs/>
                <w:color w:val="auto"/>
                <w:szCs w:val="21"/>
                <w:lang w:val="zh-CN"/>
              </w:rPr>
              <w:t>；</w:t>
            </w:r>
          </w:p>
          <w:p w14:paraId="0A582CBF">
            <w:pPr>
              <w:autoSpaceDE w:val="0"/>
              <w:autoSpaceDN w:val="0"/>
              <w:adjustRightInd w:val="0"/>
              <w:snapToGrid w:val="0"/>
              <w:spacing w:line="360" w:lineRule="auto"/>
              <w:ind w:firstLine="420" w:firstLineChars="200"/>
              <w:jc w:val="left"/>
              <w:outlineLvl w:val="3"/>
              <w:rPr>
                <w:b w:val="0"/>
                <w:bCs/>
                <w:color w:val="auto"/>
                <w:szCs w:val="21"/>
                <w:lang w:val="zh-CN"/>
              </w:rPr>
            </w:pPr>
            <w:r>
              <w:rPr>
                <w:b w:val="0"/>
                <w:bCs/>
                <w:color w:val="auto"/>
                <w:szCs w:val="21"/>
                <w:lang w:val="zh-CN"/>
              </w:rPr>
              <w:t>根据《消防给水及消火栓系统技术规范》(GB50974-2014)表 3.</w:t>
            </w:r>
            <w:r>
              <w:rPr>
                <w:rFonts w:hint="eastAsia"/>
                <w:b w:val="0"/>
                <w:bCs/>
                <w:color w:val="auto"/>
                <w:szCs w:val="21"/>
              </w:rPr>
              <w:t>5</w:t>
            </w:r>
            <w:r>
              <w:rPr>
                <w:b w:val="0"/>
                <w:bCs/>
                <w:color w:val="auto"/>
                <w:szCs w:val="21"/>
                <w:lang w:val="zh-CN"/>
              </w:rPr>
              <w:t>.2</w:t>
            </w:r>
            <w:r>
              <w:rPr>
                <w:rFonts w:hint="eastAsia"/>
                <w:b w:val="0"/>
                <w:bCs/>
                <w:color w:val="auto"/>
                <w:szCs w:val="21"/>
              </w:rPr>
              <w:t>建筑物室内消火栓设计流量</w:t>
            </w:r>
            <w:r>
              <w:rPr>
                <w:b w:val="0"/>
                <w:bCs/>
                <w:color w:val="auto"/>
                <w:szCs w:val="21"/>
                <w:lang w:val="zh-CN"/>
              </w:rPr>
              <w:t>，</w:t>
            </w:r>
            <w:r>
              <w:rPr>
                <w:rFonts w:hint="eastAsia"/>
                <w:b w:val="0"/>
                <w:bCs/>
                <w:color w:val="auto"/>
                <w:szCs w:val="21"/>
                <w:lang w:val="zh-CN"/>
              </w:rPr>
              <w:t>项目</w:t>
            </w:r>
            <w:r>
              <w:rPr>
                <w:rFonts w:hint="eastAsia"/>
                <w:b w:val="0"/>
                <w:bCs/>
                <w:color w:val="auto"/>
                <w:szCs w:val="21"/>
              </w:rPr>
              <w:t>丁</w:t>
            </w:r>
            <w:r>
              <w:rPr>
                <w:b w:val="0"/>
                <w:bCs/>
                <w:color w:val="auto"/>
                <w:szCs w:val="21"/>
                <w:lang w:val="zh-CN"/>
              </w:rPr>
              <w:t>类厂房</w:t>
            </w:r>
            <w:r>
              <w:rPr>
                <w:rFonts w:hint="eastAsia"/>
                <w:b w:val="0"/>
                <w:bCs/>
                <w:color w:val="auto"/>
                <w:szCs w:val="21"/>
                <w:lang w:val="zh-CN"/>
              </w:rPr>
              <w:t>高度</w:t>
            </w:r>
            <w:r>
              <w:rPr>
                <w:rFonts w:hint="eastAsia"/>
                <w:b w:val="0"/>
                <w:bCs/>
                <w:color w:val="auto"/>
                <w:szCs w:val="21"/>
              </w:rPr>
              <w:t>h≤24m</w:t>
            </w:r>
            <w:r>
              <w:rPr>
                <w:b w:val="0"/>
                <w:bCs/>
                <w:color w:val="auto"/>
                <w:szCs w:val="21"/>
                <w:lang w:val="zh-CN"/>
              </w:rPr>
              <w:t>，</w:t>
            </w:r>
            <w:r>
              <w:rPr>
                <w:rFonts w:hint="eastAsia"/>
                <w:b w:val="0"/>
                <w:bCs/>
                <w:color w:val="auto"/>
                <w:szCs w:val="21"/>
              </w:rPr>
              <w:t>消防栓设计流量</w:t>
            </w:r>
            <w:r>
              <w:rPr>
                <w:b w:val="0"/>
                <w:bCs/>
                <w:color w:val="auto"/>
                <w:szCs w:val="21"/>
                <w:lang w:val="zh-CN"/>
              </w:rPr>
              <w:t>以</w:t>
            </w:r>
            <w:r>
              <w:rPr>
                <w:rFonts w:hint="eastAsia"/>
                <w:b w:val="0"/>
                <w:bCs/>
                <w:color w:val="auto"/>
                <w:szCs w:val="21"/>
              </w:rPr>
              <w:t>10</w:t>
            </w:r>
            <w:r>
              <w:rPr>
                <w:b w:val="0"/>
                <w:bCs/>
                <w:color w:val="auto"/>
                <w:szCs w:val="21"/>
                <w:lang w:val="zh-CN"/>
              </w:rPr>
              <w:t>L/</w:t>
            </w:r>
            <w:r>
              <w:rPr>
                <w:rFonts w:hint="eastAsia"/>
                <w:b w:val="0"/>
                <w:bCs/>
                <w:color w:val="auto"/>
                <w:szCs w:val="21"/>
              </w:rPr>
              <w:t>s</w:t>
            </w:r>
            <w:r>
              <w:rPr>
                <w:b w:val="0"/>
                <w:bCs/>
                <w:color w:val="auto"/>
                <w:szCs w:val="21"/>
                <w:lang w:val="zh-CN"/>
              </w:rPr>
              <w:t>计</w:t>
            </w:r>
            <w:r>
              <w:rPr>
                <w:rFonts w:hint="eastAsia"/>
                <w:b w:val="0"/>
                <w:bCs/>
                <w:color w:val="auto"/>
                <w:szCs w:val="21"/>
                <w:lang w:val="zh-CN"/>
              </w:rPr>
              <w:t>，</w:t>
            </w:r>
            <w:r>
              <w:rPr>
                <w:rFonts w:hint="eastAsia"/>
                <w:b w:val="0"/>
                <w:bCs/>
                <w:color w:val="auto"/>
                <w:szCs w:val="21"/>
              </w:rPr>
              <w:t>使用消防水枪数1支，则设计流量为10L/s</w:t>
            </w:r>
            <w:r>
              <w:rPr>
                <w:b w:val="0"/>
                <w:bCs/>
                <w:color w:val="auto"/>
                <w:szCs w:val="21"/>
                <w:lang w:val="zh-CN"/>
              </w:rPr>
              <w:t>；设计火灾延续时间以2h计</w:t>
            </w:r>
            <w:r>
              <w:rPr>
                <w:rFonts w:hint="eastAsia"/>
                <w:b w:val="0"/>
                <w:bCs/>
                <w:color w:val="auto"/>
                <w:szCs w:val="21"/>
                <w:lang w:val="zh-CN"/>
              </w:rPr>
              <w:t>，</w:t>
            </w:r>
            <w:r>
              <w:rPr>
                <w:b w:val="0"/>
                <w:bCs/>
                <w:color w:val="auto"/>
                <w:szCs w:val="21"/>
                <w:lang w:val="zh-CN"/>
              </w:rPr>
              <w:t>则</w:t>
            </w:r>
            <w:r>
              <w:rPr>
                <w:rFonts w:hint="eastAsia"/>
                <w:b w:val="0"/>
                <w:bCs/>
                <w:color w:val="auto"/>
                <w:szCs w:val="21"/>
                <w:lang w:val="zh-CN"/>
              </w:rPr>
              <w:t>室内</w:t>
            </w:r>
            <w:r>
              <w:rPr>
                <w:b w:val="0"/>
                <w:bCs/>
                <w:color w:val="auto"/>
                <w:szCs w:val="21"/>
                <w:lang w:val="zh-CN"/>
              </w:rPr>
              <w:t>事故消防用水量：V</w:t>
            </w:r>
            <w:r>
              <w:rPr>
                <w:rFonts w:hint="eastAsia"/>
                <w:b w:val="0"/>
                <w:bCs/>
                <w:color w:val="auto"/>
                <w:szCs w:val="21"/>
                <w:vertAlign w:val="subscript"/>
                <w:lang w:val="zh-CN"/>
              </w:rPr>
              <w:t>室内</w:t>
            </w:r>
            <w:r>
              <w:rPr>
                <w:b w:val="0"/>
                <w:bCs/>
                <w:color w:val="auto"/>
                <w:szCs w:val="21"/>
                <w:lang w:val="zh-CN"/>
              </w:rPr>
              <w:t>=</w:t>
            </w:r>
            <w:r>
              <w:rPr>
                <w:rFonts w:hint="eastAsia"/>
                <w:b w:val="0"/>
                <w:bCs/>
                <w:color w:val="auto"/>
                <w:szCs w:val="21"/>
              </w:rPr>
              <w:t>10</w:t>
            </w:r>
            <w:r>
              <w:rPr>
                <w:b w:val="0"/>
                <w:bCs/>
                <w:color w:val="auto"/>
                <w:szCs w:val="21"/>
                <w:lang w:val="zh-CN"/>
              </w:rPr>
              <w:t>×3600×2/1000=</w:t>
            </w:r>
            <w:r>
              <w:rPr>
                <w:rFonts w:hint="eastAsia"/>
                <w:b w:val="0"/>
                <w:bCs/>
                <w:color w:val="auto"/>
                <w:szCs w:val="21"/>
              </w:rPr>
              <w:t>72</w:t>
            </w:r>
            <w:r>
              <w:rPr>
                <w:b w:val="0"/>
                <w:bCs/>
                <w:color w:val="auto"/>
                <w:szCs w:val="21"/>
                <w:lang w:val="zh-CN"/>
              </w:rPr>
              <w:t>m</w:t>
            </w:r>
            <w:r>
              <w:rPr>
                <w:b w:val="0"/>
                <w:bCs/>
                <w:color w:val="auto"/>
                <w:szCs w:val="21"/>
                <w:vertAlign w:val="superscript"/>
                <w:lang w:val="zh-CN"/>
              </w:rPr>
              <w:t>3</w:t>
            </w:r>
            <w:r>
              <w:rPr>
                <w:rFonts w:hint="eastAsia"/>
                <w:b w:val="0"/>
                <w:bCs/>
                <w:color w:val="auto"/>
                <w:szCs w:val="21"/>
                <w:lang w:val="zh-CN"/>
              </w:rPr>
              <w:t>。</w:t>
            </w:r>
          </w:p>
          <w:p w14:paraId="76B97205">
            <w:pPr>
              <w:autoSpaceDE w:val="0"/>
              <w:autoSpaceDN w:val="0"/>
              <w:adjustRightInd w:val="0"/>
              <w:snapToGrid w:val="0"/>
              <w:spacing w:line="360" w:lineRule="auto"/>
              <w:ind w:firstLine="420" w:firstLineChars="200"/>
              <w:jc w:val="left"/>
              <w:outlineLvl w:val="3"/>
              <w:rPr>
                <w:b w:val="0"/>
                <w:bCs/>
                <w:color w:val="auto"/>
                <w:szCs w:val="21"/>
              </w:rPr>
            </w:pPr>
            <w:r>
              <w:rPr>
                <w:b w:val="0"/>
                <w:bCs/>
                <w:color w:val="auto"/>
                <w:szCs w:val="21"/>
                <w:lang w:val="zh-CN"/>
              </w:rPr>
              <w:t>V</w:t>
            </w:r>
            <w:r>
              <w:rPr>
                <w:rFonts w:hint="eastAsia"/>
                <w:b w:val="0"/>
                <w:bCs/>
                <w:color w:val="auto"/>
                <w:szCs w:val="21"/>
                <w:vertAlign w:val="subscript"/>
                <w:lang w:val="zh-CN"/>
              </w:rPr>
              <w:t>2</w:t>
            </w:r>
            <w:r>
              <w:rPr>
                <w:b w:val="0"/>
                <w:bCs/>
                <w:color w:val="auto"/>
                <w:szCs w:val="21"/>
                <w:lang w:val="zh-CN"/>
              </w:rPr>
              <w:t>= V</w:t>
            </w:r>
            <w:r>
              <w:rPr>
                <w:rFonts w:hint="eastAsia"/>
                <w:b w:val="0"/>
                <w:bCs/>
                <w:color w:val="auto"/>
                <w:szCs w:val="21"/>
                <w:vertAlign w:val="subscript"/>
                <w:lang w:val="zh-CN"/>
              </w:rPr>
              <w:t>室外</w:t>
            </w:r>
            <w:r>
              <w:rPr>
                <w:rFonts w:hint="eastAsia"/>
                <w:b w:val="0"/>
                <w:bCs/>
                <w:color w:val="auto"/>
                <w:szCs w:val="21"/>
                <w:lang w:val="zh-CN"/>
              </w:rPr>
              <w:t>+</w:t>
            </w:r>
            <w:r>
              <w:rPr>
                <w:b w:val="0"/>
                <w:bCs/>
                <w:color w:val="auto"/>
                <w:szCs w:val="21"/>
                <w:lang w:val="zh-CN"/>
              </w:rPr>
              <w:t xml:space="preserve"> V</w:t>
            </w:r>
            <w:r>
              <w:rPr>
                <w:rFonts w:hint="eastAsia"/>
                <w:b w:val="0"/>
                <w:bCs/>
                <w:color w:val="auto"/>
                <w:szCs w:val="21"/>
                <w:vertAlign w:val="subscript"/>
                <w:lang w:val="zh-CN"/>
              </w:rPr>
              <w:t>室内</w:t>
            </w:r>
            <w:r>
              <w:rPr>
                <w:b w:val="0"/>
                <w:bCs/>
                <w:color w:val="auto"/>
                <w:szCs w:val="21"/>
                <w:lang w:val="zh-CN"/>
              </w:rPr>
              <w:t>=1</w:t>
            </w:r>
            <w:r>
              <w:rPr>
                <w:rFonts w:hint="eastAsia"/>
                <w:b w:val="0"/>
                <w:bCs/>
                <w:color w:val="auto"/>
                <w:szCs w:val="21"/>
              </w:rPr>
              <w:t>08</w:t>
            </w:r>
            <w:r>
              <w:rPr>
                <w:b w:val="0"/>
                <w:bCs/>
                <w:color w:val="auto"/>
                <w:szCs w:val="21"/>
                <w:lang w:val="zh-CN"/>
              </w:rPr>
              <w:t>m</w:t>
            </w:r>
            <w:r>
              <w:rPr>
                <w:b w:val="0"/>
                <w:bCs/>
                <w:color w:val="auto"/>
                <w:szCs w:val="21"/>
                <w:vertAlign w:val="superscript"/>
                <w:lang w:val="zh-CN"/>
              </w:rPr>
              <w:t>3</w:t>
            </w:r>
            <w:r>
              <w:rPr>
                <w:rFonts w:hint="eastAsia"/>
                <w:b w:val="0"/>
                <w:bCs/>
                <w:color w:val="auto"/>
                <w:szCs w:val="21"/>
                <w:lang w:val="zh-CN"/>
              </w:rPr>
              <w:t>+</w:t>
            </w:r>
            <w:r>
              <w:rPr>
                <w:rFonts w:hint="eastAsia"/>
                <w:b w:val="0"/>
                <w:bCs/>
                <w:color w:val="auto"/>
                <w:szCs w:val="21"/>
              </w:rPr>
              <w:t>72</w:t>
            </w:r>
            <w:r>
              <w:rPr>
                <w:b w:val="0"/>
                <w:bCs/>
                <w:color w:val="auto"/>
                <w:szCs w:val="21"/>
                <w:lang w:val="zh-CN"/>
              </w:rPr>
              <w:t>m</w:t>
            </w:r>
            <w:r>
              <w:rPr>
                <w:b w:val="0"/>
                <w:bCs/>
                <w:color w:val="auto"/>
                <w:szCs w:val="21"/>
                <w:vertAlign w:val="superscript"/>
                <w:lang w:val="zh-CN"/>
              </w:rPr>
              <w:t>3</w:t>
            </w:r>
            <w:r>
              <w:rPr>
                <w:b w:val="0"/>
                <w:bCs/>
                <w:color w:val="auto"/>
                <w:szCs w:val="21"/>
                <w:lang w:val="zh-CN"/>
              </w:rPr>
              <w:t>=</w:t>
            </w:r>
            <w:r>
              <w:rPr>
                <w:rFonts w:hint="eastAsia"/>
                <w:b w:val="0"/>
                <w:bCs/>
                <w:color w:val="auto"/>
                <w:szCs w:val="21"/>
              </w:rPr>
              <w:t>180</w:t>
            </w:r>
            <w:r>
              <w:rPr>
                <w:b w:val="0"/>
                <w:bCs/>
                <w:color w:val="auto"/>
                <w:szCs w:val="21"/>
                <w:lang w:val="zh-CN"/>
              </w:rPr>
              <w:t>m</w:t>
            </w:r>
            <w:r>
              <w:rPr>
                <w:b w:val="0"/>
                <w:bCs/>
                <w:color w:val="auto"/>
                <w:szCs w:val="21"/>
                <w:vertAlign w:val="superscript"/>
                <w:lang w:val="zh-CN"/>
              </w:rPr>
              <w:t>3</w:t>
            </w:r>
            <w:r>
              <w:rPr>
                <w:b w:val="0"/>
                <w:bCs/>
                <w:color w:val="auto"/>
                <w:szCs w:val="21"/>
                <w:lang w:val="zh-CN"/>
              </w:rPr>
              <w:t>；</w:t>
            </w:r>
          </w:p>
          <w:p w14:paraId="59BCD4F0">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V</w:t>
            </w:r>
            <w:r>
              <w:rPr>
                <w:rFonts w:ascii="Times New Roman" w:eastAsia="宋体"/>
                <w:b w:val="0"/>
                <w:bCs/>
                <w:color w:val="auto"/>
                <w:sz w:val="21"/>
                <w:szCs w:val="21"/>
                <w:vertAlign w:val="subscript"/>
              </w:rPr>
              <w:t>3</w:t>
            </w:r>
            <w:r>
              <w:rPr>
                <w:rFonts w:ascii="Times New Roman" w:eastAsia="宋体"/>
                <w:b w:val="0"/>
                <w:bCs/>
                <w:color w:val="auto"/>
                <w:sz w:val="21"/>
                <w:szCs w:val="21"/>
              </w:rPr>
              <w:t>—发生事故时可以传输到其他储存或处理设施的物料量，包括事故废水收集系统的装置或罐区围堰、防火堤内净空容量与事故废水导排管道容量之和，m</w:t>
            </w:r>
            <w:r>
              <w:rPr>
                <w:rFonts w:ascii="Times New Roman" w:eastAsia="宋体"/>
                <w:b w:val="0"/>
                <w:bCs/>
                <w:color w:val="auto"/>
                <w:sz w:val="21"/>
                <w:szCs w:val="21"/>
                <w:vertAlign w:val="superscript"/>
              </w:rPr>
              <w:t>3</w:t>
            </w:r>
            <w:r>
              <w:rPr>
                <w:rFonts w:ascii="Times New Roman" w:eastAsia="宋体"/>
                <w:b w:val="0"/>
                <w:bCs/>
                <w:color w:val="auto"/>
                <w:sz w:val="21"/>
                <w:szCs w:val="21"/>
              </w:rPr>
              <w:t>（本项目室外雨水管道直径约</w:t>
            </w:r>
            <w:r>
              <w:rPr>
                <w:rFonts w:hint="eastAsia" w:ascii="Times New Roman" w:eastAsia="宋体"/>
                <w:b w:val="0"/>
                <w:bCs/>
                <w:color w:val="auto"/>
                <w:sz w:val="21"/>
                <w:szCs w:val="21"/>
                <w:lang w:val="en-US" w:eastAsia="zh-CN"/>
              </w:rPr>
              <w:t>5</w:t>
            </w:r>
            <w:r>
              <w:rPr>
                <w:rFonts w:ascii="Times New Roman" w:eastAsia="宋体"/>
                <w:b w:val="0"/>
                <w:bCs/>
                <w:color w:val="auto"/>
                <w:sz w:val="21"/>
                <w:szCs w:val="21"/>
              </w:rPr>
              <w:t>00mm，总长约</w:t>
            </w:r>
            <w:r>
              <w:rPr>
                <w:rFonts w:hint="eastAsia" w:ascii="Times New Roman" w:eastAsia="宋体"/>
                <w:b w:val="0"/>
                <w:bCs/>
                <w:color w:val="auto"/>
                <w:sz w:val="21"/>
                <w:szCs w:val="21"/>
                <w:lang w:val="en-US" w:eastAsia="zh-CN"/>
              </w:rPr>
              <w:t>4</w:t>
            </w:r>
            <w:r>
              <w:rPr>
                <w:rFonts w:hint="eastAsia" w:ascii="Times New Roman" w:eastAsia="宋体"/>
                <w:b w:val="0"/>
                <w:bCs/>
                <w:color w:val="auto"/>
                <w:sz w:val="21"/>
                <w:szCs w:val="21"/>
              </w:rPr>
              <w:t>0</w:t>
            </w:r>
            <w:r>
              <w:rPr>
                <w:rFonts w:ascii="Times New Roman" w:eastAsia="宋体"/>
                <w:b w:val="0"/>
                <w:bCs/>
                <w:color w:val="auto"/>
                <w:sz w:val="21"/>
                <w:szCs w:val="21"/>
              </w:rPr>
              <w:t>0m，则V</w:t>
            </w:r>
            <w:r>
              <w:rPr>
                <w:rFonts w:ascii="Times New Roman" w:eastAsia="宋体"/>
                <w:b w:val="0"/>
                <w:bCs/>
                <w:color w:val="auto"/>
                <w:sz w:val="21"/>
                <w:szCs w:val="21"/>
                <w:vertAlign w:val="subscript"/>
              </w:rPr>
              <w:t>管道</w:t>
            </w:r>
            <w:r>
              <w:rPr>
                <w:rFonts w:ascii="Times New Roman" w:eastAsia="宋体"/>
                <w:b w:val="0"/>
                <w:bCs/>
                <w:color w:val="auto"/>
                <w:sz w:val="21"/>
                <w:szCs w:val="21"/>
              </w:rPr>
              <w:t>取值</w:t>
            </w:r>
            <w:r>
              <w:rPr>
                <w:rFonts w:hint="eastAsia" w:ascii="Times New Roman" w:eastAsia="宋体"/>
                <w:b w:val="0"/>
                <w:bCs/>
                <w:color w:val="auto"/>
                <w:sz w:val="21"/>
                <w:szCs w:val="21"/>
              </w:rPr>
              <w:t>约</w:t>
            </w:r>
            <w:r>
              <w:rPr>
                <w:rFonts w:ascii="Times New Roman" w:eastAsia="宋体"/>
                <w:b w:val="0"/>
                <w:bCs/>
                <w:color w:val="auto"/>
                <w:sz w:val="21"/>
                <w:szCs w:val="21"/>
              </w:rPr>
              <w:t>为</w:t>
            </w:r>
            <w:r>
              <w:rPr>
                <w:rFonts w:hint="eastAsia" w:ascii="Times New Roman" w:eastAsia="宋体"/>
                <w:b w:val="0"/>
                <w:bCs/>
                <w:color w:val="auto"/>
                <w:sz w:val="21"/>
                <w:szCs w:val="21"/>
                <w:lang w:val="en-US" w:eastAsia="zh-CN"/>
              </w:rPr>
              <w:t>78.5</w:t>
            </w:r>
            <w:r>
              <w:rPr>
                <w:rFonts w:ascii="Times New Roman" w:eastAsia="宋体"/>
                <w:b w:val="0"/>
                <w:bCs/>
                <w:color w:val="auto"/>
                <w:sz w:val="21"/>
                <w:szCs w:val="21"/>
              </w:rPr>
              <w:t>m</w:t>
            </w:r>
            <w:r>
              <w:rPr>
                <w:rFonts w:ascii="Times New Roman" w:eastAsia="宋体"/>
                <w:b w:val="0"/>
                <w:bCs/>
                <w:color w:val="auto"/>
                <w:sz w:val="21"/>
                <w:szCs w:val="21"/>
                <w:vertAlign w:val="superscript"/>
              </w:rPr>
              <w:t>3</w:t>
            </w:r>
            <w:r>
              <w:rPr>
                <w:rFonts w:ascii="Times New Roman" w:eastAsia="宋体"/>
                <w:b w:val="0"/>
                <w:bCs/>
                <w:color w:val="auto"/>
                <w:sz w:val="21"/>
                <w:szCs w:val="21"/>
              </w:rPr>
              <w:t>。则本项目V</w:t>
            </w:r>
            <w:r>
              <w:rPr>
                <w:rFonts w:ascii="Times New Roman" w:eastAsia="宋体"/>
                <w:b w:val="0"/>
                <w:bCs/>
                <w:color w:val="auto"/>
                <w:sz w:val="21"/>
                <w:szCs w:val="21"/>
                <w:vertAlign w:val="subscript"/>
              </w:rPr>
              <w:t>3</w:t>
            </w:r>
            <w:r>
              <w:rPr>
                <w:rFonts w:ascii="Times New Roman" w:eastAsia="宋体"/>
                <w:b w:val="0"/>
                <w:bCs/>
                <w:color w:val="auto"/>
                <w:sz w:val="21"/>
                <w:szCs w:val="21"/>
              </w:rPr>
              <w:t>取值为</w:t>
            </w:r>
            <w:r>
              <w:rPr>
                <w:rFonts w:hint="eastAsia" w:ascii="Times New Roman" w:eastAsia="宋体"/>
                <w:b w:val="0"/>
                <w:bCs/>
                <w:color w:val="auto"/>
                <w:sz w:val="21"/>
                <w:szCs w:val="21"/>
                <w:lang w:val="en-US" w:eastAsia="zh-CN"/>
              </w:rPr>
              <w:t>78.5</w:t>
            </w:r>
            <w:r>
              <w:rPr>
                <w:rFonts w:ascii="Times New Roman" w:eastAsia="宋体"/>
                <w:b w:val="0"/>
                <w:bCs/>
                <w:color w:val="auto"/>
                <w:sz w:val="21"/>
                <w:szCs w:val="21"/>
              </w:rPr>
              <w:t>m</w:t>
            </w:r>
            <w:r>
              <w:rPr>
                <w:rFonts w:ascii="Times New Roman" w:eastAsia="宋体"/>
                <w:b w:val="0"/>
                <w:bCs/>
                <w:color w:val="auto"/>
                <w:sz w:val="21"/>
                <w:szCs w:val="21"/>
                <w:vertAlign w:val="superscript"/>
              </w:rPr>
              <w:t>3</w:t>
            </w:r>
            <w:r>
              <w:rPr>
                <w:rFonts w:ascii="Times New Roman" w:eastAsia="宋体"/>
                <w:b w:val="0"/>
                <w:bCs/>
                <w:color w:val="auto"/>
                <w:sz w:val="21"/>
                <w:szCs w:val="21"/>
              </w:rPr>
              <w:t>）；</w:t>
            </w:r>
          </w:p>
          <w:p w14:paraId="50C0AF81">
            <w:pPr>
              <w:pStyle w:val="33"/>
              <w:snapToGrid w:val="0"/>
              <w:spacing w:after="0" w:line="360" w:lineRule="auto"/>
              <w:ind w:firstLine="420" w:firstLineChars="200"/>
              <w:jc w:val="both"/>
              <w:rPr>
                <w:rFonts w:ascii="Times New Roman" w:eastAsia="宋体"/>
                <w:b w:val="0"/>
                <w:bCs/>
                <w:color w:val="auto"/>
                <w:sz w:val="21"/>
                <w:szCs w:val="21"/>
              </w:rPr>
            </w:pPr>
            <w:r>
              <w:rPr>
                <w:rFonts w:ascii="Times New Roman" w:eastAsia="宋体"/>
                <w:b w:val="0"/>
                <w:bCs/>
                <w:color w:val="auto"/>
                <w:sz w:val="21"/>
                <w:szCs w:val="21"/>
              </w:rPr>
              <w:t>V</w:t>
            </w:r>
            <w:r>
              <w:rPr>
                <w:rFonts w:ascii="Times New Roman" w:eastAsia="宋体"/>
                <w:b w:val="0"/>
                <w:bCs/>
                <w:color w:val="auto"/>
                <w:sz w:val="21"/>
                <w:szCs w:val="21"/>
                <w:vertAlign w:val="subscript"/>
              </w:rPr>
              <w:t>4</w:t>
            </w:r>
            <w:r>
              <w:rPr>
                <w:rFonts w:ascii="Times New Roman" w:eastAsia="宋体"/>
                <w:b w:val="0"/>
                <w:bCs/>
                <w:color w:val="auto"/>
                <w:sz w:val="21"/>
                <w:szCs w:val="21"/>
              </w:rPr>
              <w:t>—发生事故时仍必须进入该收集系统的生产废水量，m</w:t>
            </w:r>
            <w:r>
              <w:rPr>
                <w:rFonts w:ascii="Times New Roman" w:eastAsia="宋体"/>
                <w:b w:val="0"/>
                <w:bCs/>
                <w:color w:val="auto"/>
                <w:sz w:val="21"/>
                <w:szCs w:val="21"/>
                <w:vertAlign w:val="superscript"/>
              </w:rPr>
              <w:t>3</w:t>
            </w:r>
            <w:r>
              <w:rPr>
                <w:rFonts w:ascii="Times New Roman" w:eastAsia="宋体"/>
                <w:b w:val="0"/>
                <w:bCs/>
                <w:color w:val="auto"/>
                <w:sz w:val="21"/>
                <w:szCs w:val="21"/>
              </w:rPr>
              <w:t>（本项目V</w:t>
            </w:r>
            <w:r>
              <w:rPr>
                <w:rFonts w:ascii="Times New Roman" w:eastAsia="宋体"/>
                <w:b w:val="0"/>
                <w:bCs/>
                <w:color w:val="auto"/>
                <w:sz w:val="21"/>
                <w:szCs w:val="21"/>
                <w:vertAlign w:val="subscript"/>
              </w:rPr>
              <w:t>4</w:t>
            </w:r>
            <w:r>
              <w:rPr>
                <w:rFonts w:ascii="Times New Roman" w:eastAsia="宋体"/>
                <w:b w:val="0"/>
                <w:bCs/>
                <w:color w:val="auto"/>
                <w:sz w:val="21"/>
                <w:szCs w:val="21"/>
              </w:rPr>
              <w:t>取0m</w:t>
            </w:r>
            <w:r>
              <w:rPr>
                <w:rFonts w:ascii="Times New Roman" w:eastAsia="宋体"/>
                <w:b w:val="0"/>
                <w:bCs/>
                <w:color w:val="auto"/>
                <w:sz w:val="21"/>
                <w:szCs w:val="21"/>
                <w:vertAlign w:val="superscript"/>
              </w:rPr>
              <w:t>3</w:t>
            </w:r>
            <w:r>
              <w:rPr>
                <w:rFonts w:ascii="Times New Roman" w:eastAsia="宋体"/>
                <w:b w:val="0"/>
                <w:bCs/>
                <w:color w:val="auto"/>
                <w:sz w:val="21"/>
                <w:szCs w:val="21"/>
              </w:rPr>
              <w:t>）；</w:t>
            </w:r>
          </w:p>
          <w:p w14:paraId="7E550391">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V</w:t>
            </w:r>
            <w:r>
              <w:rPr>
                <w:rFonts w:ascii="Times New Roman" w:eastAsia="宋体"/>
                <w:b w:val="0"/>
                <w:bCs/>
                <w:color w:val="auto"/>
                <w:sz w:val="21"/>
                <w:szCs w:val="21"/>
                <w:vertAlign w:val="subscript"/>
              </w:rPr>
              <w:t>5</w:t>
            </w:r>
            <w:r>
              <w:rPr>
                <w:rFonts w:ascii="Times New Roman" w:eastAsia="宋体"/>
                <w:b w:val="0"/>
                <w:bCs/>
                <w:color w:val="auto"/>
                <w:sz w:val="21"/>
                <w:szCs w:val="21"/>
              </w:rPr>
              <w:t>—发生事故时可能进入该废水收集系统的降雨量，m</w:t>
            </w:r>
            <w:r>
              <w:rPr>
                <w:rFonts w:ascii="Times New Roman" w:eastAsia="宋体"/>
                <w:b w:val="0"/>
                <w:bCs/>
                <w:color w:val="auto"/>
                <w:sz w:val="21"/>
                <w:szCs w:val="21"/>
                <w:vertAlign w:val="superscript"/>
              </w:rPr>
              <w:t>3</w:t>
            </w:r>
            <w:r>
              <w:rPr>
                <w:rFonts w:ascii="Times New Roman" w:eastAsia="宋体"/>
                <w:b w:val="0"/>
                <w:bCs/>
                <w:color w:val="auto"/>
                <w:sz w:val="21"/>
                <w:szCs w:val="21"/>
              </w:rPr>
              <w:t>。</w:t>
            </w:r>
          </w:p>
          <w:p w14:paraId="65A18950">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发生事故时，可能进入废水收集系统的雨水量采用如下公式：</w:t>
            </w:r>
          </w:p>
          <w:p w14:paraId="793BA94D">
            <w:pPr>
              <w:adjustRightInd w:val="0"/>
              <w:snapToGrid w:val="0"/>
              <w:spacing w:line="360" w:lineRule="auto"/>
              <w:jc w:val="center"/>
              <w:rPr>
                <w:b w:val="0"/>
                <w:bCs/>
                <w:color w:val="auto"/>
                <w:kern w:val="0"/>
                <w:szCs w:val="21"/>
              </w:rPr>
            </w:pPr>
            <w:r>
              <w:rPr>
                <w:b w:val="0"/>
                <w:bCs/>
                <w:color w:val="auto"/>
                <w:kern w:val="0"/>
                <w:szCs w:val="21"/>
              </w:rPr>
              <w:t>V</w:t>
            </w:r>
            <w:r>
              <w:rPr>
                <w:b w:val="0"/>
                <w:bCs/>
                <w:color w:val="auto"/>
                <w:kern w:val="0"/>
                <w:szCs w:val="21"/>
                <w:vertAlign w:val="subscript"/>
              </w:rPr>
              <w:t>5</w:t>
            </w:r>
            <w:r>
              <w:rPr>
                <w:b w:val="0"/>
                <w:bCs/>
                <w:color w:val="auto"/>
                <w:kern w:val="0"/>
                <w:szCs w:val="21"/>
              </w:rPr>
              <w:t>=10qF</w:t>
            </w:r>
          </w:p>
          <w:p w14:paraId="1121384D">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式中：q—降雨强度，mm；按平均日降雨量；</w:t>
            </w:r>
          </w:p>
          <w:p w14:paraId="1A9F0A9F">
            <w:pPr>
              <w:pStyle w:val="33"/>
              <w:snapToGrid w:val="0"/>
              <w:spacing w:after="0" w:line="360" w:lineRule="auto"/>
              <w:ind w:firstLine="420" w:firstLineChars="200"/>
              <w:rPr>
                <w:rFonts w:ascii="Times New Roman" w:eastAsia="宋体"/>
                <w:b w:val="0"/>
                <w:bCs/>
                <w:color w:val="auto"/>
                <w:sz w:val="21"/>
                <w:szCs w:val="21"/>
              </w:rPr>
            </w:pPr>
            <w:r>
              <w:rPr>
                <w:rFonts w:ascii="Times New Roman" w:eastAsia="宋体"/>
                <w:b w:val="0"/>
                <w:bCs/>
                <w:color w:val="auto"/>
                <w:sz w:val="21"/>
                <w:szCs w:val="21"/>
              </w:rPr>
              <w:t>F—</w:t>
            </w:r>
            <w:r>
              <w:rPr>
                <w:rFonts w:hint="eastAsia" w:ascii="Times New Roman" w:eastAsia="宋体"/>
                <w:b w:val="0"/>
                <w:bCs/>
                <w:color w:val="auto"/>
                <w:sz w:val="21"/>
                <w:szCs w:val="21"/>
              </w:rPr>
              <w:t>必须进入事故废水收集系统的雨水汇水</w:t>
            </w:r>
            <w:r>
              <w:rPr>
                <w:rFonts w:ascii="Times New Roman" w:eastAsia="宋体"/>
                <w:b w:val="0"/>
                <w:bCs/>
                <w:color w:val="auto"/>
                <w:sz w:val="21"/>
                <w:szCs w:val="21"/>
              </w:rPr>
              <w:t>面积，公顷，拟建项目</w:t>
            </w:r>
            <w:r>
              <w:rPr>
                <w:rFonts w:hint="eastAsia" w:ascii="Times New Roman" w:eastAsia="宋体"/>
                <w:b w:val="0"/>
                <w:bCs/>
                <w:color w:val="auto"/>
                <w:sz w:val="21"/>
                <w:szCs w:val="21"/>
              </w:rPr>
              <w:t>汇水</w:t>
            </w:r>
            <w:r>
              <w:rPr>
                <w:rFonts w:ascii="Times New Roman" w:eastAsia="宋体"/>
                <w:b w:val="0"/>
                <w:bCs/>
                <w:color w:val="auto"/>
                <w:sz w:val="21"/>
                <w:szCs w:val="21"/>
              </w:rPr>
              <w:t>面积约</w:t>
            </w:r>
            <w:r>
              <w:rPr>
                <w:rFonts w:hint="eastAsia" w:ascii="Times New Roman" w:eastAsia="宋体"/>
                <w:b w:val="0"/>
                <w:bCs/>
                <w:color w:val="auto"/>
                <w:sz w:val="21"/>
                <w:szCs w:val="21"/>
              </w:rPr>
              <w:t>0.1</w:t>
            </w:r>
            <w:r>
              <w:rPr>
                <w:rFonts w:hint="eastAsia" w:ascii="Times New Roman" w:eastAsia="宋体"/>
                <w:b w:val="0"/>
                <w:bCs/>
                <w:color w:val="auto"/>
                <w:sz w:val="21"/>
                <w:szCs w:val="21"/>
                <w:lang w:val="en-US" w:eastAsia="zh-CN"/>
              </w:rPr>
              <w:t>3</w:t>
            </w:r>
            <w:r>
              <w:rPr>
                <w:rFonts w:ascii="Times New Roman" w:eastAsia="宋体"/>
                <w:b w:val="0"/>
                <w:bCs/>
                <w:color w:val="auto"/>
                <w:sz w:val="21"/>
                <w:szCs w:val="21"/>
              </w:rPr>
              <w:t>公顷；</w:t>
            </w:r>
          </w:p>
          <w:p w14:paraId="651CB742">
            <w:pPr>
              <w:pStyle w:val="33"/>
              <w:snapToGrid w:val="0"/>
              <w:spacing w:after="0" w:line="360" w:lineRule="auto"/>
              <w:ind w:firstLine="420" w:firstLineChars="200"/>
              <w:rPr>
                <w:rFonts w:ascii="Times New Roman" w:eastAsia="宋体"/>
                <w:b w:val="0"/>
                <w:bCs/>
                <w:color w:val="auto"/>
                <w:sz w:val="21"/>
                <w:szCs w:val="21"/>
              </w:rPr>
            </w:pPr>
            <w:r>
              <w:rPr>
                <w:rFonts w:hint="eastAsia" w:ascii="Times New Roman" w:eastAsia="宋体"/>
                <w:b w:val="0"/>
                <w:bCs/>
                <w:color w:val="auto"/>
                <w:sz w:val="21"/>
                <w:szCs w:val="21"/>
              </w:rPr>
              <w:t>南通市多年平均降雨量为1177.6mm，多年平均降雨天数130天，计算得出日平均降雨量9.06mm</w:t>
            </w:r>
            <w:r>
              <w:rPr>
                <w:rFonts w:ascii="Times New Roman" w:eastAsia="宋体"/>
                <w:b w:val="0"/>
                <w:bCs/>
                <w:color w:val="auto"/>
                <w:sz w:val="21"/>
                <w:szCs w:val="21"/>
              </w:rPr>
              <w:t>。</w:t>
            </w:r>
          </w:p>
          <w:p w14:paraId="70C1D925">
            <w:pPr>
              <w:pStyle w:val="33"/>
              <w:snapToGrid w:val="0"/>
              <w:spacing w:after="0" w:line="360" w:lineRule="auto"/>
              <w:ind w:firstLine="420" w:firstLineChars="200"/>
              <w:rPr>
                <w:rFonts w:hint="default" w:ascii="Times New Roman" w:eastAsia="宋体"/>
                <w:b w:val="0"/>
                <w:bCs/>
                <w:color w:val="auto"/>
                <w:lang w:val="en-US" w:eastAsia="zh-CN"/>
              </w:rPr>
            </w:pPr>
            <w:r>
              <w:rPr>
                <w:rFonts w:ascii="Times New Roman"/>
                <w:b w:val="0"/>
                <w:bCs/>
                <w:color w:val="auto"/>
                <w:sz w:val="21"/>
                <w:szCs w:val="21"/>
              </w:rPr>
              <w:t>V</w:t>
            </w:r>
            <w:r>
              <w:rPr>
                <w:rFonts w:ascii="Times New Roman"/>
                <w:b w:val="0"/>
                <w:bCs/>
                <w:color w:val="auto"/>
                <w:sz w:val="21"/>
                <w:szCs w:val="21"/>
                <w:vertAlign w:val="subscript"/>
              </w:rPr>
              <w:t>5</w:t>
            </w:r>
            <w:r>
              <w:rPr>
                <w:rFonts w:ascii="Times New Roman" w:eastAsia="宋体"/>
                <w:b w:val="0"/>
                <w:bCs/>
                <w:color w:val="auto"/>
                <w:sz w:val="21"/>
                <w:szCs w:val="21"/>
              </w:rPr>
              <w:t>=10q•F =</w:t>
            </w:r>
            <w:r>
              <w:rPr>
                <w:rFonts w:hint="eastAsia" w:ascii="Times New Roman" w:eastAsia="宋体"/>
                <w:b w:val="0"/>
                <w:bCs/>
                <w:color w:val="auto"/>
                <w:sz w:val="21"/>
                <w:szCs w:val="21"/>
                <w:lang w:val="en-US" w:eastAsia="zh-CN"/>
              </w:rPr>
              <w:t>11.78</w:t>
            </w:r>
            <w:r>
              <w:rPr>
                <w:rFonts w:ascii="Times New Roman" w:eastAsia="宋体"/>
                <w:b w:val="0"/>
                <w:bCs/>
                <w:color w:val="auto"/>
                <w:sz w:val="21"/>
                <w:szCs w:val="21"/>
              </w:rPr>
              <w:t>m</w:t>
            </w:r>
            <w:r>
              <w:rPr>
                <w:rFonts w:ascii="Times New Roman" w:eastAsia="宋体"/>
                <w:b w:val="0"/>
                <w:bCs/>
                <w:color w:val="auto"/>
                <w:sz w:val="21"/>
                <w:szCs w:val="21"/>
                <w:vertAlign w:val="superscript"/>
              </w:rPr>
              <w:t>3</w:t>
            </w:r>
            <w:r>
              <w:rPr>
                <w:rFonts w:ascii="Times New Roman" w:eastAsia="宋体"/>
                <w:b w:val="0"/>
                <w:bCs/>
                <w:color w:val="auto"/>
                <w:sz w:val="21"/>
                <w:szCs w:val="21"/>
              </w:rPr>
              <w:t>。</w:t>
            </w:r>
            <w:r>
              <w:rPr>
                <w:rFonts w:hint="eastAsia" w:ascii="Times New Roman" w:eastAsia="宋体"/>
                <w:b w:val="0"/>
                <w:bCs/>
                <w:color w:val="auto"/>
                <w:sz w:val="21"/>
                <w:szCs w:val="21"/>
                <w:lang w:val="en-US" w:eastAsia="zh-CN"/>
              </w:rPr>
              <w:t xml:space="preserve">        </w:t>
            </w:r>
          </w:p>
          <w:p w14:paraId="5FC63CAB">
            <w:pPr>
              <w:adjustRightInd w:val="0"/>
              <w:snapToGrid w:val="0"/>
              <w:spacing w:line="360" w:lineRule="auto"/>
              <w:ind w:firstLine="411" w:firstLineChars="196"/>
              <w:rPr>
                <w:color w:val="auto"/>
                <w:szCs w:val="21"/>
              </w:rPr>
            </w:pPr>
            <w:r>
              <w:rPr>
                <w:b w:val="0"/>
                <w:bCs/>
                <w:color w:val="auto"/>
                <w:szCs w:val="21"/>
              </w:rPr>
              <w:t>因此，V</w:t>
            </w:r>
            <w:r>
              <w:rPr>
                <w:b w:val="0"/>
                <w:bCs/>
                <w:color w:val="auto"/>
                <w:szCs w:val="21"/>
                <w:vertAlign w:val="subscript"/>
              </w:rPr>
              <w:t>总</w:t>
            </w:r>
            <w:r>
              <w:rPr>
                <w:b w:val="0"/>
                <w:bCs/>
                <w:color w:val="auto"/>
                <w:szCs w:val="21"/>
              </w:rPr>
              <w:t>=（</w:t>
            </w:r>
            <w:r>
              <w:rPr>
                <w:rFonts w:hint="eastAsia"/>
                <w:b w:val="0"/>
                <w:bCs/>
                <w:color w:val="auto"/>
                <w:szCs w:val="21"/>
                <w:lang w:val="en-US" w:eastAsia="zh-CN"/>
              </w:rPr>
              <w:t>4</w:t>
            </w:r>
            <w:r>
              <w:rPr>
                <w:b w:val="0"/>
                <w:bCs/>
                <w:color w:val="auto"/>
                <w:szCs w:val="21"/>
              </w:rPr>
              <w:t>+</w:t>
            </w:r>
            <w:r>
              <w:rPr>
                <w:rFonts w:hint="eastAsia"/>
                <w:b w:val="0"/>
                <w:bCs/>
                <w:color w:val="auto"/>
                <w:szCs w:val="21"/>
              </w:rPr>
              <w:t>180</w:t>
            </w:r>
            <w:r>
              <w:rPr>
                <w:b w:val="0"/>
                <w:bCs/>
                <w:color w:val="auto"/>
                <w:szCs w:val="21"/>
              </w:rPr>
              <w:t>-</w:t>
            </w:r>
            <w:r>
              <w:rPr>
                <w:rFonts w:hint="eastAsia"/>
                <w:b w:val="0"/>
                <w:bCs/>
                <w:color w:val="auto"/>
                <w:szCs w:val="21"/>
                <w:lang w:val="en-US" w:eastAsia="zh-CN"/>
              </w:rPr>
              <w:t>78.5</w:t>
            </w:r>
            <w:r>
              <w:rPr>
                <w:b w:val="0"/>
                <w:bCs/>
                <w:color w:val="auto"/>
                <w:szCs w:val="21"/>
              </w:rPr>
              <w:t>）+0+</w:t>
            </w:r>
            <w:r>
              <w:rPr>
                <w:rFonts w:hint="eastAsia"/>
                <w:b w:val="0"/>
                <w:bCs/>
                <w:color w:val="auto"/>
                <w:szCs w:val="21"/>
                <w:lang w:val="en-US" w:eastAsia="zh-CN"/>
              </w:rPr>
              <w:t>11.78</w:t>
            </w:r>
            <w:r>
              <w:rPr>
                <w:b w:val="0"/>
                <w:bCs/>
                <w:color w:val="auto"/>
                <w:szCs w:val="21"/>
              </w:rPr>
              <w:t>=</w:t>
            </w:r>
            <w:r>
              <w:rPr>
                <w:rFonts w:hint="eastAsia"/>
                <w:b w:val="0"/>
                <w:bCs/>
                <w:color w:val="auto"/>
                <w:szCs w:val="21"/>
              </w:rPr>
              <w:t>1</w:t>
            </w:r>
            <w:r>
              <w:rPr>
                <w:rFonts w:hint="eastAsia"/>
                <w:b w:val="0"/>
                <w:bCs/>
                <w:color w:val="auto"/>
                <w:szCs w:val="21"/>
                <w:lang w:val="en-US" w:eastAsia="zh-CN"/>
              </w:rPr>
              <w:t>17.28</w:t>
            </w:r>
            <w:r>
              <w:rPr>
                <w:b w:val="0"/>
                <w:bCs/>
                <w:color w:val="auto"/>
                <w:szCs w:val="21"/>
              </w:rPr>
              <w:t>m</w:t>
            </w:r>
            <w:r>
              <w:rPr>
                <w:b w:val="0"/>
                <w:bCs/>
                <w:color w:val="auto"/>
                <w:szCs w:val="21"/>
                <w:vertAlign w:val="superscript"/>
              </w:rPr>
              <w:t>3</w:t>
            </w:r>
            <w:r>
              <w:rPr>
                <w:b w:val="0"/>
                <w:bCs/>
                <w:color w:val="auto"/>
                <w:szCs w:val="21"/>
              </w:rPr>
              <w:t>，</w:t>
            </w:r>
            <w:r>
              <w:rPr>
                <w:rFonts w:hint="eastAsia"/>
                <w:b w:val="0"/>
                <w:bCs/>
                <w:color w:val="auto"/>
                <w:szCs w:val="21"/>
              </w:rPr>
              <w:t>项目</w:t>
            </w:r>
            <w:r>
              <w:rPr>
                <w:rFonts w:hint="eastAsia"/>
                <w:b w:val="0"/>
                <w:bCs/>
                <w:color w:val="auto"/>
                <w:szCs w:val="21"/>
                <w:lang w:val="en-US" w:eastAsia="zh-CN"/>
              </w:rPr>
              <w:t>依托租赁方</w:t>
            </w:r>
            <w:r>
              <w:rPr>
                <w:rFonts w:hint="eastAsia" w:cs="Times New Roman"/>
                <w:color w:val="auto"/>
                <w:sz w:val="21"/>
                <w:szCs w:val="21"/>
                <w:lang w:val="en-US" w:eastAsia="zh-CN"/>
              </w:rPr>
              <w:t>南通市雨霖市政园林有限公司的</w:t>
            </w:r>
            <w:r>
              <w:rPr>
                <w:b w:val="0"/>
                <w:bCs/>
                <w:color w:val="auto"/>
                <w:szCs w:val="21"/>
              </w:rPr>
              <w:t>事故应急池</w:t>
            </w:r>
            <w:r>
              <w:rPr>
                <w:rFonts w:hint="eastAsia"/>
                <w:b w:val="0"/>
                <w:bCs/>
                <w:color w:val="auto"/>
                <w:szCs w:val="21"/>
                <w:lang w:eastAsia="zh-CN"/>
              </w:rPr>
              <w:t>（</w:t>
            </w:r>
            <w:r>
              <w:rPr>
                <w:rFonts w:hint="eastAsia"/>
                <w:b w:val="0"/>
                <w:bCs/>
                <w:color w:val="auto"/>
                <w:szCs w:val="21"/>
              </w:rPr>
              <w:t>1</w:t>
            </w:r>
            <w:r>
              <w:rPr>
                <w:rFonts w:hint="eastAsia"/>
                <w:b w:val="0"/>
                <w:bCs/>
                <w:color w:val="auto"/>
                <w:szCs w:val="21"/>
                <w:lang w:val="en-US" w:eastAsia="zh-CN"/>
              </w:rPr>
              <w:t>40</w:t>
            </w:r>
            <w:r>
              <w:rPr>
                <w:b w:val="0"/>
                <w:bCs/>
                <w:color w:val="auto"/>
                <w:szCs w:val="21"/>
              </w:rPr>
              <w:t>m</w:t>
            </w:r>
            <w:r>
              <w:rPr>
                <w:b w:val="0"/>
                <w:bCs/>
                <w:color w:val="auto"/>
                <w:szCs w:val="21"/>
                <w:vertAlign w:val="superscript"/>
              </w:rPr>
              <w:t>3</w:t>
            </w:r>
            <w:r>
              <w:rPr>
                <w:rFonts w:hint="eastAsia"/>
                <w:b w:val="0"/>
                <w:bCs/>
                <w:color w:val="auto"/>
                <w:szCs w:val="21"/>
                <w:lang w:eastAsia="zh-CN"/>
              </w:rPr>
              <w:t>）</w:t>
            </w:r>
            <w:r>
              <w:rPr>
                <w:b w:val="0"/>
                <w:bCs/>
                <w:color w:val="auto"/>
                <w:szCs w:val="21"/>
              </w:rPr>
              <w:t>，</w:t>
            </w:r>
            <w:r>
              <w:rPr>
                <w:rFonts w:hint="eastAsia"/>
                <w:b w:val="0"/>
                <w:bCs/>
                <w:color w:val="auto"/>
                <w:szCs w:val="21"/>
                <w:lang w:val="en-US" w:eastAsia="zh-CN"/>
              </w:rPr>
              <w:t>租赁方应急池</w:t>
            </w:r>
            <w:r>
              <w:rPr>
                <w:b w:val="0"/>
                <w:bCs/>
                <w:color w:val="auto"/>
                <w:szCs w:val="21"/>
              </w:rPr>
              <w:t>容量能够满足场地内消防水量</w:t>
            </w:r>
            <w:r>
              <w:rPr>
                <w:color w:val="auto"/>
                <w:szCs w:val="21"/>
              </w:rPr>
              <w:t>。</w:t>
            </w:r>
          </w:p>
          <w:p w14:paraId="24B6C37B">
            <w:pPr>
              <w:adjustRightInd w:val="0"/>
              <w:snapToGrid w:val="0"/>
              <w:spacing w:line="360" w:lineRule="auto"/>
              <w:ind w:firstLine="422" w:firstLineChars="200"/>
              <w:rPr>
                <w:b/>
                <w:color w:val="auto"/>
                <w:kern w:val="0"/>
                <w:szCs w:val="21"/>
              </w:rPr>
            </w:pPr>
            <w:bookmarkStart w:id="9" w:name="_Toc133312150"/>
            <w:bookmarkStart w:id="10" w:name="_Hlk50911608"/>
            <w:r>
              <w:rPr>
                <w:rFonts w:hint="eastAsia"/>
                <w:b/>
                <w:color w:val="auto"/>
                <w:lang w:val="en-US" w:eastAsia="zh-CN"/>
              </w:rPr>
              <w:t>7</w:t>
            </w:r>
            <w:r>
              <w:rPr>
                <w:rFonts w:hint="eastAsia"/>
                <w:b/>
                <w:color w:val="auto"/>
              </w:rPr>
              <w:t>.</w:t>
            </w:r>
            <w:bookmarkEnd w:id="9"/>
            <w:bookmarkEnd w:id="10"/>
            <w:r>
              <w:rPr>
                <w:rFonts w:hint="eastAsia"/>
                <w:b/>
                <w:color w:val="auto"/>
                <w:lang w:val="en-US" w:eastAsia="zh-CN"/>
              </w:rPr>
              <w:t>5</w:t>
            </w:r>
            <w:r>
              <w:rPr>
                <w:rFonts w:hint="eastAsia"/>
                <w:b/>
                <w:color w:val="auto"/>
                <w:kern w:val="0"/>
                <w:szCs w:val="21"/>
              </w:rPr>
              <w:t>三级防控措施</w:t>
            </w:r>
          </w:p>
          <w:p w14:paraId="54704E3F">
            <w:pPr>
              <w:adjustRightInd w:val="0"/>
              <w:snapToGrid w:val="0"/>
              <w:spacing w:line="360" w:lineRule="auto"/>
              <w:ind w:firstLine="420" w:firstLineChars="200"/>
              <w:rPr>
                <w:color w:val="auto"/>
                <w:kern w:val="0"/>
                <w:szCs w:val="21"/>
              </w:rPr>
            </w:pPr>
            <w:r>
              <w:rPr>
                <w:rFonts w:hint="eastAsia"/>
                <w:color w:val="auto"/>
                <w:kern w:val="0"/>
                <w:szCs w:val="21"/>
              </w:rPr>
              <w:t>为了最大程度降低建设项目事故发生时对水环境的影响，对建设项目的事故废水将采取三级防控措施。</w:t>
            </w:r>
          </w:p>
          <w:p w14:paraId="58076436">
            <w:pPr>
              <w:adjustRightInd w:val="0"/>
              <w:snapToGrid w:val="0"/>
              <w:spacing w:line="360" w:lineRule="auto"/>
              <w:ind w:firstLine="420" w:firstLineChars="200"/>
              <w:rPr>
                <w:rFonts w:hint="eastAsia"/>
                <w:color w:val="auto"/>
                <w:kern w:val="0"/>
                <w:szCs w:val="21"/>
              </w:rPr>
            </w:pPr>
            <w:r>
              <w:rPr>
                <w:rFonts w:hint="eastAsia"/>
                <w:color w:val="auto"/>
                <w:kern w:val="0"/>
                <w:szCs w:val="21"/>
              </w:rPr>
              <w:t>一级防控措施：各生产车间液体物质底部设有防渗托盘，少量泄漏时，防渗托盘可及时收集，若少量泄漏到地面，使用应急沙及时收集。</w:t>
            </w:r>
          </w:p>
          <w:p w14:paraId="34EAC4F5">
            <w:pPr>
              <w:adjustRightInd w:val="0"/>
              <w:snapToGrid w:val="0"/>
              <w:spacing w:line="360" w:lineRule="auto"/>
              <w:ind w:firstLine="420" w:firstLineChars="200"/>
              <w:rPr>
                <w:color w:val="auto"/>
                <w:kern w:val="0"/>
                <w:szCs w:val="21"/>
              </w:rPr>
            </w:pPr>
            <w:r>
              <w:rPr>
                <w:rFonts w:hint="eastAsia"/>
                <w:color w:val="auto"/>
                <w:kern w:val="0"/>
                <w:szCs w:val="21"/>
              </w:rPr>
              <w:t>同时，厂区发生事故时，切断事故废水与外部的连接通道，导入污水处理系统，将污染控制在厂区内，同时在厂区雨水排口需设置</w:t>
            </w:r>
            <w:r>
              <w:rPr>
                <w:color w:val="auto"/>
                <w:kern w:val="0"/>
                <w:szCs w:val="21"/>
              </w:rPr>
              <w:t>1</w:t>
            </w:r>
            <w:r>
              <w:rPr>
                <w:rFonts w:hint="eastAsia"/>
                <w:color w:val="auto"/>
                <w:kern w:val="0"/>
                <w:szCs w:val="21"/>
              </w:rPr>
              <w:t>个自动式切换闸门，事故工况下关闭闸阀，防止事故工况下废水外溢至厂区外造成环境污染。</w:t>
            </w:r>
          </w:p>
          <w:p w14:paraId="3E58EE1F">
            <w:pPr>
              <w:adjustRightInd w:val="0"/>
              <w:snapToGrid w:val="0"/>
              <w:spacing w:line="360" w:lineRule="auto"/>
              <w:ind w:firstLine="420" w:firstLineChars="200"/>
              <w:rPr>
                <w:color w:val="auto"/>
                <w:kern w:val="0"/>
                <w:szCs w:val="21"/>
              </w:rPr>
            </w:pPr>
            <w:r>
              <w:rPr>
                <w:rFonts w:hint="eastAsia"/>
                <w:color w:val="auto"/>
                <w:kern w:val="0"/>
                <w:szCs w:val="21"/>
              </w:rPr>
              <w:t>二级防控措施：厂区需设置</w:t>
            </w:r>
            <w:r>
              <w:rPr>
                <w:color w:val="auto"/>
                <w:kern w:val="0"/>
                <w:szCs w:val="21"/>
              </w:rPr>
              <w:t>1</w:t>
            </w:r>
            <w:r>
              <w:rPr>
                <w:rFonts w:hint="eastAsia"/>
                <w:color w:val="auto"/>
                <w:kern w:val="0"/>
                <w:szCs w:val="21"/>
              </w:rPr>
              <w:t>座事故应急池，将事故状态下的各类废水收集至事故池内，将污染控制在厂区内，防止生产事故泄漏物料和事故废水造成的环境污染。万一有消防废水溢出雨水管道，进入市政雨水管网，采样封堵气囊进行封堵。</w:t>
            </w:r>
          </w:p>
          <w:p w14:paraId="2B357DF4">
            <w:pPr>
              <w:adjustRightInd w:val="0"/>
              <w:snapToGrid w:val="0"/>
              <w:spacing w:line="360" w:lineRule="auto"/>
              <w:ind w:firstLine="420" w:firstLineChars="200"/>
              <w:rPr>
                <w:color w:val="auto"/>
                <w:kern w:val="0"/>
                <w:szCs w:val="21"/>
              </w:rPr>
            </w:pPr>
            <w:r>
              <w:rPr>
                <w:rFonts w:hint="eastAsia" w:cs="Times New Roman"/>
                <w:color w:val="auto"/>
                <w:sz w:val="21"/>
                <w:szCs w:val="21"/>
                <w:lang w:val="en-US" w:eastAsia="zh-CN"/>
              </w:rPr>
              <w:t>南通市雨霖市政园林有限公司</w:t>
            </w:r>
            <w:r>
              <w:rPr>
                <w:rFonts w:hint="eastAsia"/>
                <w:color w:val="auto"/>
                <w:kern w:val="0"/>
                <w:szCs w:val="21"/>
              </w:rPr>
              <w:t>全厂事故废水截留、收集、转输、暂存示意图见图4.2-1。</w:t>
            </w:r>
          </w:p>
          <w:p w14:paraId="13236CD8">
            <w:pPr>
              <w:pStyle w:val="4"/>
              <w:jc w:val="center"/>
              <w:rPr>
                <w:color w:val="auto"/>
                <w:kern w:val="0"/>
                <w:sz w:val="21"/>
                <w:szCs w:val="21"/>
              </w:rPr>
            </w:pPr>
            <w:r>
              <w:rPr>
                <w:b/>
                <w:bCs/>
                <w:color w:val="auto"/>
                <w:kern w:val="0"/>
                <w:sz w:val="21"/>
                <w:szCs w:val="21"/>
              </w:rPr>
              <mc:AlternateContent>
                <mc:Choice Requires="wps">
                  <w:drawing>
                    <wp:anchor distT="0" distB="0" distL="114300" distR="114300" simplePos="0" relativeHeight="251677696" behindDoc="0" locked="0" layoutInCell="1" allowOverlap="1">
                      <wp:simplePos x="0" y="0"/>
                      <wp:positionH relativeFrom="column">
                        <wp:posOffset>4147820</wp:posOffset>
                      </wp:positionH>
                      <wp:positionV relativeFrom="paragraph">
                        <wp:posOffset>920750</wp:posOffset>
                      </wp:positionV>
                      <wp:extent cx="542290" cy="457200"/>
                      <wp:effectExtent l="4445" t="4445" r="5715" b="14605"/>
                      <wp:wrapNone/>
                      <wp:docPr id="4" name="文本框 4"/>
                      <wp:cNvGraphicFramePr/>
                      <a:graphic xmlns:a="http://schemas.openxmlformats.org/drawingml/2006/main">
                        <a:graphicData uri="http://schemas.microsoft.com/office/word/2010/wordprocessingShape">
                          <wps:wsp>
                            <wps:cNvSpPr txBox="1"/>
                            <wps:spPr>
                              <a:xfrm>
                                <a:off x="0" y="0"/>
                                <a:ext cx="54229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77CEE2">
                                  <w:r>
                                    <w:rPr>
                                      <w:rFonts w:hint="eastAsia"/>
                                    </w:rPr>
                                    <w:t>厂外</w:t>
                                  </w:r>
                                </w:p>
                              </w:txbxContent>
                            </wps:txbx>
                            <wps:bodyPr upright="1"/>
                          </wps:wsp>
                        </a:graphicData>
                      </a:graphic>
                    </wp:anchor>
                  </w:drawing>
                </mc:Choice>
                <mc:Fallback>
                  <w:pict>
                    <v:shape id="_x0000_s1026" o:spid="_x0000_s1026" o:spt="202" type="#_x0000_t202" style="position:absolute;left:0pt;margin-left:326.6pt;margin-top:72.5pt;height:36pt;width:42.7pt;z-index:251677696;mso-width-relative:page;mso-height-relative:page;" fillcolor="#FFFFFF" filled="t" stroked="t" coordsize="21600,21600" o:gfxdata="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b6BTaAAAACwEAAA8AAAAAAAAAAQAgAAAA&#10;IgAAAGRycy9kb3ducmV2LnhtbFBLAQIUABQAAAAIAIdO4kCbcORpCQIAADUEAAAOAAAAAAAAAAEA&#10;IAAAACkBAABkcnMvZTJvRG9jLnhtbFBLBQYAAAAABgAGAFkBAACkBQAAAAA=&#10;">
                      <v:fill on="t" focussize="0,0"/>
                      <v:stroke color="#000000" joinstyle="miter"/>
                      <v:imagedata o:title=""/>
                      <o:lock v:ext="edit" aspectratio="f"/>
                      <v:textbox>
                        <w:txbxContent>
                          <w:p w14:paraId="3177CEE2">
                            <w:r>
                              <w:rPr>
                                <w:rFonts w:hint="eastAsia"/>
                              </w:rPr>
                              <w:t>厂外</w:t>
                            </w:r>
                          </w:p>
                        </w:txbxContent>
                      </v:textbox>
                    </v:shape>
                  </w:pict>
                </mc:Fallback>
              </mc:AlternateContent>
            </w:r>
            <w:r>
              <w:rPr>
                <w:b/>
                <w:bCs/>
                <w:color w:val="auto"/>
                <w:kern w:val="0"/>
                <w:sz w:val="21"/>
                <w:szCs w:val="21"/>
              </w:rPr>
              <mc:AlternateContent>
                <mc:Choice Requires="wps">
                  <w:drawing>
                    <wp:anchor distT="0" distB="0" distL="114300" distR="114300" simplePos="0" relativeHeight="251676672" behindDoc="0" locked="0" layoutInCell="1" allowOverlap="1">
                      <wp:simplePos x="0" y="0"/>
                      <wp:positionH relativeFrom="column">
                        <wp:posOffset>3816985</wp:posOffset>
                      </wp:positionH>
                      <wp:positionV relativeFrom="paragraph">
                        <wp:posOffset>1292225</wp:posOffset>
                      </wp:positionV>
                      <wp:extent cx="287020" cy="361315"/>
                      <wp:effectExtent l="0" t="3175" r="17780" b="16510"/>
                      <wp:wrapNone/>
                      <wp:docPr id="2" name="直接箭头连接符 2"/>
                      <wp:cNvGraphicFramePr/>
                      <a:graphic xmlns:a="http://schemas.openxmlformats.org/drawingml/2006/main">
                        <a:graphicData uri="http://schemas.microsoft.com/office/word/2010/wordprocessingShape">
                          <wps:wsp>
                            <wps:cNvCnPr/>
                            <wps:spPr>
                              <a:xfrm flipH="1">
                                <a:off x="0" y="0"/>
                                <a:ext cx="287020" cy="3613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00.55pt;margin-top:101.75pt;height:28.45pt;width:22.6pt;z-index:251676672;mso-width-relative:page;mso-height-relative:page;" filled="f" stroked="t" coordsize="21600,21600" o:gfxdata="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KPJpTaAAAACwEAAA8AAAAAAAAA&#10;AQAgAAAAIgAAAGRycy9kb3ducmV2LnhtbFBLAQIUABQAAAAIAIdO4kBSjGqSDwIAAP4DAAAOAAAA&#10;AAAAAAEAIAAAACkBAABkcnMvZTJvRG9jLnhtbFBLBQYAAAAABgAGAFkBAACqBQAAAAA=&#10;">
                      <v:fill on="f" focussize="0,0"/>
                      <v:stroke color="#000000" joinstyle="round" endarrow="block"/>
                      <v:imagedata o:title=""/>
                      <o:lock v:ext="edit" aspectratio="f"/>
                    </v:shape>
                  </w:pict>
                </mc:Fallback>
              </mc:AlternateContent>
            </w:r>
            <w:r>
              <w:rPr>
                <w:b/>
                <w:bCs/>
                <w:color w:val="auto"/>
                <w:kern w:val="0"/>
                <w:sz w:val="21"/>
                <w:szCs w:val="21"/>
              </w:rPr>
              <mc:AlternateContent>
                <mc:Choice Requires="wps">
                  <w:drawing>
                    <wp:anchor distT="0" distB="0" distL="114300" distR="114300" simplePos="0" relativeHeight="251675648" behindDoc="0" locked="0" layoutInCell="1" allowOverlap="1">
                      <wp:simplePos x="0" y="0"/>
                      <wp:positionH relativeFrom="column">
                        <wp:posOffset>1819910</wp:posOffset>
                      </wp:positionH>
                      <wp:positionV relativeFrom="paragraph">
                        <wp:posOffset>1558290</wp:posOffset>
                      </wp:positionV>
                      <wp:extent cx="1978025" cy="659130"/>
                      <wp:effectExtent l="4445" t="4445" r="17780" b="22225"/>
                      <wp:wrapNone/>
                      <wp:docPr id="6" name="矩形 6"/>
                      <wp:cNvGraphicFramePr/>
                      <a:graphic xmlns:a="http://schemas.openxmlformats.org/drawingml/2006/main">
                        <a:graphicData uri="http://schemas.microsoft.com/office/word/2010/wordprocessingShape">
                          <wps:wsp>
                            <wps:cNvSpPr/>
                            <wps:spPr>
                              <a:xfrm>
                                <a:off x="0" y="0"/>
                                <a:ext cx="1978025" cy="6591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43.3pt;margin-top:122.7pt;height:51.9pt;width:155.75pt;z-index:251675648;mso-width-relative:page;mso-height-relative:page;" filled="f" stroked="t" coordsize="21600,21600" o:gfxdata="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4qNoAAAALAQAADwAAAAAAAAABACAAAAAiAAAAZHJzL2Rvd25yZXYueG1s&#10;UEsBAhQAFAAAAAgAh07iQBIk0dj2AQAA9QMAAA4AAAAAAAAAAQAgAAAAKQEAAGRycy9lMm9Eb2Mu&#10;eG1sUEsFBgAAAAAGAAYAWQEAAJEFAAAAAA==&#10;">
                      <v:fill on="f" focussize="0,0"/>
                      <v:stroke color="#000000" joinstyle="miter"/>
                      <v:imagedata o:title=""/>
                      <o:lock v:ext="edit" aspectratio="f"/>
                    </v:rect>
                  </w:pict>
                </mc:Fallback>
              </mc:AlternateContent>
            </w:r>
            <w:r>
              <w:rPr>
                <w:b/>
                <w:bCs/>
                <w:color w:val="auto"/>
                <w:kern w:val="0"/>
                <w:sz w:val="21"/>
                <w:szCs w:val="21"/>
              </w:rPr>
              <w:drawing>
                <wp:inline distT="0" distB="0" distL="114300" distR="114300">
                  <wp:extent cx="2105025" cy="1965960"/>
                  <wp:effectExtent l="0" t="0" r="952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105025" cy="1965960"/>
                          </a:xfrm>
                          <a:prstGeom prst="rect">
                            <a:avLst/>
                          </a:prstGeom>
                          <a:noFill/>
                          <a:ln>
                            <a:noFill/>
                          </a:ln>
                        </pic:spPr>
                      </pic:pic>
                    </a:graphicData>
                  </a:graphic>
                </wp:inline>
              </w:drawing>
            </w:r>
          </w:p>
          <w:p w14:paraId="2A95763C">
            <w:pPr>
              <w:adjustRightInd w:val="0"/>
              <w:snapToGrid w:val="0"/>
              <w:spacing w:line="360" w:lineRule="auto"/>
              <w:jc w:val="center"/>
              <w:rPr>
                <w:b/>
                <w:color w:val="auto"/>
                <w:kern w:val="0"/>
                <w:szCs w:val="21"/>
              </w:rPr>
            </w:pPr>
            <w:r>
              <w:rPr>
                <w:rFonts w:hint="eastAsia"/>
                <w:b/>
                <w:color w:val="auto"/>
                <w:kern w:val="0"/>
                <w:szCs w:val="21"/>
              </w:rPr>
              <w:t>图4-</w:t>
            </w:r>
            <w:r>
              <w:rPr>
                <w:rFonts w:hint="eastAsia"/>
                <w:b/>
                <w:color w:val="auto"/>
                <w:kern w:val="0"/>
                <w:szCs w:val="21"/>
                <w:lang w:val="en-US" w:eastAsia="zh-CN"/>
              </w:rPr>
              <w:t>6</w:t>
            </w:r>
            <w:r>
              <w:rPr>
                <w:rFonts w:hint="eastAsia"/>
                <w:b/>
                <w:color w:val="auto"/>
                <w:kern w:val="0"/>
                <w:szCs w:val="21"/>
              </w:rPr>
              <w:t>全厂事故废水截留、收集、转输、暂存示意图</w:t>
            </w:r>
          </w:p>
          <w:p w14:paraId="3ADB9514">
            <w:pPr>
              <w:adjustRightInd w:val="0"/>
              <w:snapToGrid w:val="0"/>
              <w:spacing w:line="360" w:lineRule="auto"/>
              <w:ind w:firstLine="420" w:firstLineChars="200"/>
              <w:rPr>
                <w:color w:val="auto"/>
                <w:kern w:val="0"/>
                <w:szCs w:val="21"/>
              </w:rPr>
            </w:pPr>
            <w:r>
              <w:rPr>
                <w:rFonts w:hint="eastAsia"/>
                <w:color w:val="auto"/>
                <w:kern w:val="0"/>
                <w:szCs w:val="21"/>
              </w:rPr>
              <w:t>①正常生产情况下，阀门</w:t>
            </w:r>
            <w:r>
              <w:rPr>
                <w:color w:val="auto"/>
                <w:kern w:val="0"/>
                <w:szCs w:val="21"/>
              </w:rPr>
              <w:t>1</w:t>
            </w:r>
            <w:r>
              <w:rPr>
                <w:rFonts w:hint="eastAsia"/>
                <w:color w:val="auto"/>
                <w:kern w:val="0"/>
                <w:szCs w:val="21"/>
              </w:rPr>
              <w:t>打开；阀门2常闭；</w:t>
            </w:r>
          </w:p>
          <w:p w14:paraId="24E35D4E">
            <w:pPr>
              <w:adjustRightInd w:val="0"/>
              <w:snapToGrid w:val="0"/>
              <w:spacing w:line="360" w:lineRule="auto"/>
              <w:ind w:firstLine="420" w:firstLineChars="200"/>
              <w:rPr>
                <w:color w:val="auto"/>
                <w:kern w:val="0"/>
                <w:szCs w:val="21"/>
              </w:rPr>
            </w:pPr>
            <w:r>
              <w:rPr>
                <w:rFonts w:hint="eastAsia"/>
                <w:color w:val="auto"/>
                <w:kern w:val="0"/>
                <w:szCs w:val="21"/>
              </w:rPr>
              <w:t>②发生物料泄漏及火灾、爆炸等事故时，阀门1关闭，阀门2开启，装置区消防尾水等事故废水通过雨水管网收集进入事故池。</w:t>
            </w:r>
          </w:p>
          <w:p w14:paraId="6C0EDEEF">
            <w:pPr>
              <w:adjustRightInd w:val="0"/>
              <w:snapToGrid w:val="0"/>
              <w:spacing w:line="360" w:lineRule="auto"/>
              <w:ind w:firstLine="420" w:firstLineChars="200"/>
              <w:rPr>
                <w:color w:val="auto"/>
                <w:kern w:val="0"/>
                <w:szCs w:val="21"/>
              </w:rPr>
            </w:pPr>
            <w:r>
              <w:rPr>
                <w:rFonts w:hint="eastAsia"/>
                <w:color w:val="auto"/>
                <w:kern w:val="0"/>
                <w:szCs w:val="21"/>
              </w:rPr>
              <w:t>三级防控体系：企业三级防控体系充分利用</w:t>
            </w:r>
            <w:r>
              <w:rPr>
                <w:rFonts w:hint="eastAsia"/>
                <w:color w:val="auto"/>
                <w:szCs w:val="21"/>
                <w:lang w:eastAsia="zh-CN"/>
              </w:rPr>
              <w:t>城北街道</w:t>
            </w:r>
            <w:r>
              <w:rPr>
                <w:rFonts w:hint="eastAsia"/>
                <w:color w:val="auto"/>
                <w:kern w:val="0"/>
                <w:szCs w:val="21"/>
              </w:rPr>
              <w:t>资源。若雨水泄漏外溢厂区外，可采样封堵气囊封堵外部雨水管道，防止事故废水排入周边河流。</w:t>
            </w:r>
          </w:p>
          <w:p w14:paraId="2AF4D804">
            <w:pPr>
              <w:adjustRightInd w:val="0"/>
              <w:snapToGrid w:val="0"/>
              <w:spacing w:line="360" w:lineRule="auto"/>
              <w:ind w:firstLine="422" w:firstLineChars="200"/>
              <w:rPr>
                <w:b/>
                <w:color w:val="auto"/>
                <w:kern w:val="0"/>
                <w:szCs w:val="21"/>
              </w:rPr>
            </w:pPr>
            <w:r>
              <w:rPr>
                <w:rFonts w:hint="eastAsia"/>
                <w:b/>
                <w:color w:val="auto"/>
                <w:szCs w:val="21"/>
                <w:lang w:val="en-US" w:eastAsia="zh-CN"/>
              </w:rPr>
              <w:t>7.6</w:t>
            </w:r>
            <w:r>
              <w:rPr>
                <w:rFonts w:hint="eastAsia"/>
                <w:b/>
                <w:color w:val="auto"/>
                <w:kern w:val="0"/>
                <w:szCs w:val="21"/>
              </w:rPr>
              <w:t>地下水和土壤环境风险防范措施</w:t>
            </w:r>
          </w:p>
          <w:p w14:paraId="3E274E62">
            <w:pPr>
              <w:adjustRightInd w:val="0"/>
              <w:snapToGrid w:val="0"/>
              <w:spacing w:line="360" w:lineRule="auto"/>
              <w:ind w:firstLine="420" w:firstLineChars="200"/>
              <w:rPr>
                <w:color w:val="auto"/>
                <w:kern w:val="0"/>
                <w:szCs w:val="21"/>
              </w:rPr>
            </w:pPr>
            <w:r>
              <w:rPr>
                <w:rFonts w:hint="eastAsia"/>
                <w:color w:val="auto"/>
                <w:kern w:val="0"/>
                <w:szCs w:val="21"/>
              </w:rPr>
              <w:t>针对可能造成的地下水和土壤污染，项目采取“源头控制、分区防渗”措施，加强土壤和地下水环境的监控、预警：</w:t>
            </w:r>
          </w:p>
          <w:p w14:paraId="5A6FCFAF">
            <w:pPr>
              <w:adjustRightInd w:val="0"/>
              <w:snapToGrid w:val="0"/>
              <w:spacing w:line="360" w:lineRule="auto"/>
              <w:ind w:firstLine="420" w:firstLineChars="200"/>
              <w:rPr>
                <w:color w:val="auto"/>
                <w:kern w:val="0"/>
                <w:szCs w:val="21"/>
              </w:rPr>
            </w:pPr>
            <w:r>
              <w:rPr>
                <w:rFonts w:hint="eastAsia"/>
                <w:color w:val="auto"/>
                <w:kern w:val="0"/>
                <w:szCs w:val="21"/>
              </w:rPr>
              <w:t>①从源头上控制污染物产生和扩散，减少了污染物排放量。</w:t>
            </w:r>
          </w:p>
          <w:p w14:paraId="17282E2A">
            <w:pPr>
              <w:adjustRightInd w:val="0"/>
              <w:snapToGrid w:val="0"/>
              <w:spacing w:line="360" w:lineRule="auto"/>
              <w:ind w:firstLine="420" w:firstLineChars="200"/>
              <w:rPr>
                <w:color w:val="auto"/>
                <w:kern w:val="0"/>
                <w:szCs w:val="21"/>
              </w:rPr>
            </w:pPr>
            <w:r>
              <w:rPr>
                <w:rFonts w:hint="eastAsia"/>
                <w:color w:val="auto"/>
                <w:kern w:val="0"/>
                <w:szCs w:val="21"/>
              </w:rPr>
              <w:t>②对厂区可能产生污染的地面企业已经进行防渗处理，并及时地将泄漏</w:t>
            </w:r>
            <w:r>
              <w:rPr>
                <w:color w:val="auto"/>
                <w:kern w:val="0"/>
                <w:szCs w:val="21"/>
              </w:rPr>
              <w:t>/</w:t>
            </w:r>
            <w:r>
              <w:rPr>
                <w:rFonts w:hint="eastAsia"/>
                <w:color w:val="auto"/>
                <w:kern w:val="0"/>
                <w:szCs w:val="21"/>
              </w:rPr>
              <w:t>渗漏的废水收集起来进行处理，可有效防止洒落地面的废水与潜在污染物渗入地下。</w:t>
            </w:r>
          </w:p>
          <w:p w14:paraId="380EF36C">
            <w:pPr>
              <w:adjustRightInd w:val="0"/>
              <w:snapToGrid w:val="0"/>
              <w:spacing w:line="360" w:lineRule="auto"/>
              <w:ind w:firstLine="422" w:firstLineChars="200"/>
              <w:rPr>
                <w:b/>
                <w:color w:val="auto"/>
                <w:kern w:val="0"/>
                <w:szCs w:val="21"/>
              </w:rPr>
            </w:pPr>
            <w:r>
              <w:rPr>
                <w:rFonts w:hint="eastAsia" w:hAnsi="宋体"/>
                <w:b/>
                <w:color w:val="auto"/>
                <w:kern w:val="0"/>
                <w:szCs w:val="21"/>
                <w:lang w:val="en-US" w:eastAsia="zh-CN"/>
              </w:rPr>
              <w:t>7.7</w:t>
            </w:r>
            <w:r>
              <w:rPr>
                <w:rFonts w:hAnsi="宋体"/>
                <w:b/>
                <w:color w:val="auto"/>
                <w:kern w:val="0"/>
                <w:szCs w:val="21"/>
              </w:rPr>
              <w:t>危险废物环境管理风险防范措施</w:t>
            </w:r>
          </w:p>
          <w:p w14:paraId="6571BCB2">
            <w:pPr>
              <w:adjustRightInd w:val="0"/>
              <w:snapToGrid w:val="0"/>
              <w:spacing w:line="360" w:lineRule="auto"/>
              <w:ind w:firstLine="420" w:firstLineChars="200"/>
              <w:rPr>
                <w:color w:val="auto"/>
                <w:kern w:val="0"/>
                <w:szCs w:val="21"/>
              </w:rPr>
            </w:pPr>
            <w:r>
              <w:rPr>
                <w:rFonts w:hAnsi="宋体"/>
                <w:color w:val="auto"/>
                <w:kern w:val="0"/>
                <w:szCs w:val="21"/>
              </w:rPr>
              <w:t>根据公司实际情况，本评价提出如下风险防范措施：</w:t>
            </w:r>
          </w:p>
          <w:p w14:paraId="150CD751">
            <w:pPr>
              <w:adjustRightInd w:val="0"/>
              <w:snapToGrid w:val="0"/>
              <w:spacing w:line="360" w:lineRule="auto"/>
              <w:ind w:firstLine="420" w:firstLineChars="200"/>
              <w:rPr>
                <w:color w:val="auto"/>
                <w:kern w:val="0"/>
                <w:szCs w:val="21"/>
              </w:rPr>
            </w:pPr>
            <w:r>
              <w:rPr>
                <w:color w:val="auto"/>
                <w:kern w:val="0"/>
                <w:szCs w:val="21"/>
              </w:rPr>
              <w:t>1</w:t>
            </w:r>
            <w:r>
              <w:rPr>
                <w:rFonts w:hAnsi="宋体"/>
                <w:color w:val="auto"/>
                <w:kern w:val="0"/>
                <w:szCs w:val="21"/>
              </w:rPr>
              <w:t>）加强管理工作，设专人负责危险废物的安全贮存、厂区内运输以及使用，按照其物化性质、危险特性等特征采取相应的安全贮存方式。</w:t>
            </w:r>
          </w:p>
          <w:p w14:paraId="27775FC5">
            <w:pPr>
              <w:adjustRightInd w:val="0"/>
              <w:snapToGrid w:val="0"/>
              <w:spacing w:line="360" w:lineRule="auto"/>
              <w:ind w:firstLine="420" w:firstLineChars="200"/>
              <w:rPr>
                <w:color w:val="auto"/>
                <w:kern w:val="0"/>
                <w:szCs w:val="21"/>
              </w:rPr>
            </w:pPr>
            <w:r>
              <w:rPr>
                <w:color w:val="auto"/>
                <w:kern w:val="0"/>
                <w:szCs w:val="21"/>
              </w:rPr>
              <w:t>2</w:t>
            </w:r>
            <w:r>
              <w:rPr>
                <w:rFonts w:hAnsi="宋体"/>
                <w:color w:val="auto"/>
                <w:kern w:val="0"/>
                <w:szCs w:val="21"/>
              </w:rPr>
              <w:t>）针对危险废物的贮存、运输制定安全条例。</w:t>
            </w:r>
          </w:p>
          <w:p w14:paraId="19D4B353">
            <w:pPr>
              <w:snapToGrid w:val="0"/>
              <w:spacing w:line="360" w:lineRule="auto"/>
              <w:ind w:firstLine="420" w:firstLineChars="200"/>
              <w:rPr>
                <w:color w:val="auto"/>
                <w:kern w:val="0"/>
                <w:szCs w:val="21"/>
              </w:rPr>
            </w:pPr>
            <w:r>
              <w:rPr>
                <w:color w:val="auto"/>
                <w:kern w:val="0"/>
                <w:szCs w:val="21"/>
              </w:rPr>
              <w:t>3</w:t>
            </w:r>
            <w:r>
              <w:rPr>
                <w:rFonts w:hAnsi="宋体"/>
                <w:color w:val="auto"/>
                <w:kern w:val="0"/>
                <w:szCs w:val="21"/>
              </w:rPr>
              <w:t>）制定严格的操作规程，操作人员进行必要的培训后方可进行使用。</w:t>
            </w:r>
          </w:p>
          <w:p w14:paraId="466972D3">
            <w:pPr>
              <w:snapToGrid w:val="0"/>
              <w:spacing w:line="360" w:lineRule="auto"/>
              <w:ind w:firstLine="420" w:firstLineChars="200"/>
              <w:rPr>
                <w:color w:val="auto"/>
                <w:kern w:val="0"/>
                <w:szCs w:val="21"/>
              </w:rPr>
            </w:pPr>
            <w:r>
              <w:rPr>
                <w:color w:val="auto"/>
                <w:kern w:val="0"/>
                <w:szCs w:val="21"/>
              </w:rPr>
              <w:t>4</w:t>
            </w:r>
            <w:r>
              <w:rPr>
                <w:rFonts w:hAnsi="宋体"/>
                <w:color w:val="auto"/>
                <w:kern w:val="0"/>
                <w:szCs w:val="21"/>
              </w:rPr>
              <w:t>）制定突发环境事故应急预案，一旦发生事故后能够及时采取有效措施进行科学处置，将事故破坏降至最低限度，同时考虑各种处置方案的科学合理性以及有效性。</w:t>
            </w:r>
          </w:p>
          <w:p w14:paraId="348D1A71">
            <w:pPr>
              <w:snapToGrid w:val="0"/>
              <w:spacing w:line="360" w:lineRule="auto"/>
              <w:ind w:firstLine="422" w:firstLineChars="200"/>
              <w:rPr>
                <w:b/>
                <w:color w:val="auto"/>
                <w:kern w:val="0"/>
                <w:szCs w:val="21"/>
              </w:rPr>
            </w:pPr>
            <w:r>
              <w:rPr>
                <w:rFonts w:hint="eastAsia" w:hAnsi="宋体"/>
                <w:b/>
                <w:color w:val="auto"/>
                <w:kern w:val="0"/>
                <w:szCs w:val="21"/>
                <w:lang w:val="en-US" w:eastAsia="zh-CN"/>
              </w:rPr>
              <w:t>7.8</w:t>
            </w:r>
            <w:r>
              <w:rPr>
                <w:rFonts w:hAnsi="宋体"/>
                <w:b/>
                <w:color w:val="auto"/>
                <w:kern w:val="0"/>
                <w:szCs w:val="21"/>
              </w:rPr>
              <w:t>环境风险监控措施</w:t>
            </w:r>
          </w:p>
          <w:p w14:paraId="09E18AB0">
            <w:pPr>
              <w:snapToGrid w:val="0"/>
              <w:spacing w:line="360" w:lineRule="auto"/>
              <w:ind w:firstLine="420" w:firstLineChars="200"/>
              <w:rPr>
                <w:color w:val="auto"/>
                <w:kern w:val="0"/>
                <w:szCs w:val="21"/>
              </w:rPr>
            </w:pPr>
            <w:r>
              <w:rPr>
                <w:rFonts w:hAnsi="宋体"/>
                <w:color w:val="auto"/>
                <w:kern w:val="0"/>
                <w:szCs w:val="21"/>
              </w:rPr>
              <w:t>公司目前对环境风险源的监控主要采用人工监控与自动监控相结合的方式，公司安排专职人员进行</w:t>
            </w:r>
            <w:r>
              <w:rPr>
                <w:color w:val="auto"/>
                <w:kern w:val="0"/>
                <w:szCs w:val="21"/>
              </w:rPr>
              <w:t>24</w:t>
            </w:r>
            <w:r>
              <w:rPr>
                <w:rFonts w:hAnsi="宋体"/>
                <w:color w:val="auto"/>
                <w:kern w:val="0"/>
                <w:szCs w:val="21"/>
              </w:rPr>
              <w:t>小时值班，并在厂区内部安装</w:t>
            </w:r>
            <w:r>
              <w:rPr>
                <w:color w:val="auto"/>
                <w:kern w:val="0"/>
                <w:szCs w:val="21"/>
              </w:rPr>
              <w:t>24</w:t>
            </w:r>
            <w:r>
              <w:rPr>
                <w:rFonts w:hAnsi="宋体"/>
                <w:color w:val="auto"/>
                <w:kern w:val="0"/>
                <w:szCs w:val="21"/>
              </w:rPr>
              <w:t>小时自动监控系统。</w:t>
            </w:r>
          </w:p>
          <w:p w14:paraId="221B0E39">
            <w:pPr>
              <w:snapToGrid w:val="0"/>
              <w:spacing w:line="360" w:lineRule="auto"/>
              <w:ind w:firstLine="420" w:firstLineChars="200"/>
              <w:rPr>
                <w:color w:val="auto"/>
                <w:kern w:val="0"/>
                <w:szCs w:val="21"/>
              </w:rPr>
            </w:pPr>
            <w:r>
              <w:rPr>
                <w:rFonts w:hint="eastAsia"/>
                <w:color w:val="auto"/>
                <w:kern w:val="0"/>
                <w:szCs w:val="21"/>
                <w:lang w:val="en-US" w:eastAsia="zh-CN"/>
              </w:rPr>
              <w:t>1</w:t>
            </w:r>
            <w:r>
              <w:rPr>
                <w:rFonts w:hAnsi="宋体"/>
                <w:color w:val="auto"/>
                <w:kern w:val="0"/>
                <w:szCs w:val="21"/>
              </w:rPr>
              <w:t>）消防灭火系统：在厂房、仓库配备灭火器材、消防器材，并定期检查，确保各器材正常使用。公司消防员专门建立消防台账，定期组织人员对重点区域进行消防检查。</w:t>
            </w:r>
          </w:p>
          <w:p w14:paraId="5259E91F">
            <w:pPr>
              <w:snapToGrid w:val="0"/>
              <w:spacing w:line="360" w:lineRule="auto"/>
              <w:ind w:firstLine="420" w:firstLineChars="200"/>
              <w:rPr>
                <w:color w:val="auto"/>
                <w:kern w:val="0"/>
                <w:szCs w:val="21"/>
              </w:rPr>
            </w:pPr>
            <w:r>
              <w:rPr>
                <w:rFonts w:hint="eastAsia"/>
                <w:color w:val="auto"/>
                <w:kern w:val="0"/>
                <w:szCs w:val="21"/>
                <w:lang w:val="en-US" w:eastAsia="zh-CN"/>
              </w:rPr>
              <w:t>2</w:t>
            </w:r>
            <w:r>
              <w:rPr>
                <w:rFonts w:hAnsi="宋体"/>
                <w:color w:val="auto"/>
                <w:kern w:val="0"/>
                <w:szCs w:val="21"/>
              </w:rPr>
              <w:t>）视频</w:t>
            </w:r>
            <w:r>
              <w:rPr>
                <w:rFonts w:hint="eastAsia" w:hAnsi="宋体"/>
                <w:color w:val="auto"/>
                <w:kern w:val="0"/>
                <w:szCs w:val="21"/>
              </w:rPr>
              <w:t>监控</w:t>
            </w:r>
            <w:r>
              <w:rPr>
                <w:rFonts w:hAnsi="宋体"/>
                <w:color w:val="auto"/>
                <w:kern w:val="0"/>
                <w:szCs w:val="21"/>
              </w:rPr>
              <w:t>系统：本公司在仓库、车间设置了视频监控系统，可在控制室进行实时监视。警卫室视频显示器可对整个厂区重点部位进行</w:t>
            </w:r>
            <w:r>
              <w:rPr>
                <w:color w:val="auto"/>
                <w:kern w:val="0"/>
                <w:szCs w:val="21"/>
              </w:rPr>
              <w:t>24</w:t>
            </w:r>
            <w:r>
              <w:rPr>
                <w:rFonts w:hAnsi="宋体"/>
                <w:color w:val="auto"/>
                <w:kern w:val="0"/>
                <w:szCs w:val="21"/>
              </w:rPr>
              <w:t>小时监视。</w:t>
            </w:r>
          </w:p>
          <w:p w14:paraId="4206DDEE">
            <w:pPr>
              <w:snapToGrid w:val="0"/>
              <w:spacing w:line="360" w:lineRule="auto"/>
              <w:ind w:firstLine="420" w:firstLineChars="200"/>
              <w:rPr>
                <w:color w:val="auto"/>
                <w:kern w:val="0"/>
                <w:szCs w:val="21"/>
              </w:rPr>
            </w:pPr>
            <w:r>
              <w:rPr>
                <w:rFonts w:hint="eastAsia"/>
                <w:color w:val="auto"/>
                <w:kern w:val="0"/>
                <w:szCs w:val="21"/>
                <w:lang w:val="en-US" w:eastAsia="zh-CN"/>
              </w:rPr>
              <w:t>3</w:t>
            </w:r>
            <w:r>
              <w:rPr>
                <w:rFonts w:hAnsi="宋体"/>
                <w:color w:val="auto"/>
                <w:kern w:val="0"/>
                <w:szCs w:val="21"/>
              </w:rPr>
              <w:t>）雨水排口设置</w:t>
            </w:r>
            <w:r>
              <w:rPr>
                <w:rFonts w:hint="eastAsia" w:hAnsi="宋体"/>
                <w:color w:val="auto"/>
                <w:kern w:val="0"/>
                <w:szCs w:val="21"/>
              </w:rPr>
              <w:t>应急气囊</w:t>
            </w:r>
            <w:r>
              <w:rPr>
                <w:rFonts w:hAnsi="宋体"/>
                <w:color w:val="auto"/>
                <w:kern w:val="0"/>
                <w:szCs w:val="21"/>
              </w:rPr>
              <w:t>，一旦发生事故时，</w:t>
            </w:r>
            <w:r>
              <w:rPr>
                <w:rFonts w:hint="eastAsia" w:hAnsi="宋体"/>
                <w:color w:val="auto"/>
                <w:kern w:val="0"/>
                <w:szCs w:val="21"/>
              </w:rPr>
              <w:t>紧急对雨水排口进行堵塞</w:t>
            </w:r>
            <w:r>
              <w:rPr>
                <w:rFonts w:hAnsi="宋体"/>
                <w:color w:val="auto"/>
                <w:kern w:val="0"/>
                <w:szCs w:val="21"/>
              </w:rPr>
              <w:t>。</w:t>
            </w:r>
          </w:p>
          <w:p w14:paraId="2A179E30">
            <w:pPr>
              <w:snapToGrid w:val="0"/>
              <w:spacing w:line="360" w:lineRule="auto"/>
              <w:ind w:firstLine="420" w:firstLineChars="200"/>
              <w:rPr>
                <w:color w:val="auto"/>
                <w:kern w:val="0"/>
                <w:szCs w:val="21"/>
              </w:rPr>
            </w:pPr>
            <w:r>
              <w:rPr>
                <w:rFonts w:hint="eastAsia"/>
                <w:color w:val="auto"/>
                <w:kern w:val="0"/>
                <w:szCs w:val="21"/>
                <w:lang w:val="en-US" w:eastAsia="zh-CN"/>
              </w:rPr>
              <w:t>4</w:t>
            </w:r>
            <w:r>
              <w:rPr>
                <w:rFonts w:hAnsi="宋体"/>
                <w:color w:val="auto"/>
                <w:kern w:val="0"/>
                <w:szCs w:val="21"/>
              </w:rPr>
              <w:t>）厂区需设有应急池，一旦物料泄漏，冲洗废水或消防废水打入事故池，污水收集池失效导致事故废水泄漏，打入废水收集池。</w:t>
            </w:r>
          </w:p>
          <w:p w14:paraId="6273C7FD">
            <w:pPr>
              <w:snapToGrid w:val="0"/>
              <w:spacing w:line="360" w:lineRule="auto"/>
              <w:ind w:firstLine="420" w:firstLineChars="200"/>
              <w:rPr>
                <w:color w:val="auto"/>
                <w:kern w:val="0"/>
                <w:szCs w:val="21"/>
              </w:rPr>
            </w:pPr>
            <w:r>
              <w:rPr>
                <w:rFonts w:hAnsi="宋体"/>
                <w:color w:val="auto"/>
                <w:kern w:val="0"/>
                <w:szCs w:val="21"/>
              </w:rPr>
              <w:t>公司安环部对各环境风险源进行定期检查或不定期的抽查。</w:t>
            </w:r>
          </w:p>
          <w:p w14:paraId="4FAF1F6B">
            <w:pPr>
              <w:snapToGrid w:val="0"/>
              <w:spacing w:line="360" w:lineRule="auto"/>
              <w:ind w:firstLine="420" w:firstLineChars="200"/>
              <w:rPr>
                <w:color w:val="auto"/>
                <w:kern w:val="0"/>
                <w:szCs w:val="21"/>
              </w:rPr>
            </w:pPr>
            <w:r>
              <w:rPr>
                <w:rFonts w:hAnsi="宋体"/>
                <w:color w:val="auto"/>
                <w:kern w:val="0"/>
                <w:szCs w:val="21"/>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w:t>
            </w:r>
            <w:r>
              <w:rPr>
                <w:rFonts w:hint="eastAsia" w:hAnsi="宋体"/>
                <w:color w:val="auto"/>
                <w:kern w:val="0"/>
                <w:szCs w:val="21"/>
              </w:rPr>
              <w:t>制定</w:t>
            </w:r>
            <w:r>
              <w:rPr>
                <w:rFonts w:hAnsi="宋体"/>
                <w:color w:val="auto"/>
                <w:kern w:val="0"/>
                <w:szCs w:val="21"/>
              </w:rPr>
              <w:t>切实可行的突发环境事件应急预案；定期开展环境安全教育。</w:t>
            </w:r>
          </w:p>
          <w:p w14:paraId="33B89779">
            <w:pPr>
              <w:adjustRightInd w:val="0"/>
              <w:snapToGrid w:val="0"/>
              <w:spacing w:line="360" w:lineRule="auto"/>
              <w:ind w:firstLine="480"/>
              <w:rPr>
                <w:b/>
                <w:bCs/>
                <w:color w:val="auto"/>
                <w:kern w:val="0"/>
                <w:szCs w:val="21"/>
              </w:rPr>
            </w:pPr>
            <w:r>
              <w:rPr>
                <w:rFonts w:hint="eastAsia" w:hAnsi="宋体"/>
                <w:b/>
                <w:color w:val="auto"/>
                <w:kern w:val="0"/>
                <w:szCs w:val="21"/>
                <w:lang w:val="en-US" w:eastAsia="zh-CN"/>
              </w:rPr>
              <w:t>7.9</w:t>
            </w:r>
            <w:r>
              <w:rPr>
                <w:rFonts w:hAnsi="宋体"/>
                <w:b/>
                <w:bCs/>
                <w:color w:val="auto"/>
                <w:kern w:val="0"/>
                <w:szCs w:val="21"/>
              </w:rPr>
              <w:t>应急联动衔接体系</w:t>
            </w:r>
          </w:p>
          <w:p w14:paraId="5612CA7E">
            <w:pPr>
              <w:snapToGrid w:val="0"/>
              <w:spacing w:line="360" w:lineRule="auto"/>
              <w:ind w:firstLine="420" w:firstLineChars="200"/>
              <w:rPr>
                <w:color w:val="auto"/>
                <w:kern w:val="0"/>
                <w:szCs w:val="21"/>
              </w:rPr>
            </w:pPr>
            <w:r>
              <w:rPr>
                <w:rFonts w:hAnsi="宋体"/>
                <w:color w:val="auto"/>
                <w:kern w:val="0"/>
                <w:szCs w:val="21"/>
              </w:rPr>
              <w:t>根据《关于做好生态环境和应急管理部门联动工作的意见》（苏环办</w:t>
            </w:r>
            <w:r>
              <w:rPr>
                <w:color w:val="auto"/>
                <w:kern w:val="0"/>
                <w:szCs w:val="21"/>
              </w:rPr>
              <w:t>[2020]101</w:t>
            </w:r>
            <w:r>
              <w:rPr>
                <w:rFonts w:hAnsi="宋体"/>
                <w:color w:val="auto"/>
                <w:kern w:val="0"/>
                <w:szCs w:val="21"/>
              </w:rPr>
              <w:t>号）</w:t>
            </w:r>
            <w:r>
              <w:rPr>
                <w:rFonts w:hint="eastAsia" w:hAnsi="宋体"/>
                <w:color w:val="auto"/>
                <w:kern w:val="0"/>
                <w:szCs w:val="21"/>
                <w:lang w:eastAsia="zh-CN"/>
              </w:rPr>
              <w:t>，</w:t>
            </w:r>
            <w:r>
              <w:rPr>
                <w:color w:val="auto"/>
                <w:kern w:val="0"/>
                <w:szCs w:val="21"/>
              </w:rPr>
              <w:t xml:space="preserve"> </w:t>
            </w:r>
            <w:r>
              <w:rPr>
                <w:rFonts w:hAnsi="宋体"/>
                <w:color w:val="auto"/>
                <w:kern w:val="0"/>
                <w:szCs w:val="21"/>
              </w:rPr>
              <w:t>《关于进一步加强环保设备设施安全生产工作的通知》（安委办明电</w:t>
            </w:r>
            <w:r>
              <w:rPr>
                <w:color w:val="auto"/>
                <w:kern w:val="0"/>
                <w:szCs w:val="21"/>
              </w:rPr>
              <w:t xml:space="preserve"> (2022) 17 </w:t>
            </w:r>
            <w:r>
              <w:rPr>
                <w:rFonts w:hAnsi="宋体"/>
                <w:color w:val="auto"/>
                <w:kern w:val="0"/>
                <w:szCs w:val="21"/>
              </w:rPr>
              <w:t>号）等文件，企业建立车间、厂区、</w:t>
            </w:r>
            <w:r>
              <w:rPr>
                <w:rFonts w:hint="eastAsia" w:hAnsi="宋体"/>
                <w:color w:val="auto"/>
                <w:kern w:val="0"/>
                <w:szCs w:val="21"/>
                <w:lang w:val="en-US" w:eastAsia="zh-CN"/>
              </w:rPr>
              <w:t>城北街道</w:t>
            </w:r>
            <w:r>
              <w:rPr>
                <w:rFonts w:hAnsi="宋体"/>
                <w:color w:val="auto"/>
                <w:kern w:val="0"/>
                <w:szCs w:val="21"/>
              </w:rPr>
              <w:t>三级响应的风险防范体系。</w:t>
            </w:r>
          </w:p>
          <w:p w14:paraId="38AD0C9E">
            <w:pPr>
              <w:snapToGrid w:val="0"/>
              <w:spacing w:line="360" w:lineRule="auto"/>
              <w:ind w:firstLine="420" w:firstLineChars="200"/>
              <w:rPr>
                <w:color w:val="auto"/>
                <w:kern w:val="0"/>
                <w:szCs w:val="21"/>
              </w:rPr>
            </w:pPr>
            <w:r>
              <w:rPr>
                <w:color w:val="auto"/>
                <w:kern w:val="0"/>
                <w:szCs w:val="21"/>
              </w:rPr>
              <w:t>1</w:t>
            </w:r>
            <w:r>
              <w:rPr>
                <w:rFonts w:hAnsi="宋体"/>
                <w:color w:val="auto"/>
                <w:kern w:val="0"/>
                <w:szCs w:val="21"/>
              </w:rPr>
              <w:t>）车间级突发环境事件是指厂区内生产装置或车间范围内发生的对周边环境造成的危害较小的一般事件。事故发生后，主要由车间或现场操作人员进行应急处置，必要时可请求公司各应急救援小组协助。</w:t>
            </w:r>
          </w:p>
          <w:p w14:paraId="10BE0F7A">
            <w:pPr>
              <w:snapToGrid w:val="0"/>
              <w:spacing w:line="360" w:lineRule="auto"/>
              <w:ind w:firstLine="420" w:firstLineChars="200"/>
              <w:rPr>
                <w:color w:val="auto"/>
                <w:kern w:val="0"/>
                <w:szCs w:val="21"/>
              </w:rPr>
            </w:pPr>
            <w:r>
              <w:rPr>
                <w:color w:val="auto"/>
                <w:kern w:val="0"/>
                <w:szCs w:val="21"/>
              </w:rPr>
              <w:t>2</w:t>
            </w:r>
            <w:r>
              <w:rPr>
                <w:rFonts w:hAnsi="宋体"/>
                <w:color w:val="auto"/>
                <w:kern w:val="0"/>
                <w:szCs w:val="21"/>
              </w:rPr>
              <w:t>）厂区级环境突发事件是指对企业生产和人员安全造成较大危害和威胁，造成或者可能造成人员伤亡、财产损失和环境破坏，事故控制及其对生产、社会、环境产生的影响依靠车间内自身力量不能控制，需要厂部或相关方面救援力量进行协助处置的事件。</w:t>
            </w:r>
          </w:p>
          <w:p w14:paraId="3A27B465">
            <w:pPr>
              <w:snapToGrid w:val="0"/>
              <w:spacing w:line="360" w:lineRule="auto"/>
              <w:ind w:firstLine="420" w:firstLineChars="200"/>
              <w:rPr>
                <w:color w:val="auto"/>
                <w:kern w:val="0"/>
                <w:szCs w:val="21"/>
              </w:rPr>
            </w:pPr>
            <w:r>
              <w:rPr>
                <w:rFonts w:hAnsi="宋体"/>
                <w:color w:val="auto"/>
                <w:kern w:val="0"/>
                <w:szCs w:val="21"/>
              </w:rPr>
              <w:t>当发生厂区级突发环境事件时，原则上由企业内部组织应急救援力量处置，应急指挥部视事故态势变化请求当地政府及上一级主管部门，由其调动应急、安全、生态环境、消防、公安和医疗等相关力量进行支援。</w:t>
            </w:r>
          </w:p>
          <w:p w14:paraId="5526D589">
            <w:pPr>
              <w:snapToGrid w:val="0"/>
              <w:spacing w:line="360" w:lineRule="auto"/>
              <w:ind w:firstLine="420" w:firstLineChars="200"/>
              <w:rPr>
                <w:color w:val="auto"/>
                <w:kern w:val="0"/>
                <w:szCs w:val="21"/>
              </w:rPr>
            </w:pPr>
            <w:r>
              <w:rPr>
                <w:color w:val="auto"/>
                <w:kern w:val="0"/>
                <w:szCs w:val="21"/>
              </w:rPr>
              <w:t>3</w:t>
            </w:r>
            <w:r>
              <w:rPr>
                <w:rFonts w:hAnsi="宋体"/>
                <w:color w:val="auto"/>
                <w:kern w:val="0"/>
                <w:szCs w:val="21"/>
              </w:rPr>
              <w:t>）社会级突发环境事件是指对企业的生产和人员安全造成重大危害和威胁，严重影响到周围环境和人员安全，造成或可能造成人员伤亡、财产损失和环境破坏，需要动用外部应急救援力量和资源进行应急处置的突发事件。当发生社会级突发环境事件时，企业内部应急力量予以先期处置，并由应急指挥部第一时间向当地政府及上一级主管部门对突发事件进行上报，报告内容包括突发环境事件的发生时间、地点、信息来源、事件起因和性质、基本过程、主要污染物和数量、监测数据、人员受害情况、饮用水水源地等环境敏感点受影响情况、事件发展趋势、处置情况、拟采取的措施等，并请求当地政府及上一级主管部门，由其调动环保、应急、安全、消防、公安和医疗等相关力量进行支援，企业应协助相关部门进行事故应急处置工作。</w:t>
            </w:r>
          </w:p>
          <w:p w14:paraId="4A3BE0B2">
            <w:pPr>
              <w:snapToGrid w:val="0"/>
              <w:spacing w:line="360" w:lineRule="auto"/>
              <w:ind w:firstLine="420" w:firstLineChars="200"/>
              <w:rPr>
                <w:color w:val="auto"/>
                <w:kern w:val="0"/>
                <w:szCs w:val="21"/>
              </w:rPr>
            </w:pPr>
            <w:r>
              <w:rPr>
                <w:color w:val="auto"/>
                <w:kern w:val="0"/>
                <w:szCs w:val="21"/>
              </w:rPr>
              <w:t>4</w:t>
            </w:r>
            <w:r>
              <w:rPr>
                <w:rFonts w:hAnsi="宋体"/>
                <w:color w:val="auto"/>
                <w:kern w:val="0"/>
                <w:szCs w:val="21"/>
              </w:rPr>
              <w:t>）目前</w:t>
            </w:r>
            <w:r>
              <w:rPr>
                <w:rFonts w:hint="eastAsia" w:hAnsi="宋体"/>
                <w:color w:val="auto"/>
                <w:kern w:val="0"/>
                <w:szCs w:val="21"/>
                <w:lang w:val="en-US" w:eastAsia="zh-CN"/>
              </w:rPr>
              <w:t>城北街道</w:t>
            </w:r>
            <w:r>
              <w:rPr>
                <w:rFonts w:hAnsi="宋体"/>
                <w:color w:val="auto"/>
                <w:kern w:val="0"/>
                <w:szCs w:val="21"/>
              </w:rPr>
              <w:t>逐步建立入区企业事故类型、应急物资数据库，一旦区内某一家企业发生风险事故，可立即调配其余企业的同类型救援物资进行救援，构筑</w:t>
            </w:r>
            <w:r>
              <w:rPr>
                <w:color w:val="auto"/>
                <w:kern w:val="0"/>
                <w:szCs w:val="21"/>
              </w:rPr>
              <w:t>“</w:t>
            </w:r>
            <w:r>
              <w:rPr>
                <w:rFonts w:hAnsi="宋体"/>
                <w:color w:val="auto"/>
                <w:kern w:val="0"/>
                <w:szCs w:val="21"/>
              </w:rPr>
              <w:t>一家有难，集体联动</w:t>
            </w:r>
            <w:r>
              <w:rPr>
                <w:color w:val="auto"/>
                <w:kern w:val="0"/>
                <w:szCs w:val="21"/>
              </w:rPr>
              <w:t>”</w:t>
            </w:r>
            <w:r>
              <w:rPr>
                <w:rFonts w:hAnsi="宋体"/>
                <w:color w:val="auto"/>
                <w:kern w:val="0"/>
                <w:szCs w:val="21"/>
              </w:rPr>
              <w:t>的防范体系。</w:t>
            </w:r>
          </w:p>
          <w:p w14:paraId="4DE4E120">
            <w:pPr>
              <w:pStyle w:val="86"/>
              <w:snapToGrid w:val="0"/>
              <w:spacing w:line="360" w:lineRule="auto"/>
              <w:ind w:firstLine="420"/>
              <w:rPr>
                <w:rFonts w:hint="eastAsia" w:ascii="Times New Roman" w:hAnsi="宋体" w:eastAsia="宋体" w:cs="Times New Roman"/>
                <w:color w:val="auto"/>
                <w:kern w:val="0"/>
                <w:sz w:val="21"/>
                <w:szCs w:val="21"/>
              </w:rPr>
            </w:pPr>
            <w:r>
              <w:rPr>
                <w:rFonts w:ascii="Times New Roman" w:hAnsi="Times New Roman" w:eastAsia="宋体" w:cs="Times New Roman"/>
                <w:color w:val="auto"/>
                <w:kern w:val="0"/>
                <w:sz w:val="21"/>
                <w:szCs w:val="21"/>
              </w:rPr>
              <w:t>5</w:t>
            </w:r>
            <w:r>
              <w:rPr>
                <w:rFonts w:ascii="Times New Roman" w:hAnsi="宋体" w:eastAsia="宋体" w:cs="Times New Roman"/>
                <w:color w:val="auto"/>
                <w:kern w:val="0"/>
                <w:sz w:val="21"/>
                <w:szCs w:val="21"/>
              </w:rPr>
              <w:t>）为了更好</w:t>
            </w:r>
            <w:r>
              <w:rPr>
                <w:rFonts w:hint="eastAsia" w:ascii="Times New Roman" w:hAnsi="宋体" w:eastAsia="宋体" w:cs="Times New Roman"/>
                <w:color w:val="auto"/>
                <w:kern w:val="0"/>
                <w:sz w:val="21"/>
                <w:szCs w:val="21"/>
                <w:lang w:eastAsia="zh-CN"/>
              </w:rPr>
              <w:t>地</w:t>
            </w:r>
            <w:r>
              <w:rPr>
                <w:rFonts w:ascii="Times New Roman" w:hAnsi="宋体" w:eastAsia="宋体" w:cs="Times New Roman"/>
                <w:color w:val="auto"/>
                <w:kern w:val="0"/>
                <w:sz w:val="21"/>
                <w:szCs w:val="21"/>
              </w:rPr>
              <w:t>进行环境风险管理，</w:t>
            </w:r>
            <w:r>
              <w:rPr>
                <w:rFonts w:hint="eastAsia" w:ascii="Times New Roman" w:hAnsi="宋体" w:eastAsia="宋体" w:cs="Times New Roman"/>
                <w:color w:val="auto"/>
                <w:kern w:val="0"/>
                <w:sz w:val="21"/>
                <w:szCs w:val="21"/>
                <w:lang w:val="en-US" w:eastAsia="zh-CN"/>
              </w:rPr>
              <w:t>城北街道</w:t>
            </w:r>
            <w:r>
              <w:rPr>
                <w:rFonts w:ascii="Times New Roman" w:hAnsi="宋体" w:eastAsia="宋体" w:cs="Times New Roman"/>
                <w:color w:val="auto"/>
                <w:kern w:val="0"/>
                <w:sz w:val="21"/>
                <w:szCs w:val="21"/>
              </w:rPr>
              <w:t>构建与南通市如皋生态环境局、如皋应急管理局对接的应急体系，协调本区域和地方力量，共同应对风险。建立应急资源动态管理信息库，应急资源不仅包括应急物资等，还包括信息沟通系统、应急专家等。建设完善的信息沟通网络，确保事故信息能及时</w:t>
            </w:r>
            <w:r>
              <w:rPr>
                <w:rFonts w:hint="eastAsia" w:ascii="Times New Roman" w:hAnsi="宋体" w:eastAsia="宋体" w:cs="Times New Roman"/>
                <w:color w:val="auto"/>
                <w:kern w:val="0"/>
                <w:sz w:val="21"/>
                <w:szCs w:val="21"/>
                <w:lang w:eastAsia="zh-CN"/>
              </w:rPr>
              <w:t>反映到</w:t>
            </w:r>
            <w:r>
              <w:rPr>
                <w:rFonts w:ascii="Times New Roman" w:hAnsi="宋体" w:eastAsia="宋体" w:cs="Times New Roman"/>
                <w:color w:val="auto"/>
                <w:kern w:val="0"/>
                <w:sz w:val="21"/>
                <w:szCs w:val="21"/>
              </w:rPr>
              <w:t>管理中心。</w:t>
            </w:r>
          </w:p>
          <w:p w14:paraId="1A0C53C6">
            <w:pPr>
              <w:adjustRightInd w:val="0"/>
              <w:snapToGrid w:val="0"/>
              <w:spacing w:line="360" w:lineRule="auto"/>
              <w:ind w:firstLine="422" w:firstLineChars="200"/>
              <w:rPr>
                <w:b/>
                <w:bCs/>
                <w:color w:val="auto"/>
                <w:sz w:val="21"/>
                <w:szCs w:val="21"/>
              </w:rPr>
            </w:pPr>
            <w:r>
              <w:rPr>
                <w:rFonts w:hint="eastAsia"/>
                <w:b/>
                <w:bCs/>
                <w:color w:val="auto"/>
                <w:sz w:val="21"/>
                <w:szCs w:val="21"/>
                <w:lang w:val="en-US" w:eastAsia="zh-CN"/>
              </w:rPr>
              <w:t>7.10</w:t>
            </w:r>
            <w:r>
              <w:rPr>
                <w:rFonts w:hint="eastAsia"/>
                <w:b/>
                <w:bCs/>
                <w:color w:val="auto"/>
                <w:sz w:val="21"/>
                <w:szCs w:val="21"/>
              </w:rPr>
              <w:t>竣工验收</w:t>
            </w:r>
          </w:p>
          <w:p w14:paraId="192A64A5">
            <w:pPr>
              <w:spacing w:line="360" w:lineRule="auto"/>
              <w:ind w:firstLine="420" w:firstLineChars="200"/>
              <w:rPr>
                <w:color w:val="auto"/>
                <w:sz w:val="21"/>
                <w:szCs w:val="21"/>
              </w:rPr>
            </w:pPr>
            <w:r>
              <w:rPr>
                <w:rFonts w:hint="eastAsia"/>
                <w:color w:val="auto"/>
                <w:sz w:val="21"/>
                <w:szCs w:val="21"/>
              </w:rPr>
              <w:t>风险</w:t>
            </w:r>
            <w:r>
              <w:rPr>
                <w:color w:val="auto"/>
                <w:sz w:val="21"/>
                <w:szCs w:val="21"/>
              </w:rPr>
              <w:t>防治措施</w:t>
            </w:r>
            <w:r>
              <w:rPr>
                <w:rFonts w:hint="eastAsia"/>
                <w:color w:val="auto"/>
                <w:sz w:val="21"/>
                <w:szCs w:val="21"/>
              </w:rPr>
              <w:t>竣工验收</w:t>
            </w:r>
            <w:r>
              <w:rPr>
                <w:color w:val="auto"/>
                <w:sz w:val="21"/>
                <w:szCs w:val="21"/>
              </w:rPr>
              <w:t>及“三同时”一览表见表</w:t>
            </w:r>
            <w:r>
              <w:rPr>
                <w:rFonts w:hint="eastAsia"/>
                <w:color w:val="auto"/>
                <w:sz w:val="21"/>
                <w:szCs w:val="21"/>
              </w:rPr>
              <w:t>4</w:t>
            </w:r>
            <w:r>
              <w:rPr>
                <w:rFonts w:hint="eastAsia"/>
                <w:color w:val="auto"/>
                <w:sz w:val="21"/>
                <w:szCs w:val="21"/>
                <w:lang w:val="en-US" w:eastAsia="zh-CN"/>
              </w:rPr>
              <w:t>-16</w:t>
            </w:r>
            <w:r>
              <w:rPr>
                <w:rFonts w:hint="eastAsia"/>
                <w:color w:val="auto"/>
                <w:sz w:val="21"/>
                <w:szCs w:val="21"/>
              </w:rPr>
              <w:t>。</w:t>
            </w:r>
          </w:p>
          <w:p w14:paraId="34ED74C8">
            <w:pPr>
              <w:ind w:firstLine="422" w:firstLineChars="200"/>
              <w:jc w:val="center"/>
              <w:rPr>
                <w:b/>
                <w:bCs/>
                <w:color w:val="auto"/>
                <w:sz w:val="21"/>
                <w:szCs w:val="21"/>
              </w:rPr>
            </w:pPr>
            <w:r>
              <w:rPr>
                <w:b/>
                <w:bCs/>
                <w:color w:val="auto"/>
                <w:sz w:val="21"/>
                <w:szCs w:val="21"/>
              </w:rPr>
              <w:t>表</w:t>
            </w:r>
            <w:r>
              <w:rPr>
                <w:rFonts w:hint="eastAsia"/>
                <w:b/>
                <w:bCs/>
                <w:color w:val="auto"/>
                <w:sz w:val="21"/>
                <w:szCs w:val="21"/>
              </w:rPr>
              <w:t>4</w:t>
            </w:r>
            <w:r>
              <w:rPr>
                <w:rFonts w:hint="eastAsia"/>
                <w:b/>
                <w:bCs/>
                <w:color w:val="auto"/>
                <w:sz w:val="21"/>
                <w:szCs w:val="21"/>
                <w:lang w:val="en-US" w:eastAsia="zh-CN"/>
              </w:rPr>
              <w:t>-16</w:t>
            </w:r>
            <w:r>
              <w:rPr>
                <w:rFonts w:hint="eastAsia"/>
                <w:b/>
                <w:bCs/>
                <w:color w:val="auto"/>
                <w:sz w:val="21"/>
                <w:szCs w:val="21"/>
              </w:rPr>
              <w:t xml:space="preserve"> </w:t>
            </w:r>
            <w:r>
              <w:rPr>
                <w:b/>
                <w:bCs/>
                <w:color w:val="auto"/>
                <w:sz w:val="21"/>
                <w:szCs w:val="21"/>
              </w:rPr>
              <w:t>本项目“三同时”竣工验收一览表</w:t>
            </w:r>
          </w:p>
          <w:tbl>
            <w:tblPr>
              <w:tblStyle w:val="26"/>
              <w:tblW w:w="825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11"/>
              <w:gridCol w:w="6448"/>
            </w:tblGrid>
            <w:tr w14:paraId="2305BF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1811" w:type="dxa"/>
                  <w:vAlign w:val="center"/>
                </w:tcPr>
                <w:p w14:paraId="71EE8534">
                  <w:pPr>
                    <w:pStyle w:val="33"/>
                    <w:snapToGrid w:val="0"/>
                    <w:spacing w:after="0"/>
                    <w:jc w:val="center"/>
                    <w:rPr>
                      <w:rFonts w:ascii="Times New Roman" w:eastAsia="宋体"/>
                      <w:b/>
                      <w:color w:val="auto"/>
                      <w:sz w:val="21"/>
                      <w:szCs w:val="21"/>
                    </w:rPr>
                  </w:pPr>
                  <w:r>
                    <w:rPr>
                      <w:rFonts w:ascii="Times New Roman" w:eastAsia="宋体"/>
                      <w:b/>
                      <w:color w:val="auto"/>
                      <w:sz w:val="21"/>
                      <w:szCs w:val="21"/>
                    </w:rPr>
                    <w:t>类别</w:t>
                  </w:r>
                </w:p>
              </w:tc>
              <w:tc>
                <w:tcPr>
                  <w:tcW w:w="6448" w:type="dxa"/>
                  <w:vAlign w:val="center"/>
                </w:tcPr>
                <w:p w14:paraId="2CA73265">
                  <w:pPr>
                    <w:pStyle w:val="33"/>
                    <w:snapToGrid w:val="0"/>
                    <w:spacing w:after="0"/>
                    <w:jc w:val="center"/>
                    <w:rPr>
                      <w:rFonts w:ascii="Times New Roman" w:eastAsia="宋体"/>
                      <w:b/>
                      <w:color w:val="auto"/>
                      <w:sz w:val="21"/>
                      <w:szCs w:val="21"/>
                    </w:rPr>
                  </w:pPr>
                  <w:r>
                    <w:rPr>
                      <w:rFonts w:ascii="Times New Roman" w:eastAsia="宋体"/>
                      <w:b/>
                      <w:color w:val="auto"/>
                      <w:sz w:val="21"/>
                      <w:szCs w:val="21"/>
                    </w:rPr>
                    <w:t>措施</w:t>
                  </w:r>
                </w:p>
              </w:tc>
            </w:tr>
            <w:tr w14:paraId="6335C8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8" w:hRule="atLeast"/>
                <w:jc w:val="center"/>
              </w:trPr>
              <w:tc>
                <w:tcPr>
                  <w:tcW w:w="1811" w:type="dxa"/>
                  <w:vAlign w:val="center"/>
                </w:tcPr>
                <w:p w14:paraId="19BEBE85">
                  <w:pPr>
                    <w:jc w:val="center"/>
                    <w:rPr>
                      <w:color w:val="auto"/>
                      <w:sz w:val="21"/>
                      <w:szCs w:val="21"/>
                    </w:rPr>
                  </w:pPr>
                  <w:r>
                    <w:rPr>
                      <w:color w:val="auto"/>
                      <w:sz w:val="21"/>
                      <w:szCs w:val="21"/>
                    </w:rPr>
                    <w:t>事故应急措施</w:t>
                  </w:r>
                </w:p>
              </w:tc>
              <w:tc>
                <w:tcPr>
                  <w:tcW w:w="6448" w:type="dxa"/>
                  <w:vAlign w:val="center"/>
                </w:tcPr>
                <w:p w14:paraId="65611823">
                  <w:pPr>
                    <w:jc w:val="center"/>
                    <w:rPr>
                      <w:color w:val="auto"/>
                      <w:sz w:val="21"/>
                      <w:szCs w:val="21"/>
                    </w:rPr>
                  </w:pPr>
                  <w:r>
                    <w:rPr>
                      <w:rFonts w:hint="eastAsia"/>
                      <w:color w:val="auto"/>
                      <w:sz w:val="21"/>
                      <w:szCs w:val="21"/>
                    </w:rPr>
                    <w:t>设置危险源警示标志、配备应急物资、编制事故应急预案，并演习</w:t>
                  </w:r>
                </w:p>
              </w:tc>
            </w:tr>
            <w:tr w14:paraId="355200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75" w:hRule="atLeast"/>
                <w:jc w:val="center"/>
              </w:trPr>
              <w:tc>
                <w:tcPr>
                  <w:tcW w:w="1811" w:type="dxa"/>
                  <w:vAlign w:val="center"/>
                </w:tcPr>
                <w:p w14:paraId="7EDCCC95">
                  <w:pPr>
                    <w:jc w:val="center"/>
                    <w:rPr>
                      <w:color w:val="auto"/>
                      <w:sz w:val="21"/>
                      <w:szCs w:val="21"/>
                    </w:rPr>
                  </w:pPr>
                  <w:r>
                    <w:rPr>
                      <w:color w:val="auto"/>
                      <w:sz w:val="21"/>
                      <w:szCs w:val="21"/>
                    </w:rPr>
                    <w:t>环境管理（机构、监测能力等）</w:t>
                  </w:r>
                </w:p>
              </w:tc>
              <w:tc>
                <w:tcPr>
                  <w:tcW w:w="6448" w:type="dxa"/>
                  <w:vAlign w:val="center"/>
                </w:tcPr>
                <w:p w14:paraId="6F918F40">
                  <w:pPr>
                    <w:jc w:val="center"/>
                    <w:rPr>
                      <w:color w:val="auto"/>
                      <w:sz w:val="21"/>
                      <w:szCs w:val="21"/>
                    </w:rPr>
                  </w:pPr>
                  <w:r>
                    <w:rPr>
                      <w:color w:val="auto"/>
                      <w:sz w:val="21"/>
                      <w:szCs w:val="21"/>
                    </w:rPr>
                    <w:t>厂区内需要设置专职环保人员1-2名，负责环境保护监督管理工作。本工程运营期的环境保护和防治污染设施由建设单位实施，环保监督部门为当地环保主管部门。</w:t>
                  </w:r>
                </w:p>
              </w:tc>
            </w:tr>
          </w:tbl>
          <w:p w14:paraId="3A153FC5">
            <w:pPr>
              <w:pStyle w:val="4"/>
              <w:adjustRightInd w:val="0"/>
              <w:snapToGrid w:val="0"/>
              <w:spacing w:before="0" w:after="0" w:line="360" w:lineRule="auto"/>
              <w:ind w:firstLine="422" w:firstLineChars="200"/>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7.11环境应急管理制度</w:t>
            </w:r>
          </w:p>
          <w:p w14:paraId="6E39A6B7">
            <w:pPr>
              <w:pStyle w:val="88"/>
              <w:snapToGrid w:val="0"/>
              <w:spacing w:before="24"/>
              <w:ind w:firstLine="422" w:firstLineChars="200"/>
              <w:rPr>
                <w:rFonts w:ascii="Times New Roman" w:hAnsi="Times New Roman" w:cs="Times New Roman"/>
                <w:b/>
                <w:color w:val="auto"/>
                <w:sz w:val="21"/>
                <w:szCs w:val="21"/>
              </w:rPr>
            </w:pPr>
            <w:r>
              <w:rPr>
                <w:rFonts w:hint="eastAsia" w:ascii="Times New Roman" w:hAnsi="Times New Roman" w:cs="Times New Roman"/>
                <w:b/>
                <w:color w:val="auto"/>
                <w:sz w:val="21"/>
                <w:szCs w:val="21"/>
              </w:rPr>
              <w:t>（1）应急预案编制、修订和备案要求</w:t>
            </w:r>
          </w:p>
          <w:p w14:paraId="5938AD87">
            <w:pPr>
              <w:spacing w:line="360" w:lineRule="auto"/>
              <w:ind w:firstLine="420" w:firstLineChars="200"/>
              <w:rPr>
                <w:color w:val="auto"/>
                <w:sz w:val="21"/>
                <w:szCs w:val="21"/>
              </w:rPr>
            </w:pPr>
            <w:r>
              <w:rPr>
                <w:rFonts w:hint="eastAsia"/>
                <w:color w:val="auto"/>
                <w:sz w:val="21"/>
                <w:szCs w:val="21"/>
              </w:rPr>
              <w:t>企业需按照《突发事件应急预案管理办法》（国办发[2024]5号）、《江苏省突发环境事件应急预案管理办法》（苏环发[2023]7号）等要求编制突发环境事件应急预案，实施“一图两单两卡”管理。</w:t>
            </w:r>
          </w:p>
          <w:p w14:paraId="778320F3">
            <w:pPr>
              <w:spacing w:line="360" w:lineRule="auto"/>
              <w:ind w:firstLine="420" w:firstLineChars="200"/>
              <w:rPr>
                <w:color w:val="auto"/>
                <w:sz w:val="21"/>
                <w:szCs w:val="21"/>
              </w:rPr>
            </w:pPr>
            <w:r>
              <w:rPr>
                <w:rFonts w:hint="eastAsia"/>
                <w:color w:val="auto"/>
                <w:sz w:val="21"/>
                <w:szCs w:val="21"/>
              </w:rPr>
              <w:t>突发环境事故应急预案包括了应急综合预案、专项预案和现场处置预案、应急预案编制说明、环境风险评估报告、环境应急资源调查报告等组成。应急综合预案是针对环境风险种类较多、可能发生多种类型突发事件制定的应急预案，包括应急组织机构及职责、预案体系及响应程序、事件预防及应急保障、应急培训及预案演练等内容。专项现场处置应急预案（水污染专项、大气污染专项等）是针对危险性较大的重点场所的应急预案，包括危险性分析、可能发生的事件特征、应急处置程序、应急处置要点和注意事项等内容。应急综合预案是总体性应急预案，现场处置预案是针对某一场所的具体预案，应急综合预案和现场处置预案之间相互协调、互为补充完善。</w:t>
            </w:r>
          </w:p>
          <w:p w14:paraId="74C91D3F">
            <w:pPr>
              <w:spacing w:line="360" w:lineRule="auto"/>
              <w:ind w:firstLine="422" w:firstLineChars="200"/>
              <w:rPr>
                <w:b/>
                <w:color w:val="auto"/>
                <w:sz w:val="21"/>
                <w:szCs w:val="21"/>
              </w:rPr>
            </w:pPr>
            <w:r>
              <w:rPr>
                <w:rFonts w:hint="eastAsia"/>
                <w:b/>
                <w:color w:val="auto"/>
                <w:sz w:val="21"/>
                <w:szCs w:val="21"/>
              </w:rPr>
              <w:t>（2）应急监测</w:t>
            </w:r>
          </w:p>
          <w:p w14:paraId="1DB59FC2">
            <w:pPr>
              <w:spacing w:line="360" w:lineRule="auto"/>
              <w:ind w:firstLine="420" w:firstLineChars="200"/>
              <w:rPr>
                <w:color w:val="auto"/>
                <w:sz w:val="21"/>
                <w:szCs w:val="21"/>
              </w:rPr>
            </w:pPr>
            <w:r>
              <w:rPr>
                <w:rFonts w:hint="eastAsia"/>
                <w:color w:val="auto"/>
                <w:sz w:val="21"/>
                <w:szCs w:val="21"/>
              </w:rPr>
              <w:t>企业发生突发环境事件时，企业不具备应急监测能力，委托有资质单位进行监测。</w:t>
            </w:r>
          </w:p>
          <w:p w14:paraId="7A1528C5">
            <w:pPr>
              <w:autoSpaceDE w:val="0"/>
              <w:autoSpaceDN w:val="0"/>
              <w:spacing w:line="360" w:lineRule="auto"/>
              <w:ind w:firstLine="420" w:firstLineChars="200"/>
              <w:rPr>
                <w:bCs/>
                <w:color w:val="auto"/>
                <w:sz w:val="21"/>
                <w:szCs w:val="21"/>
              </w:rPr>
            </w:pPr>
            <w:r>
              <w:rPr>
                <w:bCs/>
                <w:color w:val="auto"/>
                <w:sz w:val="21"/>
                <w:szCs w:val="21"/>
              </w:rPr>
              <w:t>1</w:t>
            </w:r>
            <w:r>
              <w:rPr>
                <w:rFonts w:hint="eastAsia"/>
                <w:bCs/>
                <w:color w:val="auto"/>
                <w:sz w:val="21"/>
                <w:szCs w:val="21"/>
              </w:rPr>
              <w:t>）</w:t>
            </w:r>
            <w:r>
              <w:rPr>
                <w:bCs/>
                <w:color w:val="auto"/>
                <w:sz w:val="21"/>
                <w:szCs w:val="21"/>
              </w:rPr>
              <w:t>水环境污染事故</w:t>
            </w:r>
            <w:r>
              <w:rPr>
                <w:rFonts w:hint="eastAsia"/>
                <w:bCs/>
                <w:color w:val="auto"/>
                <w:sz w:val="21"/>
                <w:szCs w:val="21"/>
              </w:rPr>
              <w:t>应急监测</w:t>
            </w:r>
          </w:p>
          <w:p w14:paraId="5E00DDD1">
            <w:pPr>
              <w:jc w:val="center"/>
              <w:rPr>
                <w:rFonts w:eastAsiaTheme="minorEastAsia"/>
                <w:b/>
                <w:bCs/>
                <w:color w:val="auto"/>
                <w:sz w:val="21"/>
                <w:szCs w:val="21"/>
              </w:rPr>
            </w:pPr>
            <w:r>
              <w:rPr>
                <w:rFonts w:hAnsiTheme="minorEastAsia" w:eastAsiaTheme="minorEastAsia"/>
                <w:b/>
                <w:bCs/>
                <w:color w:val="auto"/>
                <w:sz w:val="21"/>
                <w:szCs w:val="21"/>
              </w:rPr>
              <w:t>表</w:t>
            </w:r>
            <w:r>
              <w:rPr>
                <w:rFonts w:eastAsiaTheme="minorEastAsia"/>
                <w:b/>
                <w:bCs/>
                <w:color w:val="auto"/>
                <w:sz w:val="21"/>
                <w:szCs w:val="21"/>
              </w:rPr>
              <w:t>4</w:t>
            </w:r>
            <w:r>
              <w:rPr>
                <w:rFonts w:hint="eastAsia" w:eastAsiaTheme="minorEastAsia"/>
                <w:b/>
                <w:bCs/>
                <w:color w:val="auto"/>
                <w:sz w:val="21"/>
                <w:szCs w:val="21"/>
                <w:lang w:val="en-US" w:eastAsia="zh-CN"/>
              </w:rPr>
              <w:t>-17</w:t>
            </w:r>
            <w:r>
              <w:rPr>
                <w:rFonts w:hAnsiTheme="minorEastAsia" w:eastAsiaTheme="minorEastAsia"/>
                <w:b/>
                <w:bCs/>
                <w:color w:val="auto"/>
                <w:sz w:val="21"/>
                <w:szCs w:val="21"/>
              </w:rPr>
              <w:t>水环境污染事故监测方案</w:t>
            </w:r>
          </w:p>
          <w:tbl>
            <w:tblPr>
              <w:tblStyle w:val="25"/>
              <w:tblW w:w="829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628"/>
              <w:gridCol w:w="2452"/>
              <w:gridCol w:w="4218"/>
            </w:tblGrid>
            <w:tr w14:paraId="704437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46" w:hRule="atLeast"/>
                <w:jc w:val="center"/>
              </w:trPr>
              <w:tc>
                <w:tcPr>
                  <w:tcW w:w="980" w:type="pct"/>
                  <w:vAlign w:val="center"/>
                </w:tcPr>
                <w:p w14:paraId="25B06692">
                  <w:pPr>
                    <w:adjustRightInd w:val="0"/>
                    <w:snapToGrid w:val="0"/>
                    <w:jc w:val="center"/>
                    <w:rPr>
                      <w:rFonts w:eastAsiaTheme="minorEastAsia"/>
                      <w:b/>
                      <w:color w:val="auto"/>
                      <w:sz w:val="21"/>
                      <w:szCs w:val="21"/>
                    </w:rPr>
                  </w:pPr>
                  <w:r>
                    <w:rPr>
                      <w:rFonts w:hAnsiTheme="minorEastAsia" w:eastAsiaTheme="minorEastAsia"/>
                      <w:b/>
                      <w:color w:val="auto"/>
                      <w:sz w:val="21"/>
                      <w:szCs w:val="21"/>
                    </w:rPr>
                    <w:t>监测断面</w:t>
                  </w:r>
                </w:p>
              </w:tc>
              <w:tc>
                <w:tcPr>
                  <w:tcW w:w="1477" w:type="pct"/>
                  <w:vAlign w:val="center"/>
                </w:tcPr>
                <w:p w14:paraId="75CE8AC5">
                  <w:pPr>
                    <w:adjustRightInd w:val="0"/>
                    <w:snapToGrid w:val="0"/>
                    <w:jc w:val="center"/>
                    <w:rPr>
                      <w:rFonts w:eastAsiaTheme="minorEastAsia"/>
                      <w:b/>
                      <w:color w:val="auto"/>
                      <w:sz w:val="21"/>
                      <w:szCs w:val="21"/>
                    </w:rPr>
                  </w:pPr>
                  <w:r>
                    <w:rPr>
                      <w:rFonts w:hAnsiTheme="minorEastAsia" w:eastAsiaTheme="minorEastAsia"/>
                      <w:b/>
                      <w:color w:val="auto"/>
                      <w:sz w:val="21"/>
                      <w:szCs w:val="21"/>
                    </w:rPr>
                    <w:t>监测项目</w:t>
                  </w:r>
                </w:p>
              </w:tc>
              <w:tc>
                <w:tcPr>
                  <w:tcW w:w="2541" w:type="pct"/>
                  <w:vAlign w:val="center"/>
                </w:tcPr>
                <w:p w14:paraId="0FF498B5">
                  <w:pPr>
                    <w:adjustRightInd w:val="0"/>
                    <w:snapToGrid w:val="0"/>
                    <w:jc w:val="center"/>
                    <w:rPr>
                      <w:rFonts w:eastAsiaTheme="minorEastAsia"/>
                      <w:b/>
                      <w:color w:val="auto"/>
                      <w:sz w:val="21"/>
                      <w:szCs w:val="21"/>
                    </w:rPr>
                  </w:pPr>
                  <w:r>
                    <w:rPr>
                      <w:rFonts w:hAnsiTheme="minorEastAsia" w:eastAsiaTheme="minorEastAsia"/>
                      <w:b/>
                      <w:color w:val="auto"/>
                      <w:sz w:val="21"/>
                      <w:szCs w:val="21"/>
                    </w:rPr>
                    <w:t>事故类型</w:t>
                  </w:r>
                </w:p>
              </w:tc>
            </w:tr>
            <w:tr w14:paraId="593CBC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97" w:hRule="atLeast"/>
                <w:jc w:val="center"/>
              </w:trPr>
              <w:tc>
                <w:tcPr>
                  <w:tcW w:w="980" w:type="pct"/>
                  <w:vAlign w:val="center"/>
                </w:tcPr>
                <w:p w14:paraId="7189263C">
                  <w:pPr>
                    <w:adjustRightInd w:val="0"/>
                    <w:snapToGrid w:val="0"/>
                    <w:jc w:val="center"/>
                    <w:rPr>
                      <w:rFonts w:eastAsiaTheme="minorEastAsia"/>
                      <w:color w:val="auto"/>
                      <w:sz w:val="21"/>
                      <w:szCs w:val="21"/>
                    </w:rPr>
                  </w:pPr>
                  <w:r>
                    <w:rPr>
                      <w:rFonts w:hAnsiTheme="minorEastAsia" w:eastAsiaTheme="minorEastAsia"/>
                      <w:color w:val="auto"/>
                      <w:sz w:val="21"/>
                      <w:szCs w:val="21"/>
                    </w:rPr>
                    <w:t>厂区雨水排口处</w:t>
                  </w:r>
                </w:p>
              </w:tc>
              <w:tc>
                <w:tcPr>
                  <w:tcW w:w="1477" w:type="pct"/>
                  <w:vAlign w:val="center"/>
                </w:tcPr>
                <w:p w14:paraId="1A0C7381">
                  <w:pPr>
                    <w:adjustRightInd w:val="0"/>
                    <w:snapToGrid w:val="0"/>
                    <w:jc w:val="center"/>
                    <w:rPr>
                      <w:rFonts w:eastAsiaTheme="minorEastAsia"/>
                      <w:color w:val="auto"/>
                      <w:sz w:val="21"/>
                      <w:szCs w:val="21"/>
                    </w:rPr>
                  </w:pPr>
                  <w:r>
                    <w:rPr>
                      <w:rFonts w:eastAsiaTheme="minorEastAsia"/>
                      <w:color w:val="auto"/>
                      <w:sz w:val="21"/>
                      <w:szCs w:val="21"/>
                    </w:rPr>
                    <w:t>pH</w:t>
                  </w:r>
                  <w:r>
                    <w:rPr>
                      <w:rFonts w:hAnsiTheme="minorEastAsia" w:eastAsiaTheme="minorEastAsia"/>
                      <w:color w:val="auto"/>
                      <w:sz w:val="21"/>
                      <w:szCs w:val="21"/>
                    </w:rPr>
                    <w:t>、</w:t>
                  </w:r>
                  <w:r>
                    <w:rPr>
                      <w:rFonts w:eastAsiaTheme="minorEastAsia"/>
                      <w:color w:val="auto"/>
                      <w:sz w:val="21"/>
                      <w:szCs w:val="21"/>
                    </w:rPr>
                    <w:t>COD</w:t>
                  </w:r>
                  <w:r>
                    <w:rPr>
                      <w:rFonts w:hAnsiTheme="minorEastAsia" w:eastAsiaTheme="minorEastAsia"/>
                      <w:color w:val="auto"/>
                      <w:sz w:val="21"/>
                      <w:szCs w:val="21"/>
                    </w:rPr>
                    <w:t>、</w:t>
                  </w:r>
                  <w:r>
                    <w:rPr>
                      <w:rFonts w:eastAsiaTheme="minorEastAsia"/>
                      <w:color w:val="auto"/>
                      <w:sz w:val="21"/>
                      <w:szCs w:val="21"/>
                    </w:rPr>
                    <w:t>SS</w:t>
                  </w:r>
                  <w:r>
                    <w:rPr>
                      <w:rFonts w:hAnsiTheme="minorEastAsia" w:eastAsiaTheme="minorEastAsia"/>
                      <w:color w:val="auto"/>
                      <w:sz w:val="21"/>
                      <w:szCs w:val="21"/>
                    </w:rPr>
                    <w:t>、</w:t>
                  </w:r>
                  <w:r>
                    <w:rPr>
                      <w:rFonts w:hint="eastAsia" w:eastAsiaTheme="minorEastAsia"/>
                      <w:color w:val="auto"/>
                      <w:sz w:val="21"/>
                      <w:szCs w:val="21"/>
                    </w:rPr>
                    <w:t>氨氮、</w:t>
                  </w:r>
                  <w:r>
                    <w:rPr>
                      <w:rFonts w:hint="eastAsia" w:hAnsiTheme="minorEastAsia" w:eastAsiaTheme="minorEastAsia"/>
                      <w:color w:val="auto"/>
                      <w:sz w:val="21"/>
                      <w:szCs w:val="21"/>
                    </w:rPr>
                    <w:t>石油类</w:t>
                  </w:r>
                </w:p>
              </w:tc>
              <w:tc>
                <w:tcPr>
                  <w:tcW w:w="2541" w:type="pct"/>
                  <w:vAlign w:val="center"/>
                </w:tcPr>
                <w:p w14:paraId="587FFB81">
                  <w:pPr>
                    <w:adjustRightInd w:val="0"/>
                    <w:snapToGrid w:val="0"/>
                    <w:jc w:val="center"/>
                    <w:rPr>
                      <w:rFonts w:eastAsiaTheme="minorEastAsia"/>
                      <w:color w:val="auto"/>
                      <w:sz w:val="21"/>
                      <w:szCs w:val="21"/>
                    </w:rPr>
                  </w:pPr>
                  <w:r>
                    <w:rPr>
                      <w:rFonts w:hAnsiTheme="minorEastAsia" w:eastAsiaTheme="minorEastAsia"/>
                      <w:color w:val="auto"/>
                      <w:sz w:val="21"/>
                      <w:szCs w:val="21"/>
                    </w:rPr>
                    <w:t>生产火灾、爆炸事故、危险化学品泄漏燃烧等产生的消防废水、污水站泄漏</w:t>
                  </w:r>
                </w:p>
              </w:tc>
            </w:tr>
          </w:tbl>
          <w:p w14:paraId="4A7F9D49">
            <w:pPr>
              <w:autoSpaceDE w:val="0"/>
              <w:autoSpaceDN w:val="0"/>
              <w:spacing w:line="360" w:lineRule="auto"/>
              <w:ind w:firstLine="420" w:firstLineChars="200"/>
              <w:rPr>
                <w:bCs/>
                <w:color w:val="auto"/>
                <w:sz w:val="21"/>
                <w:szCs w:val="21"/>
              </w:rPr>
            </w:pPr>
            <w:r>
              <w:rPr>
                <w:bCs/>
                <w:color w:val="auto"/>
                <w:sz w:val="21"/>
                <w:szCs w:val="21"/>
              </w:rPr>
              <w:t>2</w:t>
            </w:r>
            <w:r>
              <w:rPr>
                <w:rFonts w:hint="eastAsia"/>
                <w:bCs/>
                <w:color w:val="auto"/>
                <w:sz w:val="21"/>
                <w:szCs w:val="21"/>
              </w:rPr>
              <w:t>）</w:t>
            </w:r>
            <w:r>
              <w:rPr>
                <w:bCs/>
                <w:color w:val="auto"/>
                <w:sz w:val="21"/>
                <w:szCs w:val="21"/>
              </w:rPr>
              <w:t>大气环境污染事故</w:t>
            </w:r>
          </w:p>
          <w:p w14:paraId="5E435A1A">
            <w:pPr>
              <w:autoSpaceDE w:val="0"/>
              <w:autoSpaceDN w:val="0"/>
              <w:spacing w:line="360" w:lineRule="auto"/>
              <w:ind w:firstLine="420" w:firstLineChars="200"/>
              <w:rPr>
                <w:bCs/>
                <w:color w:val="auto"/>
                <w:sz w:val="21"/>
                <w:szCs w:val="21"/>
              </w:rPr>
            </w:pPr>
            <w:r>
              <w:rPr>
                <w:bCs/>
                <w:color w:val="auto"/>
                <w:sz w:val="21"/>
                <w:szCs w:val="21"/>
              </w:rPr>
              <w:t>发生液体泄漏引发的气体泄漏事故性排放时，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在距事故发生地最近的居民住宅区或其他敏感区域应布点采样，且采样过程中应注意风向的变化，及时调整采样点位置。</w:t>
            </w:r>
          </w:p>
          <w:p w14:paraId="428A987D">
            <w:pPr>
              <w:autoSpaceDE w:val="0"/>
              <w:autoSpaceDN w:val="0"/>
              <w:spacing w:line="360" w:lineRule="auto"/>
              <w:ind w:firstLine="420" w:firstLineChars="200"/>
              <w:rPr>
                <w:bCs/>
                <w:color w:val="auto"/>
                <w:sz w:val="21"/>
                <w:szCs w:val="21"/>
              </w:rPr>
            </w:pPr>
            <w:r>
              <w:rPr>
                <w:bCs/>
                <w:color w:val="auto"/>
                <w:sz w:val="21"/>
                <w:szCs w:val="21"/>
              </w:rPr>
              <w:t>对于火灾以及爆炸事故，首先应当确定事故中可能产生的衍生污染物，再根据该污染物的性质特征，按照以上的采样点布置原则进行布点。</w:t>
            </w:r>
          </w:p>
          <w:p w14:paraId="487C7AE4">
            <w:pPr>
              <w:jc w:val="center"/>
              <w:rPr>
                <w:rFonts w:eastAsiaTheme="minorEastAsia"/>
                <w:b/>
                <w:bCs/>
                <w:color w:val="auto"/>
                <w:sz w:val="21"/>
                <w:szCs w:val="21"/>
              </w:rPr>
            </w:pPr>
            <w:r>
              <w:rPr>
                <w:rFonts w:hAnsiTheme="minorEastAsia" w:eastAsiaTheme="minorEastAsia"/>
                <w:b/>
                <w:bCs/>
                <w:color w:val="auto"/>
                <w:sz w:val="21"/>
                <w:szCs w:val="21"/>
              </w:rPr>
              <w:t>表</w:t>
            </w:r>
            <w:r>
              <w:rPr>
                <w:rFonts w:eastAsiaTheme="minorEastAsia"/>
                <w:b/>
                <w:bCs/>
                <w:color w:val="auto"/>
                <w:sz w:val="21"/>
                <w:szCs w:val="21"/>
              </w:rPr>
              <w:t>4</w:t>
            </w:r>
            <w:r>
              <w:rPr>
                <w:rFonts w:hint="eastAsia" w:eastAsiaTheme="minorEastAsia"/>
                <w:b/>
                <w:bCs/>
                <w:color w:val="auto"/>
                <w:sz w:val="21"/>
                <w:szCs w:val="21"/>
                <w:lang w:val="en-US" w:eastAsia="zh-CN"/>
              </w:rPr>
              <w:t>-18</w:t>
            </w:r>
            <w:r>
              <w:rPr>
                <w:rFonts w:hAnsiTheme="minorEastAsia" w:eastAsiaTheme="minorEastAsia"/>
                <w:b/>
                <w:bCs/>
                <w:color w:val="auto"/>
                <w:sz w:val="21"/>
                <w:szCs w:val="21"/>
              </w:rPr>
              <w:t>大气环境污染事故监测方案</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72"/>
              <w:gridCol w:w="2199"/>
              <w:gridCol w:w="1657"/>
              <w:gridCol w:w="1145"/>
              <w:gridCol w:w="1856"/>
            </w:tblGrid>
            <w:tr w14:paraId="5E2A9B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3" w:type="pct"/>
                  <w:vAlign w:val="center"/>
                </w:tcPr>
                <w:p w14:paraId="16676DF0">
                  <w:pPr>
                    <w:spacing w:line="300" w:lineRule="exact"/>
                    <w:jc w:val="center"/>
                    <w:rPr>
                      <w:rFonts w:eastAsiaTheme="minorEastAsia"/>
                      <w:b/>
                      <w:bCs/>
                      <w:color w:val="auto"/>
                      <w:sz w:val="21"/>
                      <w:szCs w:val="21"/>
                    </w:rPr>
                  </w:pPr>
                  <w:r>
                    <w:rPr>
                      <w:rFonts w:hAnsiTheme="minorEastAsia" w:eastAsiaTheme="minorEastAsia"/>
                      <w:b/>
                      <w:bCs/>
                      <w:color w:val="auto"/>
                      <w:sz w:val="21"/>
                      <w:szCs w:val="21"/>
                    </w:rPr>
                    <w:t>事故等级</w:t>
                  </w:r>
                </w:p>
              </w:tc>
              <w:tc>
                <w:tcPr>
                  <w:tcW w:w="1336" w:type="pct"/>
                  <w:vAlign w:val="center"/>
                </w:tcPr>
                <w:p w14:paraId="28E0F830">
                  <w:pPr>
                    <w:spacing w:line="300" w:lineRule="exact"/>
                    <w:jc w:val="center"/>
                    <w:rPr>
                      <w:rFonts w:eastAsiaTheme="minorEastAsia"/>
                      <w:b/>
                      <w:bCs/>
                      <w:color w:val="auto"/>
                      <w:sz w:val="21"/>
                      <w:szCs w:val="21"/>
                    </w:rPr>
                  </w:pPr>
                  <w:r>
                    <w:rPr>
                      <w:rFonts w:hAnsiTheme="minorEastAsia" w:eastAsiaTheme="minorEastAsia"/>
                      <w:b/>
                      <w:bCs/>
                      <w:color w:val="auto"/>
                      <w:sz w:val="21"/>
                      <w:szCs w:val="21"/>
                    </w:rPr>
                    <w:t>监测点位</w:t>
                  </w:r>
                </w:p>
              </w:tc>
              <w:tc>
                <w:tcPr>
                  <w:tcW w:w="1007" w:type="pct"/>
                  <w:vAlign w:val="center"/>
                </w:tcPr>
                <w:p w14:paraId="6ED30EC0">
                  <w:pPr>
                    <w:spacing w:line="300" w:lineRule="exact"/>
                    <w:jc w:val="center"/>
                    <w:rPr>
                      <w:rFonts w:eastAsiaTheme="minorEastAsia"/>
                      <w:b/>
                      <w:bCs/>
                      <w:color w:val="auto"/>
                      <w:sz w:val="21"/>
                      <w:szCs w:val="21"/>
                    </w:rPr>
                  </w:pPr>
                  <w:r>
                    <w:rPr>
                      <w:rFonts w:hAnsiTheme="minorEastAsia" w:eastAsiaTheme="minorEastAsia"/>
                      <w:b/>
                      <w:bCs/>
                      <w:color w:val="auto"/>
                      <w:sz w:val="21"/>
                      <w:szCs w:val="21"/>
                    </w:rPr>
                    <w:t>监测频次</w:t>
                  </w:r>
                </w:p>
              </w:tc>
              <w:tc>
                <w:tcPr>
                  <w:tcW w:w="696" w:type="pct"/>
                  <w:vAlign w:val="center"/>
                </w:tcPr>
                <w:p w14:paraId="34586DF9">
                  <w:pPr>
                    <w:spacing w:line="300" w:lineRule="exact"/>
                    <w:jc w:val="center"/>
                    <w:rPr>
                      <w:rFonts w:eastAsiaTheme="minorEastAsia"/>
                      <w:b/>
                      <w:bCs/>
                      <w:color w:val="auto"/>
                      <w:sz w:val="21"/>
                      <w:szCs w:val="21"/>
                    </w:rPr>
                  </w:pPr>
                  <w:r>
                    <w:rPr>
                      <w:rFonts w:hAnsiTheme="minorEastAsia" w:eastAsiaTheme="minorEastAsia"/>
                      <w:b/>
                      <w:bCs/>
                      <w:color w:val="auto"/>
                      <w:sz w:val="21"/>
                      <w:szCs w:val="21"/>
                    </w:rPr>
                    <w:t>监测因子</w:t>
                  </w:r>
                </w:p>
              </w:tc>
              <w:tc>
                <w:tcPr>
                  <w:tcW w:w="1128" w:type="pct"/>
                  <w:vAlign w:val="center"/>
                </w:tcPr>
                <w:p w14:paraId="2B4ACC28">
                  <w:pPr>
                    <w:spacing w:line="300" w:lineRule="exact"/>
                    <w:jc w:val="center"/>
                    <w:rPr>
                      <w:rFonts w:eastAsiaTheme="minorEastAsia"/>
                      <w:b/>
                      <w:bCs/>
                      <w:color w:val="auto"/>
                      <w:sz w:val="21"/>
                      <w:szCs w:val="21"/>
                    </w:rPr>
                  </w:pPr>
                  <w:r>
                    <w:rPr>
                      <w:rFonts w:hAnsiTheme="minorEastAsia" w:eastAsiaTheme="minorEastAsia"/>
                      <w:b/>
                      <w:bCs/>
                      <w:color w:val="auto"/>
                      <w:sz w:val="21"/>
                      <w:szCs w:val="21"/>
                    </w:rPr>
                    <w:t>追踪监测</w:t>
                  </w:r>
                </w:p>
              </w:tc>
            </w:tr>
            <w:tr w14:paraId="47728B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3" w:type="pct"/>
                  <w:vAlign w:val="center"/>
                </w:tcPr>
                <w:p w14:paraId="357C14EB">
                  <w:pPr>
                    <w:spacing w:line="300" w:lineRule="exact"/>
                    <w:jc w:val="center"/>
                    <w:rPr>
                      <w:rFonts w:eastAsiaTheme="minorEastAsia"/>
                      <w:bCs/>
                      <w:color w:val="auto"/>
                      <w:sz w:val="21"/>
                      <w:szCs w:val="21"/>
                    </w:rPr>
                  </w:pPr>
                  <w:r>
                    <w:rPr>
                      <w:rFonts w:hAnsiTheme="minorEastAsia" w:eastAsiaTheme="minorEastAsia"/>
                      <w:bCs/>
                      <w:color w:val="auto"/>
                      <w:sz w:val="21"/>
                      <w:szCs w:val="21"/>
                    </w:rPr>
                    <w:t>三级事故</w:t>
                  </w:r>
                </w:p>
              </w:tc>
              <w:tc>
                <w:tcPr>
                  <w:tcW w:w="1336" w:type="pct"/>
                  <w:vAlign w:val="center"/>
                </w:tcPr>
                <w:p w14:paraId="59EAA294">
                  <w:pPr>
                    <w:spacing w:line="300" w:lineRule="exact"/>
                    <w:jc w:val="center"/>
                    <w:rPr>
                      <w:rFonts w:eastAsiaTheme="minorEastAsia"/>
                      <w:bCs/>
                      <w:color w:val="auto"/>
                      <w:sz w:val="21"/>
                      <w:szCs w:val="21"/>
                    </w:rPr>
                  </w:pPr>
                  <w:r>
                    <w:rPr>
                      <w:rFonts w:hAnsiTheme="minorEastAsia" w:eastAsiaTheme="minorEastAsia"/>
                      <w:bCs/>
                      <w:color w:val="auto"/>
                      <w:sz w:val="21"/>
                      <w:szCs w:val="21"/>
                    </w:rPr>
                    <w:t>废气排放口、事故发生地、污染物浓度的最大处</w:t>
                  </w:r>
                </w:p>
              </w:tc>
              <w:tc>
                <w:tcPr>
                  <w:tcW w:w="1007" w:type="pct"/>
                  <w:vMerge w:val="restart"/>
                  <w:vAlign w:val="center"/>
                </w:tcPr>
                <w:p w14:paraId="50EB0979">
                  <w:pPr>
                    <w:spacing w:line="300" w:lineRule="exact"/>
                    <w:jc w:val="center"/>
                    <w:rPr>
                      <w:rFonts w:eastAsiaTheme="minorEastAsia"/>
                      <w:bCs/>
                      <w:color w:val="auto"/>
                      <w:sz w:val="21"/>
                      <w:szCs w:val="21"/>
                    </w:rPr>
                  </w:pPr>
                  <w:r>
                    <w:rPr>
                      <w:rFonts w:hAnsiTheme="minorEastAsia" w:eastAsiaTheme="minorEastAsia"/>
                      <w:bCs/>
                      <w:color w:val="auto"/>
                      <w:sz w:val="21"/>
                      <w:szCs w:val="21"/>
                    </w:rPr>
                    <w:t>连续监测</w:t>
                  </w:r>
                  <w:r>
                    <w:rPr>
                      <w:rFonts w:eastAsiaTheme="minorEastAsia"/>
                      <w:bCs/>
                      <w:color w:val="auto"/>
                      <w:sz w:val="21"/>
                      <w:szCs w:val="21"/>
                    </w:rPr>
                    <w:t>2</w:t>
                  </w:r>
                  <w:r>
                    <w:rPr>
                      <w:rFonts w:hAnsiTheme="minorEastAsia" w:eastAsiaTheme="minorEastAsia"/>
                      <w:bCs/>
                      <w:color w:val="auto"/>
                      <w:sz w:val="21"/>
                      <w:szCs w:val="21"/>
                    </w:rPr>
                    <w:t>天、每</w:t>
                  </w:r>
                  <w:r>
                    <w:rPr>
                      <w:rFonts w:eastAsiaTheme="minorEastAsia"/>
                      <w:bCs/>
                      <w:color w:val="auto"/>
                      <w:sz w:val="21"/>
                      <w:szCs w:val="21"/>
                    </w:rPr>
                    <w:t>2</w:t>
                  </w:r>
                  <w:r>
                    <w:rPr>
                      <w:rFonts w:hAnsiTheme="minorEastAsia" w:eastAsiaTheme="minorEastAsia"/>
                      <w:bCs/>
                      <w:color w:val="auto"/>
                      <w:sz w:val="21"/>
                      <w:szCs w:val="21"/>
                    </w:rPr>
                    <w:t>小时采样一次</w:t>
                  </w:r>
                </w:p>
              </w:tc>
              <w:tc>
                <w:tcPr>
                  <w:tcW w:w="696" w:type="pct"/>
                  <w:vMerge w:val="restart"/>
                  <w:vAlign w:val="center"/>
                </w:tcPr>
                <w:p w14:paraId="08CF3917">
                  <w:pPr>
                    <w:spacing w:line="300" w:lineRule="exact"/>
                    <w:jc w:val="center"/>
                    <w:rPr>
                      <w:rFonts w:hint="eastAsia" w:eastAsiaTheme="minorEastAsia"/>
                      <w:bCs/>
                      <w:color w:val="auto"/>
                      <w:sz w:val="21"/>
                      <w:szCs w:val="21"/>
                      <w:lang w:val="en-US" w:eastAsia="zh-CN"/>
                    </w:rPr>
                  </w:pPr>
                  <w:r>
                    <w:rPr>
                      <w:rFonts w:hAnsiTheme="minorEastAsia" w:eastAsiaTheme="minorEastAsia"/>
                      <w:bCs/>
                      <w:color w:val="auto"/>
                      <w:sz w:val="21"/>
                      <w:szCs w:val="21"/>
                    </w:rPr>
                    <w:t>颗粒物、</w:t>
                  </w:r>
                  <w:r>
                    <w:rPr>
                      <w:rFonts w:eastAsiaTheme="minorEastAsia"/>
                      <w:bCs/>
                      <w:color w:val="auto"/>
                      <w:sz w:val="21"/>
                      <w:szCs w:val="21"/>
                    </w:rPr>
                    <w:t>CO</w:t>
                  </w:r>
                  <w:r>
                    <w:rPr>
                      <w:rFonts w:hAnsiTheme="minorEastAsia" w:eastAsiaTheme="minorEastAsia"/>
                      <w:bCs/>
                      <w:color w:val="auto"/>
                      <w:sz w:val="21"/>
                      <w:szCs w:val="21"/>
                    </w:rPr>
                    <w:t>、非甲烷总烃</w:t>
                  </w:r>
                  <w:r>
                    <w:rPr>
                      <w:rFonts w:hint="eastAsia" w:hAnsiTheme="minorEastAsia" w:eastAsiaTheme="minorEastAsia"/>
                      <w:bCs/>
                      <w:color w:val="auto"/>
                      <w:sz w:val="21"/>
                      <w:szCs w:val="21"/>
                    </w:rPr>
                    <w:t>、甲醛、酚类</w:t>
                  </w:r>
                  <w:r>
                    <w:rPr>
                      <w:rFonts w:hint="eastAsia" w:hAnsiTheme="minorEastAsia" w:eastAsiaTheme="minorEastAsia"/>
                      <w:bCs/>
                      <w:color w:val="auto"/>
                      <w:sz w:val="21"/>
                      <w:szCs w:val="21"/>
                      <w:lang w:val="en-US" w:eastAsia="zh-CN"/>
                    </w:rPr>
                    <w:t>等</w:t>
                  </w:r>
                </w:p>
              </w:tc>
              <w:tc>
                <w:tcPr>
                  <w:tcW w:w="1128" w:type="pct"/>
                  <w:vMerge w:val="restart"/>
                  <w:vAlign w:val="center"/>
                </w:tcPr>
                <w:p w14:paraId="15B90200">
                  <w:pPr>
                    <w:spacing w:line="300" w:lineRule="exact"/>
                    <w:jc w:val="center"/>
                    <w:rPr>
                      <w:rFonts w:eastAsiaTheme="minorEastAsia"/>
                      <w:bCs/>
                      <w:color w:val="auto"/>
                      <w:sz w:val="21"/>
                      <w:szCs w:val="21"/>
                    </w:rPr>
                  </w:pPr>
                  <w:r>
                    <w:rPr>
                      <w:rFonts w:hAnsiTheme="minorEastAsia" w:eastAsiaTheme="minorEastAsia"/>
                      <w:bCs/>
                      <w:color w:val="auto"/>
                      <w:sz w:val="21"/>
                      <w:szCs w:val="21"/>
                    </w:rPr>
                    <w:t>连续监测</w:t>
                  </w:r>
                  <w:r>
                    <w:rPr>
                      <w:rFonts w:eastAsiaTheme="minorEastAsia"/>
                      <w:bCs/>
                      <w:color w:val="auto"/>
                      <w:sz w:val="21"/>
                      <w:szCs w:val="21"/>
                    </w:rPr>
                    <w:t>2</w:t>
                  </w:r>
                  <w:r>
                    <w:rPr>
                      <w:rFonts w:hAnsiTheme="minorEastAsia" w:eastAsiaTheme="minorEastAsia"/>
                      <w:bCs/>
                      <w:color w:val="auto"/>
                      <w:sz w:val="21"/>
                      <w:szCs w:val="21"/>
                    </w:rPr>
                    <w:t>次浓度低于环境空气质量标准值或已接近可忽略水平为止</w:t>
                  </w:r>
                </w:p>
              </w:tc>
            </w:tr>
            <w:tr w14:paraId="3C2AC9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3" w:type="pct"/>
                  <w:vAlign w:val="center"/>
                </w:tcPr>
                <w:p w14:paraId="77E0A934">
                  <w:pPr>
                    <w:spacing w:line="300" w:lineRule="exact"/>
                    <w:jc w:val="center"/>
                    <w:rPr>
                      <w:rFonts w:eastAsiaTheme="minorEastAsia"/>
                      <w:bCs/>
                      <w:color w:val="auto"/>
                      <w:sz w:val="21"/>
                      <w:szCs w:val="21"/>
                    </w:rPr>
                  </w:pPr>
                  <w:r>
                    <w:rPr>
                      <w:rFonts w:hAnsiTheme="minorEastAsia" w:eastAsiaTheme="minorEastAsia"/>
                      <w:bCs/>
                      <w:color w:val="auto"/>
                      <w:sz w:val="21"/>
                      <w:szCs w:val="21"/>
                    </w:rPr>
                    <w:t>二级事故</w:t>
                  </w:r>
                </w:p>
              </w:tc>
              <w:tc>
                <w:tcPr>
                  <w:tcW w:w="1336" w:type="pct"/>
                  <w:vAlign w:val="center"/>
                </w:tcPr>
                <w:p w14:paraId="4239E270">
                  <w:pPr>
                    <w:spacing w:line="300" w:lineRule="exact"/>
                    <w:jc w:val="center"/>
                    <w:rPr>
                      <w:rFonts w:eastAsiaTheme="minorEastAsia"/>
                      <w:bCs/>
                      <w:color w:val="auto"/>
                      <w:sz w:val="21"/>
                      <w:szCs w:val="21"/>
                    </w:rPr>
                  </w:pPr>
                  <w:r>
                    <w:rPr>
                      <w:rFonts w:hAnsiTheme="minorEastAsia" w:eastAsiaTheme="minorEastAsia"/>
                      <w:bCs/>
                      <w:color w:val="auto"/>
                      <w:sz w:val="21"/>
                      <w:szCs w:val="21"/>
                    </w:rPr>
                    <w:t>事故发生地最近的居民居住区或其他敏感区</w:t>
                  </w:r>
                </w:p>
              </w:tc>
              <w:tc>
                <w:tcPr>
                  <w:tcW w:w="1007" w:type="pct"/>
                  <w:vMerge w:val="continue"/>
                  <w:vAlign w:val="center"/>
                </w:tcPr>
                <w:p w14:paraId="3F1C7F3D">
                  <w:pPr>
                    <w:widowControl/>
                    <w:jc w:val="left"/>
                    <w:rPr>
                      <w:rFonts w:eastAsiaTheme="minorEastAsia"/>
                      <w:bCs/>
                      <w:color w:val="auto"/>
                      <w:sz w:val="21"/>
                      <w:szCs w:val="21"/>
                    </w:rPr>
                  </w:pPr>
                </w:p>
              </w:tc>
              <w:tc>
                <w:tcPr>
                  <w:tcW w:w="696" w:type="pct"/>
                  <w:vMerge w:val="continue"/>
                  <w:vAlign w:val="center"/>
                </w:tcPr>
                <w:p w14:paraId="126E5A19">
                  <w:pPr>
                    <w:widowControl/>
                    <w:jc w:val="left"/>
                    <w:rPr>
                      <w:rFonts w:eastAsiaTheme="minorEastAsia"/>
                      <w:bCs/>
                      <w:color w:val="auto"/>
                      <w:sz w:val="21"/>
                      <w:szCs w:val="21"/>
                    </w:rPr>
                  </w:pPr>
                </w:p>
              </w:tc>
              <w:tc>
                <w:tcPr>
                  <w:tcW w:w="1128" w:type="pct"/>
                  <w:vMerge w:val="continue"/>
                  <w:vAlign w:val="center"/>
                </w:tcPr>
                <w:p w14:paraId="200D582B">
                  <w:pPr>
                    <w:widowControl/>
                    <w:jc w:val="left"/>
                    <w:rPr>
                      <w:rFonts w:eastAsiaTheme="minorEastAsia"/>
                      <w:bCs/>
                      <w:color w:val="auto"/>
                      <w:sz w:val="21"/>
                      <w:szCs w:val="21"/>
                    </w:rPr>
                  </w:pPr>
                </w:p>
              </w:tc>
            </w:tr>
            <w:tr w14:paraId="289217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3" w:type="pct"/>
                  <w:vAlign w:val="center"/>
                </w:tcPr>
                <w:p w14:paraId="40AA6228">
                  <w:pPr>
                    <w:spacing w:line="300" w:lineRule="exact"/>
                    <w:jc w:val="center"/>
                    <w:rPr>
                      <w:rFonts w:eastAsiaTheme="minorEastAsia"/>
                      <w:bCs/>
                      <w:color w:val="auto"/>
                      <w:sz w:val="21"/>
                      <w:szCs w:val="21"/>
                    </w:rPr>
                  </w:pPr>
                  <w:r>
                    <w:rPr>
                      <w:rFonts w:hAnsiTheme="minorEastAsia" w:eastAsiaTheme="minorEastAsia"/>
                      <w:bCs/>
                      <w:color w:val="auto"/>
                      <w:sz w:val="21"/>
                      <w:szCs w:val="21"/>
                    </w:rPr>
                    <w:t>一级事故</w:t>
                  </w:r>
                </w:p>
              </w:tc>
              <w:tc>
                <w:tcPr>
                  <w:tcW w:w="1336" w:type="pct"/>
                  <w:vAlign w:val="center"/>
                </w:tcPr>
                <w:p w14:paraId="0483E563">
                  <w:pPr>
                    <w:spacing w:line="300" w:lineRule="exact"/>
                    <w:jc w:val="center"/>
                    <w:rPr>
                      <w:rFonts w:eastAsiaTheme="minorEastAsia"/>
                      <w:bCs/>
                      <w:color w:val="auto"/>
                      <w:sz w:val="21"/>
                      <w:szCs w:val="21"/>
                    </w:rPr>
                  </w:pPr>
                  <w:r>
                    <w:rPr>
                      <w:rFonts w:hAnsiTheme="minorEastAsia" w:eastAsiaTheme="minorEastAsia"/>
                      <w:bCs/>
                      <w:color w:val="auto"/>
                      <w:sz w:val="21"/>
                      <w:szCs w:val="21"/>
                    </w:rPr>
                    <w:t>事故发生地的下风向</w:t>
                  </w:r>
                </w:p>
              </w:tc>
              <w:tc>
                <w:tcPr>
                  <w:tcW w:w="1007" w:type="pct"/>
                  <w:vMerge w:val="continue"/>
                  <w:vAlign w:val="center"/>
                </w:tcPr>
                <w:p w14:paraId="5436C482">
                  <w:pPr>
                    <w:widowControl/>
                    <w:jc w:val="left"/>
                    <w:rPr>
                      <w:rFonts w:eastAsiaTheme="minorEastAsia"/>
                      <w:bCs/>
                      <w:color w:val="auto"/>
                      <w:sz w:val="21"/>
                      <w:szCs w:val="21"/>
                    </w:rPr>
                  </w:pPr>
                </w:p>
              </w:tc>
              <w:tc>
                <w:tcPr>
                  <w:tcW w:w="696" w:type="pct"/>
                  <w:vMerge w:val="continue"/>
                  <w:vAlign w:val="center"/>
                </w:tcPr>
                <w:p w14:paraId="596CC827">
                  <w:pPr>
                    <w:widowControl/>
                    <w:jc w:val="left"/>
                    <w:rPr>
                      <w:rFonts w:eastAsiaTheme="minorEastAsia"/>
                      <w:bCs/>
                      <w:color w:val="auto"/>
                      <w:sz w:val="21"/>
                      <w:szCs w:val="21"/>
                    </w:rPr>
                  </w:pPr>
                </w:p>
              </w:tc>
              <w:tc>
                <w:tcPr>
                  <w:tcW w:w="1128" w:type="pct"/>
                  <w:vAlign w:val="center"/>
                </w:tcPr>
                <w:p w14:paraId="75E7722B">
                  <w:pPr>
                    <w:spacing w:line="300" w:lineRule="exact"/>
                    <w:jc w:val="center"/>
                    <w:rPr>
                      <w:rFonts w:eastAsiaTheme="minorEastAsia"/>
                      <w:bCs/>
                      <w:color w:val="auto"/>
                      <w:sz w:val="21"/>
                      <w:szCs w:val="21"/>
                    </w:rPr>
                  </w:pPr>
                  <w:r>
                    <w:rPr>
                      <w:rFonts w:hAnsiTheme="minorEastAsia" w:eastAsiaTheme="minorEastAsia"/>
                      <w:bCs/>
                      <w:color w:val="auto"/>
                      <w:sz w:val="21"/>
                      <w:szCs w:val="21"/>
                    </w:rPr>
                    <w:t>连续监测</w:t>
                  </w:r>
                  <w:r>
                    <w:rPr>
                      <w:rFonts w:eastAsiaTheme="minorEastAsia"/>
                      <w:bCs/>
                      <w:color w:val="auto"/>
                      <w:sz w:val="21"/>
                      <w:szCs w:val="21"/>
                    </w:rPr>
                    <w:t>2~3</w:t>
                  </w:r>
                  <w:r>
                    <w:rPr>
                      <w:rFonts w:hAnsiTheme="minorEastAsia" w:eastAsiaTheme="minorEastAsia"/>
                      <w:bCs/>
                      <w:color w:val="auto"/>
                      <w:sz w:val="21"/>
                      <w:szCs w:val="21"/>
                    </w:rPr>
                    <w:t>天</w:t>
                  </w:r>
                </w:p>
              </w:tc>
            </w:tr>
            <w:tr w14:paraId="47B186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3" w:type="pct"/>
                  <w:vAlign w:val="center"/>
                </w:tcPr>
                <w:p w14:paraId="4A933536">
                  <w:pPr>
                    <w:spacing w:line="300" w:lineRule="exact"/>
                    <w:jc w:val="center"/>
                    <w:rPr>
                      <w:rFonts w:eastAsiaTheme="minorEastAsia"/>
                      <w:bCs/>
                      <w:color w:val="auto"/>
                      <w:sz w:val="21"/>
                      <w:szCs w:val="21"/>
                    </w:rPr>
                  </w:pPr>
                  <w:r>
                    <w:rPr>
                      <w:rFonts w:hAnsiTheme="minorEastAsia" w:eastAsiaTheme="minorEastAsia"/>
                      <w:bCs/>
                      <w:color w:val="auto"/>
                      <w:sz w:val="21"/>
                      <w:szCs w:val="21"/>
                    </w:rPr>
                    <w:t>事故结束后</w:t>
                  </w:r>
                </w:p>
              </w:tc>
              <w:tc>
                <w:tcPr>
                  <w:tcW w:w="1336" w:type="pct"/>
                  <w:vAlign w:val="center"/>
                </w:tcPr>
                <w:p w14:paraId="29C5E3F4">
                  <w:pPr>
                    <w:spacing w:line="300" w:lineRule="exact"/>
                    <w:jc w:val="center"/>
                    <w:rPr>
                      <w:rFonts w:eastAsiaTheme="minorEastAsia"/>
                      <w:bCs/>
                      <w:color w:val="auto"/>
                      <w:sz w:val="21"/>
                      <w:szCs w:val="21"/>
                    </w:rPr>
                  </w:pPr>
                  <w:r>
                    <w:rPr>
                      <w:rFonts w:hAnsiTheme="minorEastAsia" w:eastAsiaTheme="minorEastAsia"/>
                      <w:bCs/>
                      <w:color w:val="auto"/>
                      <w:sz w:val="21"/>
                      <w:szCs w:val="21"/>
                    </w:rPr>
                    <w:t>废气排放口、事故发生地上风向的对照点</w:t>
                  </w:r>
                </w:p>
              </w:tc>
              <w:tc>
                <w:tcPr>
                  <w:tcW w:w="1007" w:type="pct"/>
                  <w:vAlign w:val="center"/>
                </w:tcPr>
                <w:p w14:paraId="5E9A2877">
                  <w:pPr>
                    <w:spacing w:line="300" w:lineRule="exact"/>
                    <w:jc w:val="center"/>
                    <w:rPr>
                      <w:rFonts w:eastAsiaTheme="minorEastAsia"/>
                      <w:bCs/>
                      <w:color w:val="auto"/>
                      <w:sz w:val="21"/>
                      <w:szCs w:val="21"/>
                    </w:rPr>
                  </w:pPr>
                  <w:r>
                    <w:rPr>
                      <w:rFonts w:eastAsiaTheme="minorEastAsia"/>
                      <w:bCs/>
                      <w:color w:val="auto"/>
                      <w:sz w:val="21"/>
                      <w:szCs w:val="21"/>
                    </w:rPr>
                    <w:t>2</w:t>
                  </w:r>
                  <w:r>
                    <w:rPr>
                      <w:rFonts w:hAnsiTheme="minorEastAsia" w:eastAsiaTheme="minorEastAsia"/>
                      <w:bCs/>
                      <w:color w:val="auto"/>
                      <w:sz w:val="21"/>
                      <w:szCs w:val="21"/>
                    </w:rPr>
                    <w:t>次</w:t>
                  </w:r>
                  <w:r>
                    <w:rPr>
                      <w:rFonts w:eastAsiaTheme="minorEastAsia"/>
                      <w:bCs/>
                      <w:color w:val="auto"/>
                      <w:sz w:val="21"/>
                      <w:szCs w:val="21"/>
                    </w:rPr>
                    <w:t>/</w:t>
                  </w:r>
                  <w:r>
                    <w:rPr>
                      <w:rFonts w:hAnsiTheme="minorEastAsia" w:eastAsiaTheme="minorEastAsia"/>
                      <w:bCs/>
                      <w:color w:val="auto"/>
                      <w:sz w:val="21"/>
                      <w:szCs w:val="21"/>
                    </w:rPr>
                    <w:t>应急期间</w:t>
                  </w:r>
                </w:p>
              </w:tc>
              <w:tc>
                <w:tcPr>
                  <w:tcW w:w="696" w:type="pct"/>
                  <w:vMerge w:val="continue"/>
                  <w:vAlign w:val="center"/>
                </w:tcPr>
                <w:p w14:paraId="4EF92451">
                  <w:pPr>
                    <w:widowControl/>
                    <w:jc w:val="left"/>
                    <w:rPr>
                      <w:rFonts w:eastAsiaTheme="minorEastAsia"/>
                      <w:bCs/>
                      <w:color w:val="auto"/>
                      <w:sz w:val="21"/>
                      <w:szCs w:val="21"/>
                    </w:rPr>
                  </w:pPr>
                </w:p>
              </w:tc>
              <w:tc>
                <w:tcPr>
                  <w:tcW w:w="1128" w:type="pct"/>
                  <w:vAlign w:val="center"/>
                </w:tcPr>
                <w:p w14:paraId="4BF75155">
                  <w:pPr>
                    <w:spacing w:line="300" w:lineRule="exact"/>
                    <w:jc w:val="center"/>
                    <w:rPr>
                      <w:rFonts w:eastAsiaTheme="minorEastAsia"/>
                      <w:bCs/>
                      <w:color w:val="auto"/>
                      <w:sz w:val="21"/>
                      <w:szCs w:val="21"/>
                    </w:rPr>
                  </w:pPr>
                  <w:r>
                    <w:rPr>
                      <w:rFonts w:eastAsiaTheme="minorEastAsia"/>
                      <w:bCs/>
                      <w:color w:val="auto"/>
                      <w:sz w:val="21"/>
                      <w:szCs w:val="21"/>
                    </w:rPr>
                    <w:t>——</w:t>
                  </w:r>
                </w:p>
              </w:tc>
            </w:tr>
          </w:tbl>
          <w:p w14:paraId="6010B2AE">
            <w:pPr>
              <w:pStyle w:val="88"/>
              <w:adjustRightInd w:val="0"/>
              <w:snapToGrid w:val="0"/>
              <w:spacing w:beforeLines="0"/>
              <w:ind w:firstLine="422" w:firstLineChars="200"/>
              <w:rPr>
                <w:rFonts w:ascii="Times New Roman" w:hAnsi="Times New Roman" w:cs="Times New Roman"/>
                <w:b/>
                <w:color w:val="auto"/>
                <w:sz w:val="21"/>
                <w:szCs w:val="21"/>
              </w:rPr>
            </w:pPr>
            <w:r>
              <w:rPr>
                <w:rFonts w:hint="eastAsia" w:ascii="Times New Roman" w:hAnsi="Times New Roman" w:cs="Times New Roman"/>
                <w:b/>
                <w:color w:val="auto"/>
                <w:sz w:val="21"/>
                <w:szCs w:val="21"/>
              </w:rPr>
              <w:t>（3）应急物资装备和人员要求</w:t>
            </w:r>
          </w:p>
          <w:p w14:paraId="6A3DB33E">
            <w:pPr>
              <w:adjustRightInd w:val="0"/>
              <w:snapToGrid w:val="0"/>
              <w:spacing w:line="360" w:lineRule="auto"/>
              <w:ind w:firstLine="422" w:firstLineChars="200"/>
              <w:rPr>
                <w:color w:val="auto"/>
                <w:sz w:val="21"/>
                <w:szCs w:val="21"/>
              </w:rPr>
            </w:pPr>
            <w:r>
              <w:rPr>
                <w:rFonts w:hint="eastAsia"/>
                <w:b/>
                <w:color w:val="auto"/>
                <w:sz w:val="21"/>
                <w:szCs w:val="21"/>
              </w:rPr>
              <w:t>应急物资装备：</w:t>
            </w:r>
            <w:r>
              <w:rPr>
                <w:rFonts w:hint="eastAsia"/>
                <w:color w:val="auto"/>
                <w:sz w:val="21"/>
                <w:szCs w:val="21"/>
              </w:rPr>
              <w:t>本项目建成后，</w:t>
            </w:r>
            <w:r>
              <w:rPr>
                <w:rFonts w:hint="eastAsia"/>
                <w:color w:val="auto"/>
                <w:sz w:val="21"/>
                <w:szCs w:val="21"/>
                <w:lang w:val="en-US" w:eastAsia="zh-CN"/>
              </w:rPr>
              <w:t>厂区内消防栓依托租赁方，其余</w:t>
            </w:r>
            <w:r>
              <w:rPr>
                <w:rFonts w:hint="eastAsia"/>
                <w:color w:val="auto"/>
                <w:sz w:val="21"/>
                <w:szCs w:val="21"/>
              </w:rPr>
              <w:t>按照规范设置应急物资，主要物资如下：</w:t>
            </w:r>
          </w:p>
          <w:p w14:paraId="3917CC81">
            <w:pPr>
              <w:jc w:val="center"/>
              <w:rPr>
                <w:b/>
                <w:color w:val="auto"/>
                <w:sz w:val="21"/>
                <w:szCs w:val="21"/>
              </w:rPr>
            </w:pPr>
            <w:r>
              <w:rPr>
                <w:rFonts w:hint="eastAsia"/>
                <w:b/>
                <w:color w:val="auto"/>
                <w:sz w:val="21"/>
                <w:szCs w:val="21"/>
              </w:rPr>
              <w:t>表4</w:t>
            </w:r>
            <w:r>
              <w:rPr>
                <w:rFonts w:hint="eastAsia"/>
                <w:b/>
                <w:color w:val="auto"/>
                <w:sz w:val="21"/>
                <w:szCs w:val="21"/>
                <w:lang w:val="en-US" w:eastAsia="zh-CN"/>
              </w:rPr>
              <w:t>-19</w:t>
            </w:r>
            <w:r>
              <w:rPr>
                <w:rFonts w:hint="eastAsia"/>
                <w:b/>
                <w:color w:val="auto"/>
                <w:sz w:val="21"/>
                <w:szCs w:val="21"/>
              </w:rPr>
              <w:t>本项目应急物资一览表</w:t>
            </w:r>
          </w:p>
          <w:tbl>
            <w:tblPr>
              <w:tblStyle w:val="25"/>
              <w:tblW w:w="795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72"/>
              <w:gridCol w:w="3662"/>
              <w:gridCol w:w="2025"/>
            </w:tblGrid>
            <w:tr w14:paraId="61D9AB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727" w:type="pct"/>
                  <w:gridSpan w:val="2"/>
                  <w:noWrap/>
                  <w:vAlign w:val="center"/>
                </w:tcPr>
                <w:p w14:paraId="676E3748">
                  <w:pPr>
                    <w:adjustRightInd w:val="0"/>
                    <w:snapToGrid w:val="0"/>
                    <w:jc w:val="center"/>
                    <w:rPr>
                      <w:rFonts w:eastAsiaTheme="minorEastAsia"/>
                      <w:b/>
                      <w:bCs/>
                      <w:color w:val="auto"/>
                      <w:kern w:val="0"/>
                      <w:sz w:val="21"/>
                      <w:szCs w:val="21"/>
                    </w:rPr>
                  </w:pPr>
                  <w:r>
                    <w:rPr>
                      <w:rFonts w:hAnsiTheme="minorEastAsia" w:eastAsiaTheme="minorEastAsia"/>
                      <w:b/>
                      <w:bCs/>
                      <w:color w:val="auto"/>
                      <w:kern w:val="0"/>
                      <w:sz w:val="21"/>
                      <w:szCs w:val="21"/>
                    </w:rPr>
                    <w:t>应急物资名称</w:t>
                  </w:r>
                </w:p>
              </w:tc>
              <w:tc>
                <w:tcPr>
                  <w:tcW w:w="1272" w:type="pct"/>
                  <w:noWrap/>
                  <w:vAlign w:val="center"/>
                </w:tcPr>
                <w:p w14:paraId="00AC5CD6">
                  <w:pPr>
                    <w:pStyle w:val="89"/>
                    <w:adjustRightInd w:val="0"/>
                    <w:snapToGrid w:val="0"/>
                    <w:spacing w:line="240" w:lineRule="auto"/>
                    <w:ind w:firstLine="0"/>
                    <w:jc w:val="center"/>
                    <w:rPr>
                      <w:rFonts w:eastAsiaTheme="minorEastAsia"/>
                      <w:b/>
                      <w:bCs/>
                      <w:color w:val="auto"/>
                      <w:sz w:val="21"/>
                      <w:szCs w:val="21"/>
                    </w:rPr>
                  </w:pPr>
                  <w:r>
                    <w:rPr>
                      <w:rFonts w:hAnsiTheme="minorEastAsia" w:eastAsiaTheme="minorEastAsia"/>
                      <w:b/>
                      <w:bCs/>
                      <w:color w:val="auto"/>
                      <w:sz w:val="21"/>
                      <w:szCs w:val="21"/>
                    </w:rPr>
                    <w:t>数量（个</w:t>
                  </w:r>
                  <w:r>
                    <w:rPr>
                      <w:rFonts w:eastAsiaTheme="minorEastAsia"/>
                      <w:b/>
                      <w:bCs/>
                      <w:color w:val="auto"/>
                      <w:sz w:val="21"/>
                      <w:szCs w:val="21"/>
                    </w:rPr>
                    <w:t>/</w:t>
                  </w:r>
                  <w:r>
                    <w:rPr>
                      <w:rFonts w:hAnsiTheme="minorEastAsia" w:eastAsiaTheme="minorEastAsia"/>
                      <w:b/>
                      <w:bCs/>
                      <w:color w:val="auto"/>
                      <w:sz w:val="21"/>
                      <w:szCs w:val="21"/>
                    </w:rPr>
                    <w:t>套）</w:t>
                  </w:r>
                </w:p>
              </w:tc>
            </w:tr>
            <w:tr w14:paraId="41A9C5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restart"/>
                  <w:noWrap/>
                  <w:vAlign w:val="center"/>
                </w:tcPr>
                <w:p w14:paraId="1AA4FC31">
                  <w:pPr>
                    <w:pStyle w:val="89"/>
                    <w:adjustRightInd w:val="0"/>
                    <w:snapToGrid w:val="0"/>
                    <w:spacing w:line="240" w:lineRule="auto"/>
                    <w:ind w:firstLine="0"/>
                    <w:jc w:val="center"/>
                    <w:rPr>
                      <w:rFonts w:eastAsiaTheme="minorEastAsia"/>
                      <w:color w:val="auto"/>
                      <w:sz w:val="21"/>
                      <w:szCs w:val="21"/>
                    </w:rPr>
                  </w:pPr>
                  <w:r>
                    <w:rPr>
                      <w:rFonts w:hAnsiTheme="minorEastAsia" w:eastAsiaTheme="minorEastAsia"/>
                      <w:color w:val="auto"/>
                      <w:sz w:val="21"/>
                      <w:szCs w:val="21"/>
                    </w:rPr>
                    <w:t>个人防护装备器材</w:t>
                  </w:r>
                </w:p>
              </w:tc>
              <w:tc>
                <w:tcPr>
                  <w:tcW w:w="2300" w:type="pct"/>
                  <w:noWrap/>
                  <w:vAlign w:val="center"/>
                </w:tcPr>
                <w:p w14:paraId="6A5A5284">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正压式呼吸器</w:t>
                  </w:r>
                </w:p>
              </w:tc>
              <w:tc>
                <w:tcPr>
                  <w:tcW w:w="1272" w:type="pct"/>
                  <w:noWrap/>
                  <w:vAlign w:val="center"/>
                </w:tcPr>
                <w:p w14:paraId="3AEFD55D">
                  <w:pPr>
                    <w:adjustRightInd w:val="0"/>
                    <w:snapToGrid w:val="0"/>
                    <w:jc w:val="center"/>
                    <w:rPr>
                      <w:rFonts w:eastAsiaTheme="minorEastAsia"/>
                      <w:color w:val="auto"/>
                      <w:kern w:val="0"/>
                      <w:sz w:val="21"/>
                      <w:szCs w:val="21"/>
                    </w:rPr>
                  </w:pPr>
                  <w:r>
                    <w:rPr>
                      <w:rFonts w:eastAsiaTheme="minorEastAsia"/>
                      <w:color w:val="auto"/>
                      <w:kern w:val="0"/>
                      <w:sz w:val="21"/>
                      <w:szCs w:val="21"/>
                    </w:rPr>
                    <w:t>1</w:t>
                  </w:r>
                </w:p>
              </w:tc>
            </w:tr>
            <w:tr w14:paraId="25E13E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3198EE9A">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61A17253">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防毒面具</w:t>
                  </w:r>
                </w:p>
              </w:tc>
              <w:tc>
                <w:tcPr>
                  <w:tcW w:w="1272" w:type="pct"/>
                  <w:noWrap/>
                  <w:vAlign w:val="center"/>
                </w:tcPr>
                <w:p w14:paraId="2997DE77">
                  <w:pPr>
                    <w:adjustRightInd w:val="0"/>
                    <w:snapToGrid w:val="0"/>
                    <w:jc w:val="center"/>
                    <w:rPr>
                      <w:rFonts w:eastAsiaTheme="minorEastAsia"/>
                      <w:color w:val="auto"/>
                      <w:kern w:val="0"/>
                      <w:sz w:val="21"/>
                      <w:szCs w:val="21"/>
                    </w:rPr>
                  </w:pPr>
                  <w:r>
                    <w:rPr>
                      <w:rFonts w:eastAsiaTheme="minorEastAsia"/>
                      <w:color w:val="auto"/>
                      <w:kern w:val="0"/>
                      <w:sz w:val="21"/>
                      <w:szCs w:val="21"/>
                    </w:rPr>
                    <w:t>2</w:t>
                  </w:r>
                </w:p>
              </w:tc>
            </w:tr>
            <w:tr w14:paraId="63DC60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2EEE37FC">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6B601557">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消防服</w:t>
                  </w:r>
                </w:p>
              </w:tc>
              <w:tc>
                <w:tcPr>
                  <w:tcW w:w="1272" w:type="pct"/>
                  <w:noWrap/>
                  <w:vAlign w:val="center"/>
                </w:tcPr>
                <w:p w14:paraId="37C44C28">
                  <w:pPr>
                    <w:adjustRightInd w:val="0"/>
                    <w:snapToGrid w:val="0"/>
                    <w:jc w:val="center"/>
                    <w:rPr>
                      <w:rFonts w:eastAsiaTheme="minorEastAsia"/>
                      <w:color w:val="auto"/>
                      <w:kern w:val="0"/>
                      <w:sz w:val="21"/>
                      <w:szCs w:val="21"/>
                    </w:rPr>
                  </w:pPr>
                  <w:r>
                    <w:rPr>
                      <w:rFonts w:eastAsiaTheme="minorEastAsia"/>
                      <w:color w:val="auto"/>
                      <w:kern w:val="0"/>
                      <w:sz w:val="21"/>
                      <w:szCs w:val="21"/>
                    </w:rPr>
                    <w:t>2</w:t>
                  </w:r>
                </w:p>
              </w:tc>
            </w:tr>
            <w:tr w14:paraId="280BEE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0AED42B2">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05DBF3D7">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消防斧</w:t>
                  </w:r>
                </w:p>
              </w:tc>
              <w:tc>
                <w:tcPr>
                  <w:tcW w:w="1272" w:type="pct"/>
                  <w:noWrap/>
                  <w:vAlign w:val="center"/>
                </w:tcPr>
                <w:p w14:paraId="0C940584">
                  <w:pPr>
                    <w:adjustRightInd w:val="0"/>
                    <w:snapToGrid w:val="0"/>
                    <w:jc w:val="center"/>
                    <w:rPr>
                      <w:rFonts w:eastAsiaTheme="minorEastAsia"/>
                      <w:color w:val="auto"/>
                      <w:kern w:val="0"/>
                      <w:sz w:val="21"/>
                      <w:szCs w:val="21"/>
                    </w:rPr>
                  </w:pPr>
                  <w:r>
                    <w:rPr>
                      <w:rFonts w:eastAsiaTheme="minorEastAsia"/>
                      <w:color w:val="auto"/>
                      <w:kern w:val="0"/>
                      <w:sz w:val="21"/>
                      <w:szCs w:val="21"/>
                    </w:rPr>
                    <w:t>2</w:t>
                  </w:r>
                </w:p>
              </w:tc>
            </w:tr>
            <w:tr w14:paraId="69C012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3185F94B">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45933855">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安全帽、安全带</w:t>
                  </w:r>
                </w:p>
              </w:tc>
              <w:tc>
                <w:tcPr>
                  <w:tcW w:w="1272" w:type="pct"/>
                  <w:noWrap/>
                  <w:vAlign w:val="center"/>
                </w:tcPr>
                <w:p w14:paraId="1E98DC62">
                  <w:pPr>
                    <w:adjustRightInd w:val="0"/>
                    <w:snapToGrid w:val="0"/>
                    <w:jc w:val="center"/>
                    <w:rPr>
                      <w:rFonts w:eastAsiaTheme="minorEastAsia"/>
                      <w:color w:val="auto"/>
                      <w:kern w:val="0"/>
                      <w:sz w:val="21"/>
                      <w:szCs w:val="21"/>
                    </w:rPr>
                  </w:pPr>
                  <w:r>
                    <w:rPr>
                      <w:rFonts w:eastAsiaTheme="minorEastAsia"/>
                      <w:color w:val="auto"/>
                      <w:kern w:val="0"/>
                      <w:sz w:val="21"/>
                      <w:szCs w:val="21"/>
                    </w:rPr>
                    <w:t>4</w:t>
                  </w:r>
                </w:p>
              </w:tc>
            </w:tr>
            <w:tr w14:paraId="7CAB4A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789124EA">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0A939281">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警戒绳、安全绳</w:t>
                  </w:r>
                </w:p>
              </w:tc>
              <w:tc>
                <w:tcPr>
                  <w:tcW w:w="1272" w:type="pct"/>
                  <w:noWrap/>
                  <w:vAlign w:val="center"/>
                </w:tcPr>
                <w:p w14:paraId="12F82CC5">
                  <w:pPr>
                    <w:adjustRightInd w:val="0"/>
                    <w:snapToGrid w:val="0"/>
                    <w:jc w:val="center"/>
                    <w:rPr>
                      <w:rFonts w:eastAsiaTheme="minorEastAsia"/>
                      <w:color w:val="auto"/>
                      <w:kern w:val="0"/>
                      <w:sz w:val="21"/>
                      <w:szCs w:val="21"/>
                    </w:rPr>
                  </w:pPr>
                  <w:r>
                    <w:rPr>
                      <w:rFonts w:eastAsiaTheme="minorEastAsia"/>
                      <w:color w:val="auto"/>
                      <w:kern w:val="0"/>
                      <w:sz w:val="21"/>
                      <w:szCs w:val="21"/>
                    </w:rPr>
                    <w:t>30m</w:t>
                  </w:r>
                </w:p>
              </w:tc>
            </w:tr>
            <w:tr w14:paraId="70E2F7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2CBAE382">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3C547974">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灭火器</w:t>
                  </w:r>
                </w:p>
              </w:tc>
              <w:tc>
                <w:tcPr>
                  <w:tcW w:w="1272" w:type="pct"/>
                  <w:noWrap/>
                  <w:vAlign w:val="center"/>
                </w:tcPr>
                <w:p w14:paraId="4E8010C2">
                  <w:pPr>
                    <w:adjustRightInd w:val="0"/>
                    <w:snapToGrid w:val="0"/>
                    <w:jc w:val="center"/>
                    <w:rPr>
                      <w:rFonts w:eastAsiaTheme="minorEastAsia"/>
                      <w:color w:val="auto"/>
                      <w:kern w:val="0"/>
                      <w:sz w:val="21"/>
                      <w:szCs w:val="21"/>
                    </w:rPr>
                  </w:pPr>
                  <w:r>
                    <w:rPr>
                      <w:rFonts w:hint="eastAsia" w:eastAsiaTheme="minorEastAsia"/>
                      <w:color w:val="auto"/>
                      <w:kern w:val="0"/>
                      <w:sz w:val="21"/>
                      <w:szCs w:val="21"/>
                    </w:rPr>
                    <w:t>若干</w:t>
                  </w:r>
                </w:p>
              </w:tc>
            </w:tr>
            <w:tr w14:paraId="3C91A1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restart"/>
                  <w:noWrap/>
                  <w:vAlign w:val="center"/>
                </w:tcPr>
                <w:p w14:paraId="533692EF">
                  <w:pPr>
                    <w:pStyle w:val="89"/>
                    <w:adjustRightInd w:val="0"/>
                    <w:snapToGrid w:val="0"/>
                    <w:spacing w:line="240" w:lineRule="auto"/>
                    <w:ind w:firstLine="0"/>
                    <w:jc w:val="center"/>
                    <w:rPr>
                      <w:rFonts w:eastAsiaTheme="minorEastAsia"/>
                      <w:color w:val="auto"/>
                      <w:sz w:val="21"/>
                      <w:szCs w:val="21"/>
                    </w:rPr>
                  </w:pPr>
                  <w:r>
                    <w:rPr>
                      <w:rFonts w:hAnsiTheme="minorEastAsia" w:eastAsiaTheme="minorEastAsia"/>
                      <w:color w:val="auto"/>
                      <w:sz w:val="21"/>
                      <w:szCs w:val="21"/>
                    </w:rPr>
                    <w:t>堵漏、收集器材</w:t>
                  </w:r>
                  <w:r>
                    <w:rPr>
                      <w:rFonts w:eastAsiaTheme="minorEastAsia"/>
                      <w:color w:val="auto"/>
                      <w:sz w:val="21"/>
                      <w:szCs w:val="21"/>
                    </w:rPr>
                    <w:t>/</w:t>
                  </w:r>
                  <w:r>
                    <w:rPr>
                      <w:rFonts w:hAnsiTheme="minorEastAsia" w:eastAsiaTheme="minorEastAsia"/>
                      <w:color w:val="auto"/>
                      <w:sz w:val="21"/>
                      <w:szCs w:val="21"/>
                    </w:rPr>
                    <w:t>设备</w:t>
                  </w:r>
                </w:p>
              </w:tc>
              <w:tc>
                <w:tcPr>
                  <w:tcW w:w="2300" w:type="pct"/>
                  <w:noWrap/>
                  <w:vAlign w:val="center"/>
                </w:tcPr>
                <w:p w14:paraId="2D6BD6F8">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消防沙</w:t>
                  </w:r>
                </w:p>
              </w:tc>
              <w:tc>
                <w:tcPr>
                  <w:tcW w:w="1272" w:type="pct"/>
                  <w:noWrap/>
                  <w:vAlign w:val="center"/>
                </w:tcPr>
                <w:p w14:paraId="45788893">
                  <w:pPr>
                    <w:adjustRightInd w:val="0"/>
                    <w:snapToGrid w:val="0"/>
                    <w:jc w:val="center"/>
                    <w:rPr>
                      <w:rFonts w:eastAsiaTheme="minorEastAsia"/>
                      <w:color w:val="auto"/>
                      <w:kern w:val="0"/>
                      <w:sz w:val="21"/>
                      <w:szCs w:val="21"/>
                    </w:rPr>
                  </w:pPr>
                  <w:r>
                    <w:rPr>
                      <w:rFonts w:eastAsiaTheme="minorEastAsia"/>
                      <w:color w:val="auto"/>
                      <w:kern w:val="0"/>
                      <w:sz w:val="21"/>
                      <w:szCs w:val="21"/>
                    </w:rPr>
                    <w:t>50kg</w:t>
                  </w:r>
                </w:p>
              </w:tc>
            </w:tr>
            <w:tr w14:paraId="4B51B7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73F86964">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550BB7E2">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消防铲</w:t>
                  </w:r>
                </w:p>
              </w:tc>
              <w:tc>
                <w:tcPr>
                  <w:tcW w:w="1272" w:type="pct"/>
                  <w:noWrap/>
                  <w:vAlign w:val="center"/>
                </w:tcPr>
                <w:p w14:paraId="2DB9EDF2">
                  <w:pPr>
                    <w:adjustRightInd w:val="0"/>
                    <w:snapToGrid w:val="0"/>
                    <w:jc w:val="center"/>
                    <w:rPr>
                      <w:rFonts w:eastAsiaTheme="minorEastAsia"/>
                      <w:color w:val="auto"/>
                      <w:kern w:val="0"/>
                      <w:sz w:val="21"/>
                      <w:szCs w:val="21"/>
                    </w:rPr>
                  </w:pPr>
                  <w:r>
                    <w:rPr>
                      <w:rFonts w:eastAsiaTheme="minorEastAsia"/>
                      <w:color w:val="auto"/>
                      <w:kern w:val="0"/>
                      <w:sz w:val="21"/>
                      <w:szCs w:val="21"/>
                    </w:rPr>
                    <w:t>2</w:t>
                  </w:r>
                </w:p>
              </w:tc>
            </w:tr>
            <w:tr w14:paraId="164AEC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33E5390D">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111FB67D">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活性炭</w:t>
                  </w:r>
                </w:p>
              </w:tc>
              <w:tc>
                <w:tcPr>
                  <w:tcW w:w="1272" w:type="pct"/>
                  <w:noWrap/>
                  <w:vAlign w:val="center"/>
                </w:tcPr>
                <w:p w14:paraId="518CCA6E">
                  <w:pPr>
                    <w:adjustRightInd w:val="0"/>
                    <w:snapToGrid w:val="0"/>
                    <w:jc w:val="center"/>
                    <w:rPr>
                      <w:rFonts w:eastAsiaTheme="minorEastAsia"/>
                      <w:color w:val="auto"/>
                      <w:kern w:val="0"/>
                      <w:sz w:val="21"/>
                      <w:szCs w:val="21"/>
                    </w:rPr>
                  </w:pPr>
                  <w:r>
                    <w:rPr>
                      <w:rFonts w:eastAsiaTheme="minorEastAsia"/>
                      <w:color w:val="auto"/>
                      <w:kern w:val="0"/>
                      <w:sz w:val="21"/>
                      <w:szCs w:val="21"/>
                    </w:rPr>
                    <w:t>10kg</w:t>
                  </w:r>
                </w:p>
              </w:tc>
            </w:tr>
            <w:tr w14:paraId="41D2BE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restart"/>
                  <w:noWrap/>
                  <w:vAlign w:val="center"/>
                </w:tcPr>
                <w:p w14:paraId="682AE674">
                  <w:pPr>
                    <w:pStyle w:val="89"/>
                    <w:adjustRightInd w:val="0"/>
                    <w:snapToGrid w:val="0"/>
                    <w:spacing w:line="240" w:lineRule="auto"/>
                    <w:ind w:firstLine="0"/>
                    <w:jc w:val="center"/>
                    <w:rPr>
                      <w:rFonts w:eastAsiaTheme="minorEastAsia"/>
                      <w:color w:val="auto"/>
                      <w:sz w:val="21"/>
                      <w:szCs w:val="21"/>
                    </w:rPr>
                  </w:pPr>
                  <w:r>
                    <w:rPr>
                      <w:rFonts w:hAnsiTheme="minorEastAsia" w:eastAsiaTheme="minorEastAsia"/>
                      <w:color w:val="auto"/>
                      <w:sz w:val="21"/>
                      <w:szCs w:val="21"/>
                    </w:rPr>
                    <w:t>应急监测</w:t>
                  </w:r>
                  <w:r>
                    <w:rPr>
                      <w:rFonts w:eastAsiaTheme="minorEastAsia"/>
                      <w:color w:val="auto"/>
                      <w:sz w:val="21"/>
                      <w:szCs w:val="21"/>
                    </w:rPr>
                    <w:t>/</w:t>
                  </w:r>
                  <w:r>
                    <w:rPr>
                      <w:rFonts w:hAnsiTheme="minorEastAsia" w:eastAsiaTheme="minorEastAsia"/>
                      <w:color w:val="auto"/>
                      <w:sz w:val="21"/>
                      <w:szCs w:val="21"/>
                    </w:rPr>
                    <w:t>在线监控设备</w:t>
                  </w:r>
                </w:p>
              </w:tc>
              <w:tc>
                <w:tcPr>
                  <w:tcW w:w="2300" w:type="pct"/>
                  <w:noWrap/>
                  <w:vAlign w:val="center"/>
                </w:tcPr>
                <w:p w14:paraId="500DD26C">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摄像头</w:t>
                  </w:r>
                </w:p>
              </w:tc>
              <w:tc>
                <w:tcPr>
                  <w:tcW w:w="1272" w:type="pct"/>
                  <w:noWrap/>
                  <w:vAlign w:val="center"/>
                </w:tcPr>
                <w:p w14:paraId="331BDEE2">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若干</w:t>
                  </w:r>
                </w:p>
              </w:tc>
            </w:tr>
            <w:tr w14:paraId="09D5C0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1427" w:type="pct"/>
                  <w:vMerge w:val="continue"/>
                  <w:noWrap/>
                  <w:vAlign w:val="center"/>
                </w:tcPr>
                <w:p w14:paraId="4D2044A9">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0FD6E427">
                  <w:pPr>
                    <w:adjustRightInd w:val="0"/>
                    <w:snapToGrid w:val="0"/>
                    <w:jc w:val="center"/>
                    <w:rPr>
                      <w:rFonts w:eastAsiaTheme="minorEastAsia"/>
                      <w:color w:val="auto"/>
                      <w:kern w:val="0"/>
                      <w:sz w:val="21"/>
                      <w:szCs w:val="21"/>
                    </w:rPr>
                  </w:pPr>
                  <w:r>
                    <w:rPr>
                      <w:rFonts w:hAnsiTheme="minorEastAsia" w:eastAsiaTheme="minorEastAsia"/>
                      <w:color w:val="auto"/>
                      <w:sz w:val="21"/>
                      <w:szCs w:val="21"/>
                    </w:rPr>
                    <w:t>可燃气体泄漏报警器</w:t>
                  </w:r>
                </w:p>
              </w:tc>
              <w:tc>
                <w:tcPr>
                  <w:tcW w:w="1272" w:type="pct"/>
                  <w:noWrap/>
                  <w:vAlign w:val="center"/>
                </w:tcPr>
                <w:p w14:paraId="45ED0312">
                  <w:pPr>
                    <w:adjustRightInd w:val="0"/>
                    <w:snapToGrid w:val="0"/>
                    <w:jc w:val="center"/>
                    <w:rPr>
                      <w:rFonts w:eastAsiaTheme="minorEastAsia"/>
                      <w:color w:val="auto"/>
                      <w:kern w:val="0"/>
                      <w:sz w:val="21"/>
                      <w:szCs w:val="21"/>
                    </w:rPr>
                  </w:pPr>
                  <w:r>
                    <w:rPr>
                      <w:rFonts w:hint="eastAsia" w:eastAsiaTheme="minorEastAsia"/>
                      <w:color w:val="auto"/>
                      <w:sz w:val="21"/>
                      <w:szCs w:val="21"/>
                    </w:rPr>
                    <w:t>若干</w:t>
                  </w:r>
                </w:p>
              </w:tc>
            </w:tr>
            <w:tr w14:paraId="2B89EE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32BAD58C">
                  <w:pPr>
                    <w:pStyle w:val="89"/>
                    <w:adjustRightInd w:val="0"/>
                    <w:snapToGrid w:val="0"/>
                    <w:spacing w:line="240" w:lineRule="auto"/>
                    <w:ind w:firstLine="0"/>
                    <w:jc w:val="center"/>
                    <w:rPr>
                      <w:rFonts w:eastAsiaTheme="minorEastAsia"/>
                      <w:color w:val="auto"/>
                      <w:sz w:val="21"/>
                      <w:szCs w:val="21"/>
                    </w:rPr>
                  </w:pPr>
                </w:p>
              </w:tc>
              <w:tc>
                <w:tcPr>
                  <w:tcW w:w="2300" w:type="pct"/>
                  <w:noWrap/>
                  <w:vAlign w:val="center"/>
                </w:tcPr>
                <w:p w14:paraId="27667510">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四合一便携式气体检测仪</w:t>
                  </w:r>
                </w:p>
              </w:tc>
              <w:tc>
                <w:tcPr>
                  <w:tcW w:w="1272" w:type="pct"/>
                  <w:noWrap/>
                  <w:vAlign w:val="center"/>
                </w:tcPr>
                <w:p w14:paraId="0D62F22B">
                  <w:pPr>
                    <w:adjustRightInd w:val="0"/>
                    <w:snapToGrid w:val="0"/>
                    <w:jc w:val="center"/>
                    <w:rPr>
                      <w:rFonts w:eastAsiaTheme="minorEastAsia"/>
                      <w:color w:val="auto"/>
                      <w:kern w:val="0"/>
                      <w:sz w:val="21"/>
                      <w:szCs w:val="21"/>
                    </w:rPr>
                  </w:pPr>
                  <w:r>
                    <w:rPr>
                      <w:rFonts w:eastAsiaTheme="minorEastAsia"/>
                      <w:color w:val="auto"/>
                      <w:kern w:val="0"/>
                      <w:sz w:val="21"/>
                      <w:szCs w:val="21"/>
                    </w:rPr>
                    <w:t>1</w:t>
                  </w:r>
                  <w:r>
                    <w:rPr>
                      <w:rFonts w:hAnsiTheme="minorEastAsia" w:eastAsiaTheme="minorEastAsia"/>
                      <w:color w:val="auto"/>
                      <w:kern w:val="0"/>
                      <w:sz w:val="21"/>
                      <w:szCs w:val="21"/>
                    </w:rPr>
                    <w:t>个</w:t>
                  </w:r>
                </w:p>
              </w:tc>
            </w:tr>
            <w:tr w14:paraId="54E2A3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restart"/>
                  <w:noWrap/>
                  <w:vAlign w:val="center"/>
                </w:tcPr>
                <w:p w14:paraId="49D19A0B">
                  <w:pPr>
                    <w:pStyle w:val="89"/>
                    <w:adjustRightInd w:val="0"/>
                    <w:snapToGrid w:val="0"/>
                    <w:spacing w:line="240" w:lineRule="auto"/>
                    <w:ind w:firstLine="0"/>
                    <w:jc w:val="center"/>
                    <w:rPr>
                      <w:rFonts w:eastAsiaTheme="minorEastAsia"/>
                      <w:color w:val="auto"/>
                      <w:sz w:val="21"/>
                      <w:szCs w:val="21"/>
                    </w:rPr>
                  </w:pPr>
                  <w:r>
                    <w:rPr>
                      <w:rFonts w:hAnsiTheme="minorEastAsia" w:eastAsiaTheme="minorEastAsia"/>
                      <w:color w:val="auto"/>
                      <w:sz w:val="21"/>
                      <w:szCs w:val="21"/>
                    </w:rPr>
                    <w:t>常用应急物资</w:t>
                  </w:r>
                </w:p>
              </w:tc>
              <w:tc>
                <w:tcPr>
                  <w:tcW w:w="2300" w:type="pct"/>
                  <w:noWrap/>
                  <w:vAlign w:val="center"/>
                </w:tcPr>
                <w:p w14:paraId="1E3103F4">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防毒口罩</w:t>
                  </w:r>
                </w:p>
              </w:tc>
              <w:tc>
                <w:tcPr>
                  <w:tcW w:w="1272" w:type="pct"/>
                  <w:noWrap/>
                  <w:vAlign w:val="center"/>
                </w:tcPr>
                <w:p w14:paraId="52629C92">
                  <w:pPr>
                    <w:adjustRightInd w:val="0"/>
                    <w:snapToGrid w:val="0"/>
                    <w:jc w:val="center"/>
                    <w:rPr>
                      <w:rFonts w:eastAsiaTheme="minorEastAsia"/>
                      <w:color w:val="auto"/>
                      <w:kern w:val="0"/>
                      <w:sz w:val="21"/>
                      <w:szCs w:val="21"/>
                    </w:rPr>
                  </w:pPr>
                  <w:r>
                    <w:rPr>
                      <w:rFonts w:eastAsiaTheme="minorEastAsia"/>
                      <w:color w:val="auto"/>
                      <w:kern w:val="0"/>
                      <w:sz w:val="21"/>
                      <w:szCs w:val="21"/>
                    </w:rPr>
                    <w:t>10</w:t>
                  </w:r>
                </w:p>
              </w:tc>
            </w:tr>
            <w:tr w14:paraId="273A5C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445436E6">
                  <w:pPr>
                    <w:adjustRightInd w:val="0"/>
                    <w:snapToGrid w:val="0"/>
                    <w:jc w:val="center"/>
                    <w:rPr>
                      <w:rFonts w:eastAsiaTheme="minorEastAsia"/>
                      <w:color w:val="auto"/>
                      <w:kern w:val="0"/>
                      <w:sz w:val="21"/>
                      <w:szCs w:val="21"/>
                    </w:rPr>
                  </w:pPr>
                </w:p>
              </w:tc>
              <w:tc>
                <w:tcPr>
                  <w:tcW w:w="2300" w:type="pct"/>
                  <w:noWrap/>
                  <w:vAlign w:val="center"/>
                </w:tcPr>
                <w:p w14:paraId="10F79F45">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防冻手套</w:t>
                  </w:r>
                </w:p>
              </w:tc>
              <w:tc>
                <w:tcPr>
                  <w:tcW w:w="1272" w:type="pct"/>
                  <w:noWrap/>
                  <w:vAlign w:val="center"/>
                </w:tcPr>
                <w:p w14:paraId="4528D09D">
                  <w:pPr>
                    <w:adjustRightInd w:val="0"/>
                    <w:snapToGrid w:val="0"/>
                    <w:jc w:val="center"/>
                    <w:rPr>
                      <w:rFonts w:eastAsiaTheme="minorEastAsia"/>
                      <w:color w:val="auto"/>
                      <w:kern w:val="0"/>
                      <w:sz w:val="21"/>
                      <w:szCs w:val="21"/>
                    </w:rPr>
                  </w:pPr>
                  <w:r>
                    <w:rPr>
                      <w:rFonts w:eastAsiaTheme="minorEastAsia"/>
                      <w:color w:val="auto"/>
                      <w:kern w:val="0"/>
                      <w:sz w:val="21"/>
                      <w:szCs w:val="21"/>
                    </w:rPr>
                    <w:t>4</w:t>
                  </w:r>
                </w:p>
              </w:tc>
            </w:tr>
            <w:tr w14:paraId="26F38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271B9316">
                  <w:pPr>
                    <w:adjustRightInd w:val="0"/>
                    <w:snapToGrid w:val="0"/>
                    <w:jc w:val="center"/>
                    <w:rPr>
                      <w:rFonts w:eastAsiaTheme="minorEastAsia"/>
                      <w:color w:val="auto"/>
                      <w:kern w:val="0"/>
                      <w:sz w:val="21"/>
                      <w:szCs w:val="21"/>
                    </w:rPr>
                  </w:pPr>
                </w:p>
              </w:tc>
              <w:tc>
                <w:tcPr>
                  <w:tcW w:w="2300" w:type="pct"/>
                  <w:noWrap/>
                  <w:vAlign w:val="center"/>
                </w:tcPr>
                <w:p w14:paraId="52CF831B">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救援车辆</w:t>
                  </w:r>
                </w:p>
              </w:tc>
              <w:tc>
                <w:tcPr>
                  <w:tcW w:w="1272" w:type="pct"/>
                  <w:noWrap/>
                  <w:vAlign w:val="center"/>
                </w:tcPr>
                <w:p w14:paraId="03ED35C5">
                  <w:pPr>
                    <w:adjustRightInd w:val="0"/>
                    <w:snapToGrid w:val="0"/>
                    <w:jc w:val="center"/>
                    <w:rPr>
                      <w:rFonts w:eastAsiaTheme="minorEastAsia"/>
                      <w:color w:val="auto"/>
                      <w:kern w:val="0"/>
                      <w:sz w:val="21"/>
                      <w:szCs w:val="21"/>
                    </w:rPr>
                  </w:pPr>
                  <w:r>
                    <w:rPr>
                      <w:rFonts w:eastAsiaTheme="minorEastAsia"/>
                      <w:color w:val="auto"/>
                      <w:kern w:val="0"/>
                      <w:sz w:val="21"/>
                      <w:szCs w:val="21"/>
                    </w:rPr>
                    <w:t>1</w:t>
                  </w:r>
                </w:p>
              </w:tc>
            </w:tr>
            <w:tr w14:paraId="4143BB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49362D49">
                  <w:pPr>
                    <w:adjustRightInd w:val="0"/>
                    <w:snapToGrid w:val="0"/>
                    <w:jc w:val="center"/>
                    <w:rPr>
                      <w:rFonts w:eastAsiaTheme="minorEastAsia"/>
                      <w:color w:val="auto"/>
                      <w:kern w:val="0"/>
                      <w:sz w:val="21"/>
                      <w:szCs w:val="21"/>
                    </w:rPr>
                  </w:pPr>
                </w:p>
              </w:tc>
              <w:tc>
                <w:tcPr>
                  <w:tcW w:w="2300" w:type="pct"/>
                  <w:noWrap/>
                  <w:vAlign w:val="center"/>
                </w:tcPr>
                <w:p w14:paraId="3AB3B9DB">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急救箱</w:t>
                  </w:r>
                </w:p>
              </w:tc>
              <w:tc>
                <w:tcPr>
                  <w:tcW w:w="1272" w:type="pct"/>
                  <w:noWrap/>
                  <w:vAlign w:val="center"/>
                </w:tcPr>
                <w:p w14:paraId="0C485DEC">
                  <w:pPr>
                    <w:adjustRightInd w:val="0"/>
                    <w:snapToGrid w:val="0"/>
                    <w:jc w:val="center"/>
                    <w:rPr>
                      <w:rFonts w:eastAsiaTheme="minorEastAsia"/>
                      <w:color w:val="auto"/>
                      <w:kern w:val="0"/>
                      <w:sz w:val="21"/>
                      <w:szCs w:val="21"/>
                    </w:rPr>
                  </w:pPr>
                  <w:r>
                    <w:rPr>
                      <w:rFonts w:eastAsiaTheme="minorEastAsia"/>
                      <w:color w:val="auto"/>
                      <w:kern w:val="0"/>
                      <w:sz w:val="21"/>
                      <w:szCs w:val="21"/>
                    </w:rPr>
                    <w:t>2</w:t>
                  </w:r>
                </w:p>
              </w:tc>
            </w:tr>
            <w:tr w14:paraId="20EA20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427" w:type="pct"/>
                  <w:vMerge w:val="continue"/>
                  <w:noWrap/>
                  <w:vAlign w:val="center"/>
                </w:tcPr>
                <w:p w14:paraId="4174FA61">
                  <w:pPr>
                    <w:adjustRightInd w:val="0"/>
                    <w:snapToGrid w:val="0"/>
                    <w:jc w:val="center"/>
                    <w:rPr>
                      <w:rFonts w:eastAsiaTheme="minorEastAsia"/>
                      <w:color w:val="auto"/>
                      <w:kern w:val="0"/>
                      <w:sz w:val="21"/>
                      <w:szCs w:val="21"/>
                    </w:rPr>
                  </w:pPr>
                </w:p>
              </w:tc>
              <w:tc>
                <w:tcPr>
                  <w:tcW w:w="2300" w:type="pct"/>
                  <w:noWrap/>
                  <w:vAlign w:val="center"/>
                </w:tcPr>
                <w:p w14:paraId="21597E29">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应急照明</w:t>
                  </w:r>
                </w:p>
              </w:tc>
              <w:tc>
                <w:tcPr>
                  <w:tcW w:w="1272" w:type="pct"/>
                  <w:noWrap/>
                  <w:vAlign w:val="center"/>
                </w:tcPr>
                <w:p w14:paraId="203519F9">
                  <w:pPr>
                    <w:adjustRightInd w:val="0"/>
                    <w:snapToGrid w:val="0"/>
                    <w:jc w:val="center"/>
                    <w:rPr>
                      <w:rFonts w:eastAsiaTheme="minorEastAsia"/>
                      <w:color w:val="auto"/>
                      <w:kern w:val="0"/>
                      <w:sz w:val="21"/>
                      <w:szCs w:val="21"/>
                    </w:rPr>
                  </w:pPr>
                  <w:r>
                    <w:rPr>
                      <w:rFonts w:eastAsiaTheme="minorEastAsia"/>
                      <w:color w:val="auto"/>
                      <w:kern w:val="0"/>
                      <w:sz w:val="21"/>
                      <w:szCs w:val="21"/>
                    </w:rPr>
                    <w:t>6</w:t>
                  </w:r>
                </w:p>
              </w:tc>
            </w:tr>
            <w:tr w14:paraId="247EE4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1427" w:type="pct"/>
                  <w:vMerge w:val="continue"/>
                  <w:noWrap/>
                  <w:vAlign w:val="center"/>
                </w:tcPr>
                <w:p w14:paraId="1477AB96">
                  <w:pPr>
                    <w:adjustRightInd w:val="0"/>
                    <w:snapToGrid w:val="0"/>
                    <w:jc w:val="center"/>
                    <w:rPr>
                      <w:rFonts w:eastAsiaTheme="minorEastAsia"/>
                      <w:color w:val="auto"/>
                      <w:kern w:val="0"/>
                      <w:sz w:val="21"/>
                      <w:szCs w:val="21"/>
                    </w:rPr>
                  </w:pPr>
                </w:p>
              </w:tc>
              <w:tc>
                <w:tcPr>
                  <w:tcW w:w="2300" w:type="pct"/>
                  <w:noWrap/>
                  <w:vAlign w:val="center"/>
                </w:tcPr>
                <w:p w14:paraId="6243D9D7">
                  <w:pPr>
                    <w:adjustRightInd w:val="0"/>
                    <w:snapToGrid w:val="0"/>
                    <w:jc w:val="center"/>
                    <w:rPr>
                      <w:rFonts w:eastAsiaTheme="minorEastAsia"/>
                      <w:color w:val="auto"/>
                      <w:kern w:val="0"/>
                      <w:sz w:val="21"/>
                      <w:szCs w:val="21"/>
                    </w:rPr>
                  </w:pPr>
                  <w:r>
                    <w:rPr>
                      <w:rFonts w:hAnsiTheme="minorEastAsia" w:eastAsiaTheme="minorEastAsia"/>
                      <w:color w:val="auto"/>
                      <w:kern w:val="0"/>
                      <w:sz w:val="21"/>
                      <w:szCs w:val="21"/>
                    </w:rPr>
                    <w:t>水泵阀</w:t>
                  </w:r>
                </w:p>
              </w:tc>
              <w:tc>
                <w:tcPr>
                  <w:tcW w:w="1272" w:type="pct"/>
                  <w:noWrap/>
                  <w:vAlign w:val="center"/>
                </w:tcPr>
                <w:p w14:paraId="517312A5">
                  <w:pPr>
                    <w:adjustRightInd w:val="0"/>
                    <w:snapToGrid w:val="0"/>
                    <w:jc w:val="center"/>
                    <w:rPr>
                      <w:rFonts w:eastAsiaTheme="minorEastAsia"/>
                      <w:color w:val="auto"/>
                      <w:kern w:val="0"/>
                      <w:sz w:val="21"/>
                      <w:szCs w:val="21"/>
                    </w:rPr>
                  </w:pPr>
                  <w:r>
                    <w:rPr>
                      <w:rFonts w:eastAsiaTheme="minorEastAsia"/>
                      <w:color w:val="auto"/>
                      <w:kern w:val="0"/>
                      <w:sz w:val="21"/>
                      <w:szCs w:val="21"/>
                    </w:rPr>
                    <w:t>1</w:t>
                  </w:r>
                </w:p>
              </w:tc>
            </w:tr>
          </w:tbl>
          <w:p w14:paraId="138A8AFC">
            <w:pPr>
              <w:spacing w:line="360" w:lineRule="auto"/>
              <w:ind w:firstLine="420" w:firstLineChars="200"/>
              <w:rPr>
                <w:color w:val="auto"/>
                <w:sz w:val="21"/>
                <w:szCs w:val="21"/>
              </w:rPr>
            </w:pPr>
            <w:r>
              <w:rPr>
                <w:rFonts w:hint="eastAsia"/>
                <w:color w:val="auto"/>
                <w:sz w:val="21"/>
                <w:szCs w:val="21"/>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针对培训内容进行考试，考试成绩纳入年终考核。</w:t>
            </w:r>
          </w:p>
          <w:p w14:paraId="566734A9">
            <w:pPr>
              <w:spacing w:line="360" w:lineRule="auto"/>
              <w:ind w:firstLine="422" w:firstLineChars="200"/>
              <w:rPr>
                <w:b/>
                <w:color w:val="auto"/>
                <w:sz w:val="21"/>
                <w:szCs w:val="21"/>
              </w:rPr>
            </w:pPr>
            <w:r>
              <w:rPr>
                <w:rFonts w:hint="eastAsia"/>
                <w:b/>
                <w:color w:val="auto"/>
                <w:sz w:val="21"/>
                <w:szCs w:val="21"/>
              </w:rPr>
              <w:t>（4）隐患排查制度</w:t>
            </w:r>
          </w:p>
          <w:p w14:paraId="5A644E24">
            <w:pPr>
              <w:spacing w:line="360" w:lineRule="auto"/>
              <w:ind w:firstLine="420" w:firstLineChars="200"/>
              <w:rPr>
                <w:color w:val="auto"/>
                <w:sz w:val="21"/>
                <w:szCs w:val="21"/>
              </w:rPr>
            </w:pPr>
            <w:r>
              <w:rPr>
                <w:color w:val="auto"/>
                <w:sz w:val="21"/>
                <w:szCs w:val="21"/>
              </w:rPr>
              <w:t>1</w:t>
            </w:r>
            <w:r>
              <w:rPr>
                <w:rFonts w:hint="eastAsia"/>
                <w:color w:val="auto"/>
                <w:sz w:val="21"/>
                <w:szCs w:val="21"/>
              </w:rPr>
              <w:t>）建立突发环境事件隐患排查制度</w:t>
            </w:r>
          </w:p>
          <w:p w14:paraId="17177C8A">
            <w:pPr>
              <w:spacing w:line="360" w:lineRule="auto"/>
              <w:ind w:firstLine="420" w:firstLineChars="200"/>
              <w:rPr>
                <w:color w:val="auto"/>
                <w:sz w:val="21"/>
                <w:szCs w:val="21"/>
              </w:rPr>
            </w:pPr>
            <w:r>
              <w:rPr>
                <w:rFonts w:hint="eastAsia"/>
                <w:color w:val="auto"/>
                <w:sz w:val="21"/>
                <w:szCs w:val="21"/>
              </w:rPr>
              <w:t>企业需按照《企业突发环境事件隐患排查与治理工作指南（试行）》开展隐患排查，企业在下一步过程中细化隐患排查。</w:t>
            </w:r>
          </w:p>
          <w:p w14:paraId="08ED7D8C">
            <w:pPr>
              <w:spacing w:line="360" w:lineRule="auto"/>
              <w:ind w:firstLine="420" w:firstLineChars="200"/>
              <w:rPr>
                <w:color w:val="auto"/>
                <w:sz w:val="21"/>
                <w:szCs w:val="21"/>
              </w:rPr>
            </w:pPr>
            <w:r>
              <w:rPr>
                <w:rFonts w:hint="eastAsia"/>
                <w:color w:val="auto"/>
                <w:sz w:val="21"/>
                <w:szCs w:val="21"/>
              </w:rPr>
              <w:t>隐患排查内容：从环境应急管理和突发环境事件风险防控措施（大气环境、水环境）两大方面排查可能直接导致或次生突发环境事件的隐患。</w:t>
            </w:r>
          </w:p>
          <w:p w14:paraId="5F5C7DBF">
            <w:pPr>
              <w:adjustRightInd w:val="0"/>
              <w:snapToGrid w:val="0"/>
              <w:spacing w:line="360" w:lineRule="auto"/>
              <w:ind w:firstLine="561"/>
              <w:rPr>
                <w:color w:val="auto"/>
                <w:sz w:val="21"/>
                <w:szCs w:val="21"/>
              </w:rPr>
            </w:pPr>
            <w:r>
              <w:rPr>
                <w:color w:val="auto"/>
                <w:sz w:val="21"/>
                <w:szCs w:val="21"/>
              </w:rPr>
              <w:t>2</w:t>
            </w:r>
            <w:r>
              <w:rPr>
                <w:rFonts w:hint="eastAsia"/>
                <w:color w:val="auto"/>
                <w:sz w:val="21"/>
                <w:szCs w:val="21"/>
              </w:rPr>
              <w:t>）加强宣传培训和演练</w:t>
            </w:r>
          </w:p>
          <w:p w14:paraId="0316F4DA">
            <w:pPr>
              <w:adjustRightInd w:val="0"/>
              <w:snapToGrid w:val="0"/>
              <w:spacing w:line="360" w:lineRule="auto"/>
              <w:ind w:firstLine="561"/>
              <w:rPr>
                <w:color w:val="auto"/>
                <w:sz w:val="21"/>
                <w:szCs w:val="21"/>
              </w:rPr>
            </w:pPr>
            <w:r>
              <w:rPr>
                <w:rFonts w:hint="eastAsia"/>
                <w:color w:val="auto"/>
                <w:sz w:val="21"/>
                <w:szCs w:val="21"/>
              </w:rPr>
              <w:t>建设单位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w:t>
            </w:r>
          </w:p>
          <w:p w14:paraId="458F70BC">
            <w:pPr>
              <w:adjustRightInd w:val="0"/>
              <w:snapToGrid w:val="0"/>
              <w:spacing w:line="360" w:lineRule="auto"/>
              <w:ind w:firstLine="561"/>
              <w:rPr>
                <w:color w:val="auto"/>
                <w:sz w:val="21"/>
                <w:szCs w:val="21"/>
              </w:rPr>
            </w:pPr>
            <w:r>
              <w:rPr>
                <w:rFonts w:hint="eastAsia"/>
                <w:color w:val="auto"/>
                <w:sz w:val="21"/>
                <w:szCs w:val="21"/>
              </w:rPr>
              <w:t>由安全环保部门每季度组织一次环境保护科普宣传教育工作，由应急管理部门或机构每半年进行一次环保应急处置等相关培训，每年定期组织全厂员工进行关于化学品泄漏进行封堵处置，故障废气治理设施的快速关停维修保障，防止废水外排至厂区外的封堵处置、厂区人员应急疏散与急救等各种类型的环境风险事故针对性的应急演练。</w:t>
            </w:r>
          </w:p>
          <w:p w14:paraId="50CF0B90">
            <w:pPr>
              <w:adjustRightInd w:val="0"/>
              <w:snapToGrid w:val="0"/>
              <w:spacing w:line="360" w:lineRule="auto"/>
              <w:ind w:firstLine="561"/>
              <w:rPr>
                <w:color w:val="auto"/>
                <w:sz w:val="21"/>
                <w:szCs w:val="21"/>
              </w:rPr>
            </w:pPr>
            <w:r>
              <w:rPr>
                <w:color w:val="auto"/>
                <w:sz w:val="21"/>
                <w:szCs w:val="21"/>
              </w:rPr>
              <w:t>3</w:t>
            </w:r>
            <w:r>
              <w:rPr>
                <w:rFonts w:hint="eastAsia"/>
                <w:color w:val="auto"/>
                <w:sz w:val="21"/>
                <w:szCs w:val="21"/>
              </w:rPr>
              <w:t>）建立档案</w:t>
            </w:r>
          </w:p>
          <w:p w14:paraId="6004500F">
            <w:pPr>
              <w:spacing w:line="360" w:lineRule="auto"/>
              <w:ind w:firstLine="420" w:firstLineChars="200"/>
              <w:rPr>
                <w:color w:val="auto"/>
                <w:sz w:val="21"/>
                <w:szCs w:val="21"/>
              </w:rPr>
            </w:pPr>
            <w:r>
              <w:rPr>
                <w:rFonts w:hint="eastAsia"/>
                <w:color w:val="auto"/>
                <w:sz w:val="21"/>
                <w:szCs w:val="21"/>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14:paraId="056B18BA">
            <w:pPr>
              <w:spacing w:line="360" w:lineRule="auto"/>
              <w:ind w:firstLine="422" w:firstLineChars="200"/>
              <w:rPr>
                <w:b/>
                <w:color w:val="auto"/>
                <w:sz w:val="21"/>
                <w:szCs w:val="21"/>
              </w:rPr>
            </w:pPr>
            <w:r>
              <w:rPr>
                <w:rFonts w:hint="eastAsia"/>
                <w:b/>
                <w:color w:val="auto"/>
                <w:sz w:val="21"/>
                <w:szCs w:val="21"/>
              </w:rPr>
              <w:t>（5）应急培训、演练和台账记录要求</w:t>
            </w:r>
          </w:p>
          <w:p w14:paraId="79A39B1D">
            <w:pPr>
              <w:spacing w:line="360" w:lineRule="auto"/>
              <w:ind w:firstLine="420" w:firstLineChars="200"/>
              <w:rPr>
                <w:color w:val="auto"/>
                <w:sz w:val="21"/>
                <w:szCs w:val="21"/>
              </w:rPr>
            </w:pPr>
            <w:r>
              <w:rPr>
                <w:color w:val="auto"/>
                <w:sz w:val="21"/>
                <w:szCs w:val="21"/>
              </w:rPr>
              <w:t>1</w:t>
            </w:r>
            <w:r>
              <w:rPr>
                <w:rFonts w:hint="eastAsia"/>
                <w:color w:val="auto"/>
                <w:sz w:val="21"/>
                <w:szCs w:val="21"/>
              </w:rPr>
              <w:t>）应急培训</w:t>
            </w:r>
          </w:p>
          <w:p w14:paraId="4A4619BB">
            <w:pPr>
              <w:spacing w:line="360" w:lineRule="auto"/>
              <w:ind w:firstLine="420" w:firstLineChars="200"/>
              <w:rPr>
                <w:color w:val="auto"/>
                <w:sz w:val="21"/>
                <w:szCs w:val="21"/>
              </w:rPr>
            </w:pPr>
            <w:r>
              <w:rPr>
                <w:rFonts w:hint="eastAsia"/>
                <w:color w:val="auto"/>
                <w:sz w:val="21"/>
                <w:szCs w:val="21"/>
              </w:rPr>
              <w:t>公司应组织对员工应急预案的培训与宣传教育，培训应形成详细台账记录，记录培训时间、地点、内容、参加人员、考试评估等情况。公司至少每年组织一次应急救援方面的培训考核。</w:t>
            </w:r>
          </w:p>
          <w:p w14:paraId="0DA00F58">
            <w:pPr>
              <w:spacing w:line="360" w:lineRule="auto"/>
              <w:ind w:firstLine="420" w:firstLineChars="200"/>
              <w:rPr>
                <w:color w:val="auto"/>
                <w:sz w:val="21"/>
                <w:szCs w:val="21"/>
              </w:rPr>
            </w:pPr>
            <w:r>
              <w:rPr>
                <w:rFonts w:hint="eastAsia"/>
                <w:color w:val="auto"/>
                <w:sz w:val="21"/>
                <w:szCs w:val="21"/>
              </w:rPr>
              <w:t>（</w:t>
            </w:r>
            <w:r>
              <w:rPr>
                <w:color w:val="auto"/>
                <w:sz w:val="21"/>
                <w:szCs w:val="21"/>
              </w:rPr>
              <w:t>2</w:t>
            </w:r>
            <w:r>
              <w:rPr>
                <w:rFonts w:hint="eastAsia"/>
                <w:color w:val="auto"/>
                <w:sz w:val="21"/>
                <w:szCs w:val="21"/>
              </w:rPr>
              <w:t>）应急演练</w:t>
            </w:r>
          </w:p>
          <w:p w14:paraId="7F5A2C2F">
            <w:pPr>
              <w:spacing w:line="360" w:lineRule="auto"/>
              <w:ind w:firstLine="420" w:firstLineChars="200"/>
              <w:rPr>
                <w:color w:val="auto"/>
                <w:sz w:val="21"/>
                <w:szCs w:val="21"/>
              </w:rPr>
            </w:pPr>
            <w:r>
              <w:rPr>
                <w:rFonts w:hint="eastAsia"/>
                <w:color w:val="auto"/>
                <w:sz w:val="21"/>
                <w:szCs w:val="21"/>
              </w:rPr>
              <w:t>公司综合演练、桌面演练每年组织一次；单项演练根据实际情况组织开展，每年不少于一次。</w:t>
            </w:r>
          </w:p>
          <w:p w14:paraId="3FDC1B57">
            <w:pPr>
              <w:spacing w:line="360" w:lineRule="auto"/>
              <w:ind w:firstLine="420" w:firstLineChars="200"/>
              <w:rPr>
                <w:color w:val="auto"/>
                <w:sz w:val="21"/>
                <w:szCs w:val="21"/>
              </w:rPr>
            </w:pPr>
            <w:r>
              <w:rPr>
                <w:rFonts w:hint="eastAsia"/>
                <w:color w:val="auto"/>
                <w:sz w:val="21"/>
                <w:szCs w:val="21"/>
              </w:rPr>
              <w:t>演练记录、评估报告、书面总结应当与预案一并存档保存。</w:t>
            </w:r>
          </w:p>
          <w:p w14:paraId="42703108">
            <w:pPr>
              <w:spacing w:line="360" w:lineRule="auto"/>
              <w:ind w:firstLine="422" w:firstLineChars="200"/>
              <w:rPr>
                <w:b/>
                <w:color w:val="auto"/>
                <w:sz w:val="21"/>
                <w:szCs w:val="21"/>
              </w:rPr>
            </w:pPr>
            <w:r>
              <w:rPr>
                <w:rFonts w:hint="eastAsia"/>
                <w:b/>
                <w:color w:val="auto"/>
                <w:sz w:val="21"/>
                <w:szCs w:val="21"/>
              </w:rPr>
              <w:t>（6）环境风险标志标牌设置</w:t>
            </w:r>
          </w:p>
          <w:p w14:paraId="0D870A67">
            <w:pPr>
              <w:spacing w:line="360" w:lineRule="auto"/>
              <w:ind w:firstLine="420" w:firstLineChars="200"/>
              <w:rPr>
                <w:color w:val="auto"/>
                <w:sz w:val="21"/>
                <w:szCs w:val="21"/>
              </w:rPr>
            </w:pPr>
            <w:r>
              <w:rPr>
                <w:rFonts w:hint="eastAsia"/>
                <w:color w:val="auto"/>
                <w:sz w:val="21"/>
                <w:szCs w:val="21"/>
              </w:rPr>
              <w:t>企业应对厂区相关环境风险防范设施设置并完善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14:paraId="5D283937">
            <w:pPr>
              <w:spacing w:line="360" w:lineRule="auto"/>
              <w:ind w:firstLine="422" w:firstLineChars="200"/>
              <w:rPr>
                <w:b/>
                <w:color w:val="auto"/>
                <w:sz w:val="21"/>
                <w:szCs w:val="21"/>
              </w:rPr>
            </w:pPr>
            <w:r>
              <w:rPr>
                <w:rFonts w:hint="eastAsia"/>
                <w:b/>
                <w:color w:val="auto"/>
                <w:sz w:val="21"/>
                <w:szCs w:val="21"/>
                <w:lang w:val="en-US" w:eastAsia="zh-CN"/>
              </w:rPr>
              <w:t>7.12</w:t>
            </w:r>
            <w:r>
              <w:rPr>
                <w:rFonts w:hint="eastAsia"/>
                <w:b/>
                <w:color w:val="auto"/>
                <w:sz w:val="21"/>
                <w:szCs w:val="21"/>
              </w:rPr>
              <w:t>结论</w:t>
            </w:r>
          </w:p>
          <w:p w14:paraId="59A117FE">
            <w:pPr>
              <w:spacing w:line="343" w:lineRule="auto"/>
              <w:ind w:firstLine="420" w:firstLineChars="200"/>
              <w:rPr>
                <w:rFonts w:hint="eastAsia"/>
                <w:b/>
                <w:bCs/>
                <w:color w:val="auto"/>
                <w:sz w:val="21"/>
                <w:szCs w:val="21"/>
              </w:rPr>
            </w:pPr>
            <w:r>
              <w:rPr>
                <w:rFonts w:hint="eastAsia"/>
                <w:bCs/>
                <w:color w:val="auto"/>
                <w:sz w:val="21"/>
                <w:szCs w:val="21"/>
              </w:rPr>
              <w:t>由于本项目具有潜在的火灾产生的二次污染及泄漏事故。通过对项目运营期可能发生的环境风险事故进行定性分析，通过采取安全防范措施、综合管理措施、设置事故池、制定风险应急措施等方法防患事故发生或降低事故的损害程度，从而将火灾等事故对环境的影响减少到最低和可接受范围，</w:t>
            </w:r>
            <w:r>
              <w:rPr>
                <w:rFonts w:hint="eastAsia"/>
                <w:color w:val="auto"/>
                <w:sz w:val="21"/>
                <w:szCs w:val="21"/>
              </w:rPr>
              <w:t>综上可知，本次项目在制定环境风险预案与应急措施，并与区域事故应急预案相衔接，落实上述所提出的各项环境风险防范对策措施后，</w:t>
            </w:r>
            <w:r>
              <w:rPr>
                <w:rFonts w:hint="eastAsia"/>
                <w:b/>
                <w:bCs/>
                <w:color w:val="auto"/>
                <w:sz w:val="21"/>
                <w:szCs w:val="21"/>
              </w:rPr>
              <w:t>本项目环境风险是可防控的。</w:t>
            </w:r>
          </w:p>
          <w:p w14:paraId="6FA079BF">
            <w:pPr>
              <w:autoSpaceDE w:val="0"/>
              <w:autoSpaceDN w:val="0"/>
              <w:adjustRightInd w:val="0"/>
              <w:snapToGrid w:val="0"/>
              <w:spacing w:line="360" w:lineRule="auto"/>
              <w:ind w:firstLine="480"/>
              <w:jc w:val="left"/>
              <w:rPr>
                <w:b/>
                <w:color w:val="auto"/>
                <w:kern w:val="0"/>
                <w:szCs w:val="21"/>
              </w:rPr>
            </w:pPr>
            <w:r>
              <w:rPr>
                <w:rFonts w:hint="eastAsia"/>
                <w:b/>
                <w:color w:val="auto"/>
                <w:kern w:val="0"/>
                <w:szCs w:val="21"/>
                <w:lang w:val="en-US" w:eastAsia="zh-CN"/>
              </w:rPr>
              <w:t>8</w:t>
            </w:r>
            <w:r>
              <w:rPr>
                <w:rFonts w:hint="eastAsia"/>
                <w:b/>
                <w:color w:val="auto"/>
                <w:kern w:val="0"/>
                <w:szCs w:val="21"/>
              </w:rPr>
              <w:t>、电磁辐射</w:t>
            </w:r>
          </w:p>
          <w:p w14:paraId="6453AB41">
            <w:pPr>
              <w:adjustRightInd w:val="0"/>
              <w:snapToGrid w:val="0"/>
              <w:spacing w:line="360" w:lineRule="auto"/>
              <w:ind w:firstLine="420" w:firstLineChars="200"/>
              <w:rPr>
                <w:color w:val="auto"/>
                <w:kern w:val="0"/>
                <w:szCs w:val="21"/>
              </w:rPr>
            </w:pPr>
            <w:r>
              <w:rPr>
                <w:rFonts w:hint="eastAsia"/>
                <w:color w:val="auto"/>
                <w:kern w:val="0"/>
                <w:szCs w:val="21"/>
              </w:rPr>
              <w:t>本项目不涉及电磁辐射。</w:t>
            </w:r>
          </w:p>
          <w:p w14:paraId="6B127296">
            <w:pPr>
              <w:spacing w:line="343" w:lineRule="auto"/>
              <w:ind w:firstLine="420" w:firstLineChars="200"/>
              <w:rPr>
                <w:rFonts w:hint="default"/>
                <w:color w:val="auto"/>
                <w:lang w:val="en-US" w:eastAsia="zh-CN"/>
              </w:rPr>
            </w:pPr>
          </w:p>
        </w:tc>
      </w:tr>
    </w:tbl>
    <w:p w14:paraId="70671890">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11" w:name="_Hlk54167917"/>
      <w:r>
        <w:rPr>
          <w:rFonts w:ascii="Times New Roman" w:hAnsi="Times New Roman" w:eastAsia="黑体"/>
          <w:snapToGrid w:val="0"/>
          <w:color w:val="auto"/>
          <w:sz w:val="30"/>
          <w:szCs w:val="30"/>
        </w:rPr>
        <w:t>环境保护措施监督检查清单</w:t>
      </w:r>
      <w:bookmarkEnd w:id="11"/>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460"/>
        <w:gridCol w:w="1295"/>
        <w:gridCol w:w="1325"/>
        <w:gridCol w:w="1620"/>
        <w:gridCol w:w="2322"/>
      </w:tblGrid>
      <w:tr w14:paraId="5FC98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12" w:space="0"/>
              <w:left w:val="single" w:color="auto" w:sz="12" w:space="0"/>
              <w:bottom w:val="single" w:color="auto" w:sz="4" w:space="0"/>
              <w:tl2br w:val="single" w:color="auto" w:sz="4" w:space="0"/>
            </w:tcBorders>
            <w:noWrap w:val="0"/>
            <w:vAlign w:val="top"/>
          </w:tcPr>
          <w:p w14:paraId="30BB6284">
            <w:pPr>
              <w:adjustRightInd w:val="0"/>
              <w:snapToGrid w:val="0"/>
              <w:ind w:firstLine="840"/>
              <w:rPr>
                <w:rFonts w:hint="default" w:ascii="Times New Roman" w:hAnsi="Times New Roman" w:cs="Times New Roman"/>
                <w:b/>
                <w:color w:val="auto"/>
                <w:szCs w:val="21"/>
              </w:rPr>
            </w:pPr>
            <w:r>
              <w:rPr>
                <w:rFonts w:hint="default" w:ascii="Times New Roman" w:hAnsi="Times New Roman" w:cs="Times New Roman"/>
                <w:b/>
                <w:color w:val="auto"/>
                <w:szCs w:val="21"/>
              </w:rPr>
              <w:t>内容</w:t>
            </w:r>
          </w:p>
          <w:p w14:paraId="10FCB79A">
            <w:pPr>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要素</w:t>
            </w:r>
          </w:p>
        </w:tc>
        <w:tc>
          <w:tcPr>
            <w:tcW w:w="1755" w:type="dxa"/>
            <w:gridSpan w:val="2"/>
            <w:tcBorders>
              <w:top w:val="single" w:color="auto" w:sz="12" w:space="0"/>
              <w:bottom w:val="single" w:color="auto" w:sz="4" w:space="0"/>
            </w:tcBorders>
            <w:noWrap w:val="0"/>
            <w:vAlign w:val="center"/>
          </w:tcPr>
          <w:p w14:paraId="30F4BD5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w:t>
            </w:r>
          </w:p>
          <w:p w14:paraId="529516F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名称)/污染源</w:t>
            </w:r>
          </w:p>
        </w:tc>
        <w:tc>
          <w:tcPr>
            <w:tcW w:w="1325" w:type="dxa"/>
            <w:tcBorders>
              <w:top w:val="single" w:color="auto" w:sz="12" w:space="0"/>
              <w:bottom w:val="single" w:color="auto" w:sz="4" w:space="0"/>
            </w:tcBorders>
            <w:noWrap w:val="0"/>
            <w:vAlign w:val="center"/>
          </w:tcPr>
          <w:p w14:paraId="0B08A443">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1620" w:type="dxa"/>
            <w:tcBorders>
              <w:top w:val="single" w:color="auto" w:sz="12" w:space="0"/>
              <w:bottom w:val="single" w:color="auto" w:sz="4" w:space="0"/>
            </w:tcBorders>
            <w:noWrap w:val="0"/>
            <w:vAlign w:val="center"/>
          </w:tcPr>
          <w:p w14:paraId="2A96F8B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322" w:type="dxa"/>
            <w:tcBorders>
              <w:top w:val="single" w:color="auto" w:sz="12" w:space="0"/>
              <w:bottom w:val="single" w:color="auto" w:sz="4" w:space="0"/>
              <w:right w:val="single" w:color="auto" w:sz="12" w:space="0"/>
            </w:tcBorders>
            <w:noWrap w:val="0"/>
            <w:vAlign w:val="center"/>
          </w:tcPr>
          <w:p w14:paraId="126A2E3D">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执行标准</w:t>
            </w:r>
          </w:p>
        </w:tc>
      </w:tr>
      <w:tr w14:paraId="0C42F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778" w:type="dxa"/>
            <w:vMerge w:val="restart"/>
            <w:tcBorders>
              <w:top w:val="single" w:color="auto" w:sz="4" w:space="0"/>
              <w:left w:val="single" w:color="auto" w:sz="12" w:space="0"/>
            </w:tcBorders>
            <w:noWrap w:val="0"/>
            <w:vAlign w:val="center"/>
          </w:tcPr>
          <w:p w14:paraId="245675C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大气环境</w:t>
            </w:r>
          </w:p>
        </w:tc>
        <w:tc>
          <w:tcPr>
            <w:tcW w:w="460" w:type="dxa"/>
            <w:vMerge w:val="restart"/>
            <w:tcBorders>
              <w:top w:val="single" w:color="auto" w:sz="4" w:space="0"/>
            </w:tcBorders>
            <w:noWrap w:val="0"/>
            <w:vAlign w:val="center"/>
          </w:tcPr>
          <w:p w14:paraId="064BF064">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有</w:t>
            </w:r>
            <w:r>
              <w:rPr>
                <w:rFonts w:hint="default" w:ascii="Times New Roman" w:hAnsi="Times New Roman" w:cs="Times New Roman"/>
                <w:color w:val="auto"/>
                <w:szCs w:val="21"/>
              </w:rPr>
              <w:t>组织</w:t>
            </w:r>
          </w:p>
        </w:tc>
        <w:tc>
          <w:tcPr>
            <w:tcW w:w="1295" w:type="dxa"/>
            <w:tcBorders>
              <w:top w:val="single" w:color="auto" w:sz="4" w:space="0"/>
            </w:tcBorders>
            <w:noWrap w:val="0"/>
            <w:vAlign w:val="center"/>
          </w:tcPr>
          <w:p w14:paraId="7A69E378">
            <w:pPr>
              <w:widowControl/>
              <w:jc w:val="center"/>
              <w:rPr>
                <w:rFonts w:hint="default" w:cs="Times New Roman"/>
                <w:color w:val="auto"/>
                <w:szCs w:val="21"/>
                <w:lang w:val="en-US" w:eastAsia="zh-CN"/>
              </w:rPr>
            </w:pPr>
            <w:r>
              <w:rPr>
                <w:rFonts w:ascii="Times New Roman" w:hAnsi="Times New Roman" w:eastAsia="宋体" w:cs="Times New Roman"/>
                <w:color w:val="auto"/>
                <w:kern w:val="0"/>
                <w:szCs w:val="21"/>
              </w:rPr>
              <w:t>制芯</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浇注</w:t>
            </w:r>
            <w:r>
              <w:rPr>
                <w:rFonts w:hint="eastAsia" w:ascii="Times New Roman" w:hAnsi="Times New Roman" w:eastAsia="宋体" w:cs="Times New Roman"/>
                <w:color w:val="auto"/>
                <w:kern w:val="0"/>
                <w:szCs w:val="21"/>
                <w:lang w:val="en-US" w:eastAsia="zh-CN"/>
              </w:rPr>
              <w:t>废气</w:t>
            </w:r>
            <w:r>
              <w:rPr>
                <w:rFonts w:hint="eastAsia" w:cs="Times New Roman"/>
                <w:color w:val="auto"/>
                <w:szCs w:val="21"/>
                <w:lang w:val="en-US" w:eastAsia="zh-CN"/>
              </w:rPr>
              <w:t>DA001</w:t>
            </w:r>
          </w:p>
        </w:tc>
        <w:tc>
          <w:tcPr>
            <w:tcW w:w="1325" w:type="dxa"/>
            <w:tcBorders>
              <w:top w:val="single" w:color="auto" w:sz="4" w:space="0"/>
              <w:bottom w:val="single" w:color="auto" w:sz="4" w:space="0"/>
            </w:tcBorders>
            <w:noWrap w:val="0"/>
            <w:vAlign w:val="center"/>
          </w:tcPr>
          <w:p w14:paraId="7F485AA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颗粒物、</w:t>
            </w:r>
            <w:r>
              <w:rPr>
                <w:rFonts w:ascii="Times New Roman" w:hAnsi="Times New Roman" w:eastAsia="宋体" w:cs="Times New Roman"/>
                <w:color w:val="auto"/>
                <w:kern w:val="0"/>
                <w:szCs w:val="21"/>
              </w:rPr>
              <w:t>非甲烷总烃、甲醛、</w:t>
            </w:r>
            <w:r>
              <w:rPr>
                <w:rFonts w:hint="eastAsia" w:cs="Times New Roman"/>
                <w:color w:val="auto"/>
                <w:kern w:val="0"/>
                <w:szCs w:val="21"/>
                <w:lang w:val="en-US" w:eastAsia="zh-CN"/>
              </w:rPr>
              <w:t>酚类</w:t>
            </w:r>
          </w:p>
        </w:tc>
        <w:tc>
          <w:tcPr>
            <w:tcW w:w="1620" w:type="dxa"/>
            <w:tcBorders>
              <w:top w:val="single" w:color="auto" w:sz="4" w:space="0"/>
              <w:bottom w:val="single" w:color="auto" w:sz="4" w:space="0"/>
            </w:tcBorders>
            <w:noWrap w:val="0"/>
            <w:vAlign w:val="center"/>
          </w:tcPr>
          <w:p w14:paraId="7AA134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0"/>
                <w:szCs w:val="21"/>
              </w:rPr>
              <w:t>布袋除尘装置+二级活性炭吸附装置+15m高排气筒</w:t>
            </w:r>
          </w:p>
        </w:tc>
        <w:tc>
          <w:tcPr>
            <w:tcW w:w="2322" w:type="dxa"/>
            <w:vMerge w:val="restart"/>
            <w:tcBorders>
              <w:top w:val="single" w:color="auto" w:sz="4" w:space="0"/>
              <w:right w:val="single" w:color="auto" w:sz="12" w:space="0"/>
            </w:tcBorders>
            <w:noWrap w:val="0"/>
            <w:vAlign w:val="center"/>
          </w:tcPr>
          <w:p w14:paraId="1E03DED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《大气污染物综合排放标准》</w:t>
            </w:r>
          </w:p>
          <w:p w14:paraId="6F1803AC">
            <w:pPr>
              <w:snapToGrid w:val="0"/>
              <w:jc w:val="center"/>
              <w:rPr>
                <w:rFonts w:ascii="Times New Roman" w:hAnsi="Times New Roman" w:eastAsia="宋体" w:cs="Times New Roman"/>
                <w:bCs/>
                <w:color w:val="auto"/>
                <w:szCs w:val="21"/>
              </w:rPr>
            </w:pPr>
            <w:r>
              <w:rPr>
                <w:rFonts w:hint="default" w:ascii="Times New Roman" w:hAnsi="Times New Roman" w:eastAsia="宋体" w:cs="Times New Roman"/>
                <w:color w:val="auto"/>
                <w:kern w:val="2"/>
                <w:sz w:val="21"/>
                <w:szCs w:val="21"/>
                <w:lang w:val="en-US" w:eastAsia="zh-CN" w:bidi="ar"/>
              </w:rPr>
              <w:t>（DB32/4041-2021）</w:t>
            </w:r>
            <w:r>
              <w:rPr>
                <w:rFonts w:hint="eastAsia" w:cs="Times New Roman"/>
                <w:color w:val="auto"/>
                <w:kern w:val="2"/>
                <w:sz w:val="21"/>
                <w:szCs w:val="21"/>
                <w:lang w:val="en-US" w:eastAsia="zh-CN" w:bidi="ar"/>
              </w:rPr>
              <w:t>、</w:t>
            </w:r>
            <w:r>
              <w:rPr>
                <w:rFonts w:ascii="Times New Roman" w:hAnsi="Times New Roman" w:eastAsia="宋体" w:cs="Times New Roman"/>
                <w:bCs/>
                <w:color w:val="auto"/>
                <w:szCs w:val="21"/>
              </w:rPr>
              <w:t>《铸造工业大气污染物排放标准》</w:t>
            </w:r>
          </w:p>
          <w:p w14:paraId="1DEA77EC">
            <w:pPr>
              <w:adjustRightInd w:val="0"/>
              <w:snapToGrid w:val="0"/>
              <w:jc w:val="center"/>
              <w:rPr>
                <w:rFonts w:hint="default" w:ascii="Times New Roman" w:hAnsi="Times New Roman" w:cs="Times New Roman"/>
                <w:color w:val="auto"/>
                <w:szCs w:val="21"/>
              </w:rPr>
            </w:pPr>
            <w:r>
              <w:rPr>
                <w:rFonts w:ascii="Times New Roman" w:hAnsi="Times New Roman" w:eastAsia="宋体" w:cs="Times New Roman"/>
                <w:bCs/>
                <w:color w:val="auto"/>
                <w:szCs w:val="21"/>
              </w:rPr>
              <w:t>（GB39726-2020）</w:t>
            </w:r>
          </w:p>
        </w:tc>
      </w:tr>
      <w:tr w14:paraId="4FC11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778" w:type="dxa"/>
            <w:vMerge w:val="continue"/>
            <w:tcBorders>
              <w:left w:val="single" w:color="auto" w:sz="12" w:space="0"/>
            </w:tcBorders>
            <w:noWrap w:val="0"/>
            <w:vAlign w:val="center"/>
          </w:tcPr>
          <w:p w14:paraId="68A30F6B">
            <w:pPr>
              <w:adjustRightInd w:val="0"/>
              <w:snapToGrid w:val="0"/>
              <w:jc w:val="center"/>
              <w:rPr>
                <w:rFonts w:hint="default" w:ascii="Times New Roman" w:hAnsi="Times New Roman" w:cs="Times New Roman"/>
                <w:b/>
                <w:color w:val="auto"/>
                <w:szCs w:val="21"/>
              </w:rPr>
            </w:pPr>
          </w:p>
        </w:tc>
        <w:tc>
          <w:tcPr>
            <w:tcW w:w="460" w:type="dxa"/>
            <w:vMerge w:val="continue"/>
            <w:noWrap w:val="0"/>
            <w:vAlign w:val="center"/>
          </w:tcPr>
          <w:p w14:paraId="7B056026">
            <w:pPr>
              <w:adjustRightInd w:val="0"/>
              <w:snapToGrid w:val="0"/>
              <w:jc w:val="center"/>
              <w:rPr>
                <w:rFonts w:hint="eastAsia" w:cs="Times New Roman"/>
                <w:color w:val="auto"/>
                <w:szCs w:val="21"/>
                <w:lang w:val="en-US" w:eastAsia="zh-CN"/>
              </w:rPr>
            </w:pPr>
          </w:p>
        </w:tc>
        <w:tc>
          <w:tcPr>
            <w:tcW w:w="1295" w:type="dxa"/>
            <w:tcBorders>
              <w:top w:val="single" w:color="auto" w:sz="4" w:space="0"/>
            </w:tcBorders>
            <w:noWrap w:val="0"/>
            <w:vAlign w:val="center"/>
          </w:tcPr>
          <w:p w14:paraId="5CFE48D9">
            <w:pPr>
              <w:adjustRightInd w:val="0"/>
              <w:snapToGrid w:val="0"/>
              <w:jc w:val="center"/>
              <w:rPr>
                <w:rFonts w:hint="default" w:cs="Times New Roman"/>
                <w:color w:val="auto"/>
                <w:szCs w:val="21"/>
                <w:lang w:val="en-US" w:eastAsia="zh-CN"/>
              </w:rPr>
            </w:pPr>
            <w:r>
              <w:rPr>
                <w:rFonts w:ascii="Times New Roman" w:hAnsi="Times New Roman" w:eastAsia="宋体" w:cs="Times New Roman"/>
                <w:color w:val="auto"/>
                <w:kern w:val="0"/>
                <w:szCs w:val="21"/>
              </w:rPr>
              <w:t>熔融</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打磨抛光</w:t>
            </w:r>
            <w:r>
              <w:rPr>
                <w:rFonts w:hint="eastAsia" w:cs="Times New Roman"/>
                <w:color w:val="auto"/>
                <w:szCs w:val="21"/>
                <w:lang w:val="en-US" w:eastAsia="zh-CN"/>
              </w:rPr>
              <w:t>DA002</w:t>
            </w:r>
          </w:p>
        </w:tc>
        <w:tc>
          <w:tcPr>
            <w:tcW w:w="1325" w:type="dxa"/>
            <w:tcBorders>
              <w:top w:val="single" w:color="auto" w:sz="4" w:space="0"/>
              <w:bottom w:val="single" w:color="auto" w:sz="4" w:space="0"/>
            </w:tcBorders>
            <w:noWrap w:val="0"/>
            <w:vAlign w:val="center"/>
          </w:tcPr>
          <w:p w14:paraId="636499D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颗粒物</w:t>
            </w:r>
          </w:p>
        </w:tc>
        <w:tc>
          <w:tcPr>
            <w:tcW w:w="1620" w:type="dxa"/>
            <w:tcBorders>
              <w:top w:val="single" w:color="auto" w:sz="4" w:space="0"/>
              <w:bottom w:val="single" w:color="auto" w:sz="4" w:space="0"/>
            </w:tcBorders>
            <w:noWrap w:val="0"/>
            <w:vAlign w:val="center"/>
          </w:tcPr>
          <w:p w14:paraId="558CD729">
            <w:pPr>
              <w:adjustRightInd w:val="0"/>
              <w:snapToGrid w:val="0"/>
              <w:jc w:val="center"/>
              <w:rPr>
                <w:rFonts w:hint="default" w:cs="Times New Roman"/>
                <w:color w:val="auto"/>
                <w:szCs w:val="21"/>
                <w:lang w:val="en-US" w:eastAsia="zh-CN"/>
              </w:rPr>
            </w:pPr>
            <w:r>
              <w:rPr>
                <w:rFonts w:ascii="Times New Roman" w:hAnsi="Times New Roman" w:eastAsia="宋体" w:cs="Times New Roman"/>
                <w:color w:val="auto"/>
                <w:kern w:val="0"/>
                <w:szCs w:val="21"/>
              </w:rPr>
              <w:t>布袋除尘装置+15m高排气筒1套</w:t>
            </w:r>
          </w:p>
        </w:tc>
        <w:tc>
          <w:tcPr>
            <w:tcW w:w="2322" w:type="dxa"/>
            <w:vMerge w:val="continue"/>
            <w:tcBorders>
              <w:right w:val="single" w:color="auto" w:sz="12" w:space="0"/>
            </w:tcBorders>
            <w:noWrap w:val="0"/>
            <w:vAlign w:val="center"/>
          </w:tcPr>
          <w:p w14:paraId="7EDE8CC7">
            <w:pPr>
              <w:adjustRightInd w:val="0"/>
              <w:snapToGrid w:val="0"/>
              <w:jc w:val="center"/>
              <w:rPr>
                <w:rFonts w:hint="default" w:ascii="Times New Roman" w:hAnsi="Times New Roman" w:eastAsia="宋体" w:cs="Times New Roman"/>
                <w:color w:val="auto"/>
                <w:kern w:val="2"/>
                <w:sz w:val="21"/>
                <w:szCs w:val="21"/>
                <w:lang w:val="en-US" w:eastAsia="zh-CN" w:bidi="ar"/>
              </w:rPr>
            </w:pPr>
          </w:p>
        </w:tc>
      </w:tr>
      <w:tr w14:paraId="22CA7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778" w:type="dxa"/>
            <w:vMerge w:val="continue"/>
            <w:tcBorders>
              <w:left w:val="single" w:color="auto" w:sz="12" w:space="0"/>
            </w:tcBorders>
            <w:noWrap w:val="0"/>
            <w:vAlign w:val="center"/>
          </w:tcPr>
          <w:p w14:paraId="1FD0427F">
            <w:pPr>
              <w:adjustRightInd w:val="0"/>
              <w:snapToGrid w:val="0"/>
              <w:jc w:val="center"/>
              <w:rPr>
                <w:rFonts w:hint="default" w:ascii="Times New Roman" w:hAnsi="Times New Roman" w:cs="Times New Roman"/>
                <w:b/>
                <w:color w:val="auto"/>
                <w:szCs w:val="21"/>
              </w:rPr>
            </w:pPr>
          </w:p>
        </w:tc>
        <w:tc>
          <w:tcPr>
            <w:tcW w:w="460" w:type="dxa"/>
            <w:vMerge w:val="continue"/>
            <w:noWrap w:val="0"/>
            <w:vAlign w:val="center"/>
          </w:tcPr>
          <w:p w14:paraId="36C2AEAB">
            <w:pPr>
              <w:adjustRightInd w:val="0"/>
              <w:snapToGrid w:val="0"/>
              <w:jc w:val="center"/>
              <w:rPr>
                <w:rFonts w:hint="eastAsia" w:cs="Times New Roman"/>
                <w:color w:val="auto"/>
                <w:szCs w:val="21"/>
                <w:lang w:val="en-US" w:eastAsia="zh-CN"/>
              </w:rPr>
            </w:pPr>
          </w:p>
        </w:tc>
        <w:tc>
          <w:tcPr>
            <w:tcW w:w="1295" w:type="dxa"/>
            <w:tcBorders>
              <w:top w:val="single" w:color="auto" w:sz="4" w:space="0"/>
            </w:tcBorders>
            <w:noWrap w:val="0"/>
            <w:vAlign w:val="center"/>
          </w:tcPr>
          <w:p w14:paraId="6DD53E9B">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落砂废气</w:t>
            </w:r>
          </w:p>
          <w:p w14:paraId="33D30D2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DA003</w:t>
            </w:r>
          </w:p>
        </w:tc>
        <w:tc>
          <w:tcPr>
            <w:tcW w:w="1325" w:type="dxa"/>
            <w:tcBorders>
              <w:top w:val="single" w:color="auto" w:sz="4" w:space="0"/>
              <w:bottom w:val="single" w:color="auto" w:sz="4" w:space="0"/>
            </w:tcBorders>
            <w:noWrap w:val="0"/>
            <w:vAlign w:val="center"/>
          </w:tcPr>
          <w:p w14:paraId="0FAEE57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颗粒物</w:t>
            </w:r>
          </w:p>
        </w:tc>
        <w:tc>
          <w:tcPr>
            <w:tcW w:w="1620" w:type="dxa"/>
            <w:tcBorders>
              <w:top w:val="single" w:color="auto" w:sz="4" w:space="0"/>
              <w:bottom w:val="single" w:color="auto" w:sz="4" w:space="0"/>
            </w:tcBorders>
            <w:noWrap w:val="0"/>
            <w:vAlign w:val="center"/>
          </w:tcPr>
          <w:p w14:paraId="6D7883E1">
            <w:pPr>
              <w:adjustRightInd w:val="0"/>
              <w:snapToGrid w:val="0"/>
              <w:jc w:val="center"/>
              <w:rPr>
                <w:rFonts w:hint="default" w:eastAsia="宋体" w:cs="Times New Roman"/>
                <w:color w:val="auto"/>
                <w:szCs w:val="21"/>
                <w:lang w:val="en-US" w:eastAsia="zh-CN"/>
              </w:rPr>
            </w:pPr>
            <w:r>
              <w:rPr>
                <w:rFonts w:ascii="Times New Roman" w:hAnsi="Times New Roman" w:eastAsia="宋体" w:cs="Times New Roman"/>
                <w:color w:val="auto"/>
                <w:kern w:val="0"/>
                <w:szCs w:val="21"/>
              </w:rPr>
              <w:t>布袋除尘装置+15m高排气筒</w:t>
            </w:r>
          </w:p>
        </w:tc>
        <w:tc>
          <w:tcPr>
            <w:tcW w:w="2322" w:type="dxa"/>
            <w:vMerge w:val="continue"/>
            <w:tcBorders>
              <w:right w:val="single" w:color="auto" w:sz="12" w:space="0"/>
            </w:tcBorders>
            <w:noWrap w:val="0"/>
            <w:vAlign w:val="center"/>
          </w:tcPr>
          <w:p w14:paraId="34A0573F">
            <w:pPr>
              <w:adjustRightInd w:val="0"/>
              <w:snapToGrid w:val="0"/>
              <w:jc w:val="center"/>
              <w:rPr>
                <w:rFonts w:hint="eastAsia" w:ascii="Times New Roman" w:hAnsi="Times New Roman" w:eastAsia="宋体" w:cs="Times New Roman"/>
                <w:color w:val="auto"/>
                <w:kern w:val="2"/>
                <w:sz w:val="21"/>
                <w:szCs w:val="21"/>
                <w:lang w:val="en-US" w:eastAsia="zh-CN" w:bidi="ar"/>
              </w:rPr>
            </w:pPr>
          </w:p>
        </w:tc>
      </w:tr>
      <w:tr w14:paraId="060FD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1778" w:type="dxa"/>
            <w:vMerge w:val="continue"/>
            <w:tcBorders>
              <w:left w:val="single" w:color="auto" w:sz="12" w:space="0"/>
            </w:tcBorders>
            <w:noWrap w:val="0"/>
            <w:vAlign w:val="center"/>
          </w:tcPr>
          <w:p w14:paraId="465D779E">
            <w:pPr>
              <w:adjustRightInd w:val="0"/>
              <w:snapToGrid w:val="0"/>
              <w:jc w:val="center"/>
              <w:rPr>
                <w:rFonts w:hint="default" w:ascii="Times New Roman" w:hAnsi="Times New Roman" w:cs="Times New Roman"/>
                <w:b/>
                <w:color w:val="auto"/>
                <w:szCs w:val="21"/>
              </w:rPr>
            </w:pPr>
          </w:p>
        </w:tc>
        <w:tc>
          <w:tcPr>
            <w:tcW w:w="1755" w:type="dxa"/>
            <w:gridSpan w:val="2"/>
            <w:tcBorders>
              <w:top w:val="single" w:color="auto" w:sz="4" w:space="0"/>
            </w:tcBorders>
            <w:noWrap w:val="0"/>
            <w:vAlign w:val="center"/>
          </w:tcPr>
          <w:p w14:paraId="5A2B4AD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无组织（厂界）</w:t>
            </w:r>
          </w:p>
        </w:tc>
        <w:tc>
          <w:tcPr>
            <w:tcW w:w="1325" w:type="dxa"/>
            <w:tcBorders>
              <w:top w:val="single" w:color="auto" w:sz="4" w:space="0"/>
              <w:bottom w:val="single" w:color="auto" w:sz="4" w:space="0"/>
            </w:tcBorders>
            <w:noWrap w:val="0"/>
            <w:vAlign w:val="center"/>
          </w:tcPr>
          <w:p w14:paraId="6C370731">
            <w:pPr>
              <w:autoSpaceDE w:val="0"/>
              <w:autoSpaceDN w:val="0"/>
              <w:adjustRightInd w:val="0"/>
              <w:snapToGrid w:val="0"/>
              <w:jc w:val="center"/>
              <w:rPr>
                <w:rFonts w:hint="default" w:eastAsia="宋体" w:cs="Times New Roman"/>
                <w:color w:val="auto"/>
                <w:szCs w:val="21"/>
                <w:lang w:val="en-US" w:eastAsia="zh-CN"/>
              </w:rPr>
            </w:pPr>
            <w:r>
              <w:rPr>
                <w:rFonts w:hint="eastAsia"/>
                <w:color w:val="auto"/>
                <w:sz w:val="21"/>
                <w:szCs w:val="21"/>
              </w:rPr>
              <w:t>非甲烷总烃、颗粒物</w:t>
            </w:r>
            <w:r>
              <w:rPr>
                <w:rFonts w:hint="eastAsia"/>
                <w:color w:val="auto"/>
                <w:sz w:val="21"/>
                <w:szCs w:val="21"/>
                <w:lang w:eastAsia="zh-CN"/>
              </w:rPr>
              <w:t>、</w:t>
            </w:r>
            <w:r>
              <w:rPr>
                <w:rFonts w:hint="eastAsia"/>
                <w:color w:val="auto"/>
                <w:sz w:val="21"/>
                <w:szCs w:val="21"/>
                <w:lang w:val="en-US" w:eastAsia="zh-CN"/>
              </w:rPr>
              <w:t>酚类、甲醛、</w:t>
            </w:r>
            <w:r>
              <w:rPr>
                <w:rFonts w:hint="eastAsia"/>
                <w:color w:val="FF0000"/>
                <w:sz w:val="21"/>
                <w:szCs w:val="21"/>
                <w:lang w:val="en-US" w:eastAsia="zh-CN"/>
              </w:rPr>
              <w:t>臭气浓度</w:t>
            </w:r>
          </w:p>
        </w:tc>
        <w:tc>
          <w:tcPr>
            <w:tcW w:w="1620" w:type="dxa"/>
            <w:tcBorders>
              <w:top w:val="single" w:color="auto" w:sz="4" w:space="0"/>
              <w:bottom w:val="single" w:color="auto" w:sz="4" w:space="0"/>
            </w:tcBorders>
            <w:noWrap w:val="0"/>
            <w:vAlign w:val="center"/>
          </w:tcPr>
          <w:p w14:paraId="0EA4462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加强通风</w:t>
            </w:r>
          </w:p>
        </w:tc>
        <w:tc>
          <w:tcPr>
            <w:tcW w:w="2322" w:type="dxa"/>
            <w:tcBorders>
              <w:top w:val="single" w:color="auto" w:sz="4" w:space="0"/>
              <w:right w:val="single" w:color="auto" w:sz="12" w:space="0"/>
            </w:tcBorders>
            <w:noWrap w:val="0"/>
            <w:vAlign w:val="center"/>
          </w:tcPr>
          <w:p w14:paraId="673836A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《大气污染物综合排放标准》</w:t>
            </w:r>
          </w:p>
          <w:p w14:paraId="7FD2E0E8">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（DB32/4041-2021）</w:t>
            </w:r>
            <w:r>
              <w:rPr>
                <w:rFonts w:hint="eastAsia" w:cs="Times New Roman"/>
                <w:color w:val="auto"/>
                <w:kern w:val="2"/>
                <w:sz w:val="21"/>
                <w:szCs w:val="21"/>
                <w:lang w:val="en-US" w:eastAsia="zh-CN" w:bidi="ar"/>
              </w:rPr>
              <w:t>、</w:t>
            </w:r>
            <w:r>
              <w:rPr>
                <w:rFonts w:hint="eastAsia"/>
                <w:color w:val="FF0000"/>
                <w:szCs w:val="21"/>
              </w:rPr>
              <w:t>《恶臭污染物排放标准》（GB14554-93）</w:t>
            </w:r>
            <w:bookmarkStart w:id="12" w:name="_GoBack"/>
            <w:bookmarkEnd w:id="12"/>
          </w:p>
        </w:tc>
      </w:tr>
      <w:tr w14:paraId="120FE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1778" w:type="dxa"/>
            <w:vMerge w:val="continue"/>
            <w:tcBorders>
              <w:left w:val="single" w:color="auto" w:sz="12" w:space="0"/>
            </w:tcBorders>
            <w:noWrap w:val="0"/>
            <w:vAlign w:val="center"/>
          </w:tcPr>
          <w:p w14:paraId="40E935EA">
            <w:pPr>
              <w:adjustRightInd w:val="0"/>
              <w:snapToGrid w:val="0"/>
              <w:jc w:val="center"/>
              <w:rPr>
                <w:rFonts w:hint="default" w:ascii="Times New Roman" w:hAnsi="Times New Roman" w:cs="Times New Roman"/>
                <w:b/>
                <w:color w:val="auto"/>
                <w:szCs w:val="21"/>
              </w:rPr>
            </w:pPr>
          </w:p>
        </w:tc>
        <w:tc>
          <w:tcPr>
            <w:tcW w:w="1755" w:type="dxa"/>
            <w:gridSpan w:val="2"/>
            <w:tcBorders>
              <w:top w:val="single" w:color="auto" w:sz="4" w:space="0"/>
            </w:tcBorders>
            <w:noWrap w:val="0"/>
            <w:vAlign w:val="center"/>
          </w:tcPr>
          <w:p w14:paraId="53BFCB8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无组织（</w:t>
            </w:r>
            <w:r>
              <w:rPr>
                <w:rFonts w:hint="eastAsia"/>
                <w:color w:val="auto"/>
                <w:sz w:val="21"/>
                <w:szCs w:val="21"/>
              </w:rPr>
              <w:t>厂区内车间外</w:t>
            </w:r>
            <w:r>
              <w:rPr>
                <w:rFonts w:hint="eastAsia" w:cs="Times New Roman"/>
                <w:color w:val="auto"/>
                <w:szCs w:val="21"/>
                <w:lang w:val="en-US" w:eastAsia="zh-CN"/>
              </w:rPr>
              <w:t>）</w:t>
            </w:r>
          </w:p>
        </w:tc>
        <w:tc>
          <w:tcPr>
            <w:tcW w:w="1325" w:type="dxa"/>
            <w:tcBorders>
              <w:top w:val="single" w:color="auto" w:sz="4" w:space="0"/>
              <w:bottom w:val="single" w:color="auto" w:sz="4" w:space="0"/>
            </w:tcBorders>
            <w:noWrap w:val="0"/>
            <w:vAlign w:val="center"/>
          </w:tcPr>
          <w:p w14:paraId="360BD2C2">
            <w:pPr>
              <w:autoSpaceDE w:val="0"/>
              <w:autoSpaceDN w:val="0"/>
              <w:adjustRightInd w:val="0"/>
              <w:snapToGrid w:val="0"/>
              <w:jc w:val="center"/>
              <w:rPr>
                <w:rFonts w:hint="eastAsia" w:cs="Times New Roman"/>
                <w:color w:val="auto"/>
                <w:szCs w:val="21"/>
                <w:lang w:val="en-US" w:eastAsia="zh-CN"/>
              </w:rPr>
            </w:pPr>
            <w:r>
              <w:rPr>
                <w:rFonts w:hint="eastAsia"/>
                <w:color w:val="auto"/>
                <w:sz w:val="21"/>
                <w:szCs w:val="21"/>
              </w:rPr>
              <w:t>非甲烷总烃、颗粒物</w:t>
            </w:r>
          </w:p>
        </w:tc>
        <w:tc>
          <w:tcPr>
            <w:tcW w:w="1620" w:type="dxa"/>
            <w:tcBorders>
              <w:top w:val="single" w:color="auto" w:sz="4" w:space="0"/>
              <w:bottom w:val="single" w:color="auto" w:sz="4" w:space="0"/>
            </w:tcBorders>
            <w:noWrap w:val="0"/>
            <w:vAlign w:val="center"/>
          </w:tcPr>
          <w:p w14:paraId="19A9CCD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加强通风</w:t>
            </w:r>
          </w:p>
        </w:tc>
        <w:tc>
          <w:tcPr>
            <w:tcW w:w="2322" w:type="dxa"/>
            <w:tcBorders>
              <w:top w:val="single" w:color="auto" w:sz="4" w:space="0"/>
              <w:right w:val="single" w:color="auto" w:sz="12" w:space="0"/>
            </w:tcBorders>
            <w:noWrap w:val="0"/>
            <w:vAlign w:val="center"/>
          </w:tcPr>
          <w:p w14:paraId="455ED253">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ascii="Times New Roman" w:hAnsi="Times New Roman" w:eastAsia="宋体" w:cs="Times New Roman"/>
                <w:color w:val="auto"/>
                <w:kern w:val="0"/>
                <w:szCs w:val="21"/>
              </w:rPr>
              <w:t>《铸造工业大气污染物排放标准》（GB39726-2020）</w:t>
            </w:r>
          </w:p>
        </w:tc>
      </w:tr>
      <w:tr w14:paraId="6DA58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778" w:type="dxa"/>
            <w:tcBorders>
              <w:top w:val="single" w:color="auto" w:sz="4" w:space="0"/>
              <w:left w:val="single" w:color="auto" w:sz="12" w:space="0"/>
              <w:bottom w:val="single" w:color="auto" w:sz="4" w:space="0"/>
            </w:tcBorders>
            <w:noWrap w:val="0"/>
            <w:vAlign w:val="center"/>
          </w:tcPr>
          <w:p w14:paraId="20E04E86">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地表水环境</w:t>
            </w:r>
          </w:p>
        </w:tc>
        <w:tc>
          <w:tcPr>
            <w:tcW w:w="1755" w:type="dxa"/>
            <w:gridSpan w:val="2"/>
            <w:tcBorders>
              <w:top w:val="single" w:color="auto" w:sz="4" w:space="0"/>
              <w:bottom w:val="single" w:color="auto" w:sz="4" w:space="0"/>
            </w:tcBorders>
            <w:noWrap w:val="0"/>
            <w:vAlign w:val="center"/>
          </w:tcPr>
          <w:p w14:paraId="03065FE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25" w:type="dxa"/>
            <w:tcBorders>
              <w:top w:val="single" w:color="auto" w:sz="4" w:space="0"/>
              <w:bottom w:val="single" w:color="auto" w:sz="4" w:space="0"/>
            </w:tcBorders>
            <w:noWrap w:val="0"/>
            <w:vAlign w:val="center"/>
          </w:tcPr>
          <w:p w14:paraId="5BC090EF">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620" w:type="dxa"/>
            <w:tcBorders>
              <w:top w:val="single" w:color="auto" w:sz="4" w:space="0"/>
              <w:bottom w:val="single" w:color="auto" w:sz="4" w:space="0"/>
            </w:tcBorders>
            <w:noWrap w:val="0"/>
            <w:vAlign w:val="center"/>
          </w:tcPr>
          <w:p w14:paraId="5E5231E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c>
          <w:tcPr>
            <w:tcW w:w="2322" w:type="dxa"/>
            <w:tcBorders>
              <w:top w:val="single" w:color="auto" w:sz="4" w:space="0"/>
              <w:bottom w:val="single" w:color="auto" w:sz="4" w:space="0"/>
              <w:right w:val="single" w:color="auto" w:sz="12" w:space="0"/>
            </w:tcBorders>
            <w:noWrap w:val="0"/>
            <w:vAlign w:val="center"/>
          </w:tcPr>
          <w:p w14:paraId="55B130D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r>
      <w:tr w14:paraId="23683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78" w:type="dxa"/>
            <w:tcBorders>
              <w:top w:val="single" w:color="auto" w:sz="4" w:space="0"/>
              <w:left w:val="single" w:color="auto" w:sz="12" w:space="0"/>
              <w:bottom w:val="single" w:color="auto" w:sz="4" w:space="0"/>
            </w:tcBorders>
            <w:noWrap w:val="0"/>
            <w:vAlign w:val="center"/>
          </w:tcPr>
          <w:p w14:paraId="66CD748C">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声环境</w:t>
            </w:r>
          </w:p>
        </w:tc>
        <w:tc>
          <w:tcPr>
            <w:tcW w:w="1755" w:type="dxa"/>
            <w:gridSpan w:val="2"/>
            <w:tcBorders>
              <w:top w:val="single" w:color="auto" w:sz="4" w:space="0"/>
              <w:bottom w:val="single" w:color="auto" w:sz="4" w:space="0"/>
            </w:tcBorders>
            <w:noWrap w:val="0"/>
            <w:vAlign w:val="center"/>
          </w:tcPr>
          <w:p w14:paraId="7F3783E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设备噪声</w:t>
            </w:r>
          </w:p>
        </w:tc>
        <w:tc>
          <w:tcPr>
            <w:tcW w:w="1325" w:type="dxa"/>
            <w:tcBorders>
              <w:top w:val="single" w:color="auto" w:sz="4" w:space="0"/>
              <w:bottom w:val="single" w:color="auto" w:sz="4" w:space="0"/>
            </w:tcBorders>
            <w:noWrap w:val="0"/>
            <w:vAlign w:val="center"/>
          </w:tcPr>
          <w:p w14:paraId="6DF9041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Leq（A）</w:t>
            </w:r>
          </w:p>
        </w:tc>
        <w:tc>
          <w:tcPr>
            <w:tcW w:w="1620" w:type="dxa"/>
            <w:tcBorders>
              <w:top w:val="single" w:color="auto" w:sz="4" w:space="0"/>
              <w:bottom w:val="single" w:color="auto" w:sz="4" w:space="0"/>
            </w:tcBorders>
            <w:noWrap w:val="0"/>
            <w:vAlign w:val="center"/>
          </w:tcPr>
          <w:p w14:paraId="3F57D56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基础减震、厂房隔声、距离衰减</w:t>
            </w:r>
          </w:p>
        </w:tc>
        <w:tc>
          <w:tcPr>
            <w:tcW w:w="2322" w:type="dxa"/>
            <w:tcBorders>
              <w:top w:val="single" w:color="auto" w:sz="4" w:space="0"/>
              <w:bottom w:val="single" w:color="auto" w:sz="4" w:space="0"/>
              <w:right w:val="single" w:color="auto" w:sz="12" w:space="0"/>
            </w:tcBorders>
            <w:noWrap w:val="0"/>
            <w:vAlign w:val="center"/>
          </w:tcPr>
          <w:p w14:paraId="4B5530B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w:t>
            </w:r>
            <w:r>
              <w:rPr>
                <w:color w:val="auto"/>
              </w:rPr>
              <w:t>中</w:t>
            </w:r>
            <w:r>
              <w:rPr>
                <w:rFonts w:hint="eastAsia"/>
                <w:color w:val="auto"/>
              </w:rPr>
              <w:t>2</w:t>
            </w:r>
            <w:r>
              <w:rPr>
                <w:color w:val="auto"/>
              </w:rPr>
              <w:t>类标准</w:t>
            </w:r>
          </w:p>
        </w:tc>
      </w:tr>
      <w:tr w14:paraId="78879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778" w:type="dxa"/>
            <w:tcBorders>
              <w:top w:val="single" w:color="auto" w:sz="4" w:space="0"/>
              <w:left w:val="single" w:color="auto" w:sz="12" w:space="0"/>
              <w:bottom w:val="single" w:color="auto" w:sz="4" w:space="0"/>
            </w:tcBorders>
            <w:noWrap w:val="0"/>
            <w:vAlign w:val="center"/>
          </w:tcPr>
          <w:p w14:paraId="37A05EA7">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电磁辐射</w:t>
            </w:r>
          </w:p>
        </w:tc>
        <w:tc>
          <w:tcPr>
            <w:tcW w:w="1755" w:type="dxa"/>
            <w:gridSpan w:val="2"/>
            <w:tcBorders>
              <w:top w:val="single" w:color="auto" w:sz="4" w:space="0"/>
              <w:bottom w:val="single" w:color="auto" w:sz="4" w:space="0"/>
            </w:tcBorders>
            <w:noWrap w:val="0"/>
            <w:vAlign w:val="center"/>
          </w:tcPr>
          <w:p w14:paraId="4828FF4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25" w:type="dxa"/>
            <w:tcBorders>
              <w:top w:val="single" w:color="auto" w:sz="4" w:space="0"/>
              <w:bottom w:val="single" w:color="auto" w:sz="4" w:space="0"/>
            </w:tcBorders>
            <w:noWrap w:val="0"/>
            <w:vAlign w:val="center"/>
          </w:tcPr>
          <w:p w14:paraId="0B03BD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20" w:type="dxa"/>
            <w:tcBorders>
              <w:top w:val="single" w:color="auto" w:sz="4" w:space="0"/>
              <w:bottom w:val="single" w:color="auto" w:sz="4" w:space="0"/>
            </w:tcBorders>
            <w:noWrap w:val="0"/>
            <w:vAlign w:val="center"/>
          </w:tcPr>
          <w:p w14:paraId="77C6348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322" w:type="dxa"/>
            <w:tcBorders>
              <w:top w:val="single" w:color="auto" w:sz="4" w:space="0"/>
              <w:bottom w:val="single" w:color="auto" w:sz="4" w:space="0"/>
              <w:right w:val="single" w:color="auto" w:sz="12" w:space="0"/>
            </w:tcBorders>
            <w:noWrap w:val="0"/>
            <w:vAlign w:val="center"/>
          </w:tcPr>
          <w:p w14:paraId="5A8FA6D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2B3C3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1778" w:type="dxa"/>
            <w:tcBorders>
              <w:top w:val="single" w:color="auto" w:sz="4" w:space="0"/>
              <w:left w:val="single" w:color="auto" w:sz="12" w:space="0"/>
            </w:tcBorders>
            <w:noWrap w:val="0"/>
            <w:vAlign w:val="center"/>
          </w:tcPr>
          <w:p w14:paraId="7DD4D55C">
            <w:pPr>
              <w:adjustRightInd w:val="0"/>
              <w:snapToGrid w:val="0"/>
              <w:jc w:val="center"/>
              <w:rPr>
                <w:rFonts w:hint="default" w:ascii="Times New Roman" w:hAnsi="Times New Roman" w:cs="Times New Roman"/>
                <w:b/>
                <w:color w:val="auto"/>
                <w:szCs w:val="21"/>
              </w:rPr>
            </w:pPr>
            <w:r>
              <w:rPr>
                <w:rFonts w:hint="eastAsia" w:ascii="宋体" w:hAnsi="宋体" w:cs="宋体"/>
                <w:b/>
                <w:bCs/>
                <w:color w:val="auto"/>
                <w:szCs w:val="21"/>
              </w:rPr>
              <w:t>固体废物</w:t>
            </w:r>
          </w:p>
        </w:tc>
        <w:tc>
          <w:tcPr>
            <w:tcW w:w="7022" w:type="dxa"/>
            <w:gridSpan w:val="5"/>
            <w:tcBorders>
              <w:top w:val="single" w:color="auto" w:sz="4" w:space="0"/>
              <w:right w:val="single" w:color="auto" w:sz="12" w:space="0"/>
            </w:tcBorders>
            <w:noWrap w:val="0"/>
            <w:vAlign w:val="center"/>
          </w:tcPr>
          <w:p w14:paraId="0A962DC0">
            <w:pPr>
              <w:snapToGrid w:val="0"/>
              <w:ind w:firstLine="420" w:firstLineChars="200"/>
              <w:jc w:val="left"/>
              <w:rPr>
                <w:rFonts w:hint="eastAsia" w:ascii="宋体" w:hAnsi="宋体" w:cs="宋体"/>
                <w:color w:val="auto"/>
                <w:szCs w:val="21"/>
              </w:rPr>
            </w:pPr>
            <w:r>
              <w:rPr>
                <w:color w:val="auto"/>
                <w:szCs w:val="21"/>
              </w:rPr>
              <w:t>本项目产生的一般工业固体废物应分类收集和贮存</w:t>
            </w:r>
            <w:r>
              <w:rPr>
                <w:rFonts w:hint="eastAsia"/>
                <w:color w:val="auto"/>
                <w:szCs w:val="21"/>
              </w:rPr>
              <w:t>，</w:t>
            </w:r>
            <w:r>
              <w:rPr>
                <w:color w:val="auto"/>
                <w:szCs w:val="21"/>
              </w:rPr>
              <w:t>堆放在一般</w:t>
            </w:r>
            <w:r>
              <w:rPr>
                <w:rFonts w:hint="eastAsia"/>
                <w:color w:val="auto"/>
                <w:szCs w:val="21"/>
              </w:rPr>
              <w:t>固废</w:t>
            </w:r>
            <w:r>
              <w:rPr>
                <w:color w:val="auto"/>
                <w:szCs w:val="21"/>
              </w:rPr>
              <w:t>仓库进行暂存</w:t>
            </w:r>
            <w:r>
              <w:rPr>
                <w:rFonts w:hint="eastAsia"/>
                <w:color w:val="auto"/>
                <w:szCs w:val="21"/>
              </w:rPr>
              <w:t>，危险废物收集在危废仓库暂存后委托有资质单位处置，</w:t>
            </w:r>
            <w:r>
              <w:rPr>
                <w:color w:val="auto"/>
                <w:szCs w:val="21"/>
              </w:rPr>
              <w:t>生活垃圾暂存在垃圾收集</w:t>
            </w:r>
            <w:r>
              <w:rPr>
                <w:rFonts w:hint="eastAsia"/>
                <w:color w:val="auto"/>
                <w:szCs w:val="21"/>
              </w:rPr>
              <w:t>点，</w:t>
            </w:r>
            <w:r>
              <w:rPr>
                <w:color w:val="auto"/>
                <w:szCs w:val="21"/>
              </w:rPr>
              <w:t>由环卫清运</w:t>
            </w:r>
            <w:r>
              <w:rPr>
                <w:rFonts w:hint="eastAsia"/>
                <w:color w:val="auto"/>
                <w:szCs w:val="21"/>
              </w:rPr>
              <w:t>，</w:t>
            </w:r>
            <w:r>
              <w:rPr>
                <w:color w:val="auto"/>
                <w:szCs w:val="21"/>
              </w:rPr>
              <w:t>日产日清</w:t>
            </w:r>
            <w:r>
              <w:rPr>
                <w:rFonts w:hint="eastAsia"/>
                <w:color w:val="auto"/>
                <w:szCs w:val="21"/>
              </w:rPr>
              <w:t>。</w:t>
            </w:r>
            <w:r>
              <w:rPr>
                <w:rFonts w:hint="eastAsia" w:ascii="宋体" w:hAnsi="宋体" w:cs="宋体"/>
                <w:color w:val="auto"/>
                <w:szCs w:val="21"/>
              </w:rPr>
              <w:t>固废零排放。</w:t>
            </w:r>
          </w:p>
          <w:p w14:paraId="54F89413">
            <w:pPr>
              <w:snapToGrid w:val="0"/>
              <w:ind w:firstLine="420" w:firstLineChars="200"/>
              <w:jc w:val="left"/>
              <w:rPr>
                <w:rFonts w:hint="eastAsia" w:ascii="Times New Roman" w:hAnsi="Times New Roman" w:eastAsia="宋体" w:cs="Times New Roman"/>
                <w:color w:val="auto"/>
                <w:szCs w:val="21"/>
                <w:lang w:eastAsia="zh-CN"/>
              </w:rPr>
            </w:pPr>
            <w:r>
              <w:rPr>
                <w:color w:val="auto"/>
              </w:rPr>
              <w:t>一般固废执行《一般工业固体废物贮存和填埋污染控制标准》(GB18599-2020)</w:t>
            </w:r>
            <w:r>
              <w:rPr>
                <w:rFonts w:hint="eastAsia"/>
                <w:color w:val="auto"/>
              </w:rPr>
              <w:t>中</w:t>
            </w:r>
            <w:r>
              <w:rPr>
                <w:color w:val="auto"/>
              </w:rPr>
              <w:t>的有关规定；危险废物应按照《危险废物贮存污染控制标准》（GB18597-20</w:t>
            </w:r>
            <w:r>
              <w:rPr>
                <w:rFonts w:hint="eastAsia"/>
                <w:color w:val="auto"/>
              </w:rPr>
              <w:t>23</w:t>
            </w:r>
            <w:r>
              <w:rPr>
                <w:color w:val="auto"/>
              </w:rPr>
              <w:t>）和《危险废物收集贮存运输技术规范》（HJ2025-2012）、</w:t>
            </w:r>
            <w:r>
              <w:rPr>
                <w:rFonts w:hint="eastAsia"/>
                <w:color w:val="auto"/>
                <w:kern w:val="24"/>
                <w:szCs w:val="21"/>
              </w:rPr>
              <w:t>《省生态环境厅关于印发&lt;江苏省固体废物全过程环境监管工作意见&gt;的通知（苏环办〔2024〕16号）》</w:t>
            </w:r>
            <w:r>
              <w:rPr>
                <w:color w:val="auto"/>
              </w:rPr>
              <w:t>中相关规定要求进行危险废物的包装、贮存设施的选址、设计、运行、安全防护、监测和关闭等要求进行合理的贮存。</w:t>
            </w:r>
          </w:p>
        </w:tc>
      </w:tr>
      <w:tr w14:paraId="48BB9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9" w:hRule="atLeast"/>
          <w:jc w:val="center"/>
        </w:trPr>
        <w:tc>
          <w:tcPr>
            <w:tcW w:w="1778" w:type="dxa"/>
            <w:tcBorders>
              <w:top w:val="single" w:color="auto" w:sz="4" w:space="0"/>
              <w:left w:val="single" w:color="auto" w:sz="12" w:space="0"/>
              <w:bottom w:val="single" w:color="auto" w:sz="4" w:space="0"/>
            </w:tcBorders>
            <w:noWrap w:val="0"/>
            <w:vAlign w:val="center"/>
          </w:tcPr>
          <w:p w14:paraId="01A00279">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土壤及地下水</w:t>
            </w:r>
          </w:p>
          <w:p w14:paraId="4980DF5A">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污染防治措施</w:t>
            </w:r>
          </w:p>
        </w:tc>
        <w:tc>
          <w:tcPr>
            <w:tcW w:w="7022" w:type="dxa"/>
            <w:gridSpan w:val="5"/>
            <w:tcBorders>
              <w:top w:val="single" w:color="auto" w:sz="4" w:space="0"/>
              <w:bottom w:val="single" w:color="auto" w:sz="4" w:space="0"/>
              <w:right w:val="single" w:color="auto" w:sz="12" w:space="0"/>
            </w:tcBorders>
            <w:noWrap w:val="0"/>
            <w:vAlign w:val="center"/>
          </w:tcPr>
          <w:p w14:paraId="60AA317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根据该建设项目污染源的特点，采取如下的土壤和地下水污染防治措施：</w:t>
            </w:r>
          </w:p>
          <w:p w14:paraId="24010677">
            <w:pPr>
              <w:adjustRightInd w:val="0"/>
              <w:snapToGrid w:val="0"/>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①在厂区内实行雨污分流制。</w:t>
            </w:r>
          </w:p>
          <w:p w14:paraId="5AB88866">
            <w:pPr>
              <w:adjustRightInd w:val="0"/>
              <w:snapToGrid w:val="0"/>
              <w:ind w:firstLine="420"/>
              <w:jc w:val="left"/>
              <w:rPr>
                <w:rFonts w:hint="default" w:ascii="Times New Roman" w:hAnsi="Times New Roman" w:cs="Times New Roman"/>
                <w:color w:val="auto"/>
                <w:szCs w:val="21"/>
              </w:rPr>
            </w:pPr>
            <w:r>
              <w:rPr>
                <w:rFonts w:hint="default" w:ascii="Times New Roman" w:hAnsi="Times New Roman" w:cs="Times New Roman"/>
                <w:color w:val="auto"/>
                <w:szCs w:val="21"/>
              </w:rPr>
              <w:t>②厂区要采取综合防渗措施，防止污染物下渗。本项目一般固废库</w:t>
            </w:r>
            <w:r>
              <w:rPr>
                <w:rFonts w:hint="eastAsia" w:cs="Times New Roman"/>
                <w:color w:val="auto"/>
                <w:szCs w:val="21"/>
                <w:lang w:eastAsia="zh-CN"/>
              </w:rPr>
              <w:t>、</w:t>
            </w:r>
            <w:r>
              <w:rPr>
                <w:rFonts w:hint="eastAsia" w:cs="Times New Roman"/>
                <w:color w:val="auto"/>
                <w:szCs w:val="21"/>
                <w:lang w:val="en-US" w:eastAsia="zh-CN"/>
              </w:rPr>
              <w:t>生产车间</w:t>
            </w:r>
            <w:r>
              <w:rPr>
                <w:rFonts w:hint="default" w:ascii="Times New Roman" w:hAnsi="Times New Roman" w:cs="Times New Roman"/>
                <w:color w:val="auto"/>
                <w:szCs w:val="21"/>
              </w:rPr>
              <w:t>为一般防渗区，</w:t>
            </w:r>
            <w:r>
              <w:rPr>
                <w:rFonts w:hint="eastAsia" w:cs="Times New Roman"/>
                <w:color w:val="auto"/>
                <w:szCs w:val="21"/>
                <w:lang w:val="en-US" w:eastAsia="zh-CN"/>
              </w:rPr>
              <w:t>危废</w:t>
            </w:r>
            <w:r>
              <w:rPr>
                <w:rFonts w:hint="default" w:ascii="Times New Roman" w:hAnsi="Times New Roman" w:cs="Times New Roman"/>
                <w:color w:val="auto"/>
                <w:szCs w:val="21"/>
              </w:rPr>
              <w:t>仓库、</w:t>
            </w:r>
            <w:r>
              <w:rPr>
                <w:rFonts w:hint="eastAsia" w:cs="Times New Roman"/>
                <w:color w:val="auto"/>
                <w:szCs w:val="21"/>
                <w:lang w:val="en-US" w:eastAsia="zh-CN"/>
              </w:rPr>
              <w:t>应急池</w:t>
            </w:r>
            <w:r>
              <w:rPr>
                <w:rFonts w:hint="default" w:ascii="Times New Roman" w:hAnsi="Times New Roman" w:cs="Times New Roman"/>
                <w:color w:val="auto"/>
                <w:szCs w:val="21"/>
              </w:rPr>
              <w:t>为重点污染防渗区，企业根据重点防渗要求落实到位。</w:t>
            </w:r>
          </w:p>
          <w:p w14:paraId="62F17423">
            <w:pPr>
              <w:adjustRightInd w:val="0"/>
              <w:snapToGrid w:val="0"/>
              <w:ind w:firstLine="420"/>
              <w:jc w:val="left"/>
              <w:rPr>
                <w:rFonts w:hint="default" w:ascii="Times New Roman" w:hAnsi="Times New Roman" w:cs="Times New Roman"/>
                <w:color w:val="auto"/>
                <w:szCs w:val="21"/>
              </w:rPr>
            </w:pPr>
            <w:r>
              <w:rPr>
                <w:rFonts w:hint="default" w:ascii="Times New Roman" w:hAnsi="Times New Roman" w:cs="Times New Roman"/>
                <w:color w:val="auto"/>
                <w:szCs w:val="21"/>
              </w:rPr>
              <w:t>通过上述措施，可大大减少污染物进入土壤及地下水的可能性。</w:t>
            </w:r>
          </w:p>
        </w:tc>
      </w:tr>
      <w:tr w14:paraId="758A5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78" w:type="dxa"/>
            <w:tcBorders>
              <w:top w:val="single" w:color="auto" w:sz="4" w:space="0"/>
              <w:left w:val="single" w:color="auto" w:sz="12" w:space="0"/>
              <w:bottom w:val="single" w:color="auto" w:sz="4" w:space="0"/>
            </w:tcBorders>
            <w:noWrap w:val="0"/>
            <w:vAlign w:val="center"/>
          </w:tcPr>
          <w:p w14:paraId="2519C11D">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生态保护措施</w:t>
            </w:r>
          </w:p>
        </w:tc>
        <w:tc>
          <w:tcPr>
            <w:tcW w:w="7022" w:type="dxa"/>
            <w:gridSpan w:val="5"/>
            <w:tcBorders>
              <w:top w:val="single" w:color="auto" w:sz="4" w:space="0"/>
              <w:bottom w:val="single" w:color="auto" w:sz="4" w:space="0"/>
              <w:right w:val="single" w:color="auto" w:sz="12" w:space="0"/>
            </w:tcBorders>
            <w:noWrap w:val="0"/>
            <w:vAlign w:val="center"/>
          </w:tcPr>
          <w:p w14:paraId="501082A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695DF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8" w:hRule="atLeast"/>
          <w:jc w:val="center"/>
        </w:trPr>
        <w:tc>
          <w:tcPr>
            <w:tcW w:w="1778" w:type="dxa"/>
            <w:tcBorders>
              <w:top w:val="single" w:color="auto" w:sz="4" w:space="0"/>
              <w:left w:val="single" w:color="auto" w:sz="12" w:space="0"/>
              <w:bottom w:val="single" w:color="auto" w:sz="4" w:space="0"/>
            </w:tcBorders>
            <w:noWrap w:val="0"/>
            <w:vAlign w:val="center"/>
          </w:tcPr>
          <w:p w14:paraId="1EC09D55">
            <w:pPr>
              <w:adjustRightInd w:val="0"/>
              <w:snapToGrid w:val="0"/>
              <w:jc w:val="center"/>
              <w:rPr>
                <w:rFonts w:hint="default" w:ascii="Times New Roman" w:hAnsi="Times New Roman" w:cs="Times New Roman"/>
                <w:b/>
                <w:color w:val="auto"/>
                <w:spacing w:val="-8"/>
                <w:szCs w:val="21"/>
              </w:rPr>
            </w:pPr>
            <w:r>
              <w:rPr>
                <w:rFonts w:hint="default" w:ascii="Times New Roman" w:hAnsi="Times New Roman" w:cs="Times New Roman"/>
                <w:b/>
                <w:color w:val="auto"/>
                <w:spacing w:val="-8"/>
                <w:szCs w:val="21"/>
              </w:rPr>
              <w:t>环境风险</w:t>
            </w:r>
          </w:p>
          <w:p w14:paraId="0D32C2A0">
            <w:pPr>
              <w:adjustRightInd w:val="0"/>
              <w:snapToGrid w:val="0"/>
              <w:jc w:val="center"/>
              <w:rPr>
                <w:rFonts w:hint="default" w:ascii="Times New Roman" w:hAnsi="Times New Roman" w:cs="Times New Roman"/>
                <w:b/>
                <w:color w:val="auto"/>
                <w:spacing w:val="-8"/>
                <w:szCs w:val="21"/>
              </w:rPr>
            </w:pPr>
            <w:r>
              <w:rPr>
                <w:rFonts w:hint="default" w:ascii="Times New Roman" w:hAnsi="Times New Roman" w:cs="Times New Roman"/>
                <w:b/>
                <w:color w:val="auto"/>
                <w:spacing w:val="-8"/>
                <w:szCs w:val="21"/>
              </w:rPr>
              <w:t>防范措施</w:t>
            </w:r>
          </w:p>
        </w:tc>
        <w:tc>
          <w:tcPr>
            <w:tcW w:w="7022" w:type="dxa"/>
            <w:gridSpan w:val="5"/>
            <w:tcBorders>
              <w:top w:val="single" w:color="auto" w:sz="4" w:space="0"/>
              <w:bottom w:val="single" w:color="auto" w:sz="4" w:space="0"/>
              <w:right w:val="single" w:color="auto" w:sz="12" w:space="0"/>
            </w:tcBorders>
            <w:noWrap w:val="0"/>
            <w:vAlign w:val="center"/>
          </w:tcPr>
          <w:p w14:paraId="4A8CC928">
            <w:pPr>
              <w:adjustRightInd w:val="0"/>
              <w:snapToGrid w:val="0"/>
              <w:jc w:val="left"/>
              <w:rPr>
                <w:rFonts w:hint="eastAsia" w:hAnsi="宋体"/>
                <w:color w:val="auto"/>
                <w:kern w:val="0"/>
                <w:szCs w:val="21"/>
              </w:rPr>
            </w:pPr>
            <w:r>
              <w:rPr>
                <w:rFonts w:hint="eastAsia" w:hAnsi="宋体"/>
                <w:color w:val="auto"/>
                <w:kern w:val="0"/>
                <w:szCs w:val="21"/>
              </w:rPr>
              <w:t>（1）危废仓库风险防范措施</w:t>
            </w:r>
          </w:p>
          <w:p w14:paraId="08B73710">
            <w:pPr>
              <w:adjustRightInd w:val="0"/>
              <w:snapToGrid w:val="0"/>
              <w:jc w:val="left"/>
              <w:rPr>
                <w:rFonts w:hint="eastAsia" w:hAnsi="宋体"/>
                <w:color w:val="auto"/>
                <w:kern w:val="0"/>
                <w:szCs w:val="21"/>
              </w:rPr>
            </w:pPr>
            <w:r>
              <w:rPr>
                <w:rFonts w:hint="eastAsia" w:hAnsi="宋体"/>
                <w:color w:val="auto"/>
                <w:kern w:val="0"/>
                <w:szCs w:val="21"/>
              </w:rPr>
              <w:t>①在收集过程中要根据各种固体废物的性质进行分类、分别收集和临时贮存。</w:t>
            </w:r>
          </w:p>
          <w:p w14:paraId="005F1328">
            <w:pPr>
              <w:adjustRightInd w:val="0"/>
              <w:snapToGrid w:val="0"/>
              <w:jc w:val="left"/>
              <w:rPr>
                <w:rFonts w:hint="eastAsia" w:hAnsi="宋体"/>
                <w:color w:val="auto"/>
                <w:kern w:val="0"/>
                <w:szCs w:val="21"/>
              </w:rPr>
            </w:pPr>
            <w:r>
              <w:rPr>
                <w:rFonts w:hint="eastAsia" w:hAnsi="宋体"/>
                <w:color w:val="auto"/>
                <w:kern w:val="0"/>
                <w:szCs w:val="21"/>
              </w:rPr>
              <w:t>②厂内应设置专门的废物贮存室、以便贮存不能及时送出处理的固废，避免在露天堆放中产生的泄漏、渗透、蒸发、雨水淋溶以及大风吹扬等产生二次污染。固体废物的临时堆场必须严格按照国家标准设置。</w:t>
            </w:r>
          </w:p>
          <w:p w14:paraId="32530E39">
            <w:pPr>
              <w:adjustRightInd w:val="0"/>
              <w:snapToGrid w:val="0"/>
              <w:jc w:val="left"/>
              <w:rPr>
                <w:rFonts w:hint="eastAsia" w:hAnsi="宋体"/>
                <w:color w:val="auto"/>
                <w:kern w:val="0"/>
                <w:szCs w:val="21"/>
              </w:rPr>
            </w:pPr>
            <w:r>
              <w:rPr>
                <w:rFonts w:hint="eastAsia" w:hAnsi="宋体"/>
                <w:color w:val="auto"/>
                <w:kern w:val="0"/>
                <w:szCs w:val="21"/>
              </w:rPr>
              <w:t>③运输过程中要注意固废的包装容器要注意密闭，以免在运输途中发生固体废物的泄漏，从而产生二次污染。</w:t>
            </w:r>
          </w:p>
          <w:p w14:paraId="3A26F253">
            <w:pPr>
              <w:adjustRightInd w:val="0"/>
              <w:snapToGrid w:val="0"/>
              <w:jc w:val="left"/>
              <w:rPr>
                <w:rFonts w:hint="eastAsia" w:hAnsi="宋体"/>
                <w:color w:val="auto"/>
                <w:kern w:val="0"/>
                <w:szCs w:val="21"/>
              </w:rPr>
            </w:pPr>
            <w:r>
              <w:rPr>
                <w:rFonts w:hint="eastAsia" w:hAnsi="宋体"/>
                <w:color w:val="auto"/>
                <w:kern w:val="0"/>
                <w:szCs w:val="21"/>
              </w:rPr>
              <w:t>（2）原料暂存场所风险防范措施</w:t>
            </w:r>
          </w:p>
          <w:p w14:paraId="2800300A">
            <w:pPr>
              <w:adjustRightInd w:val="0"/>
              <w:snapToGrid w:val="0"/>
              <w:jc w:val="left"/>
              <w:rPr>
                <w:rFonts w:hint="eastAsia" w:hAnsi="宋体"/>
                <w:color w:val="auto"/>
                <w:kern w:val="0"/>
                <w:szCs w:val="21"/>
              </w:rPr>
            </w:pPr>
            <w:r>
              <w:rPr>
                <w:rFonts w:hint="eastAsia" w:hAnsi="宋体"/>
                <w:color w:val="auto"/>
                <w:kern w:val="0"/>
                <w:szCs w:val="21"/>
              </w:rPr>
              <w:t xml:space="preserve">①原料轻拿轻放，并注意关门。 </w:t>
            </w:r>
          </w:p>
          <w:p w14:paraId="1F7DD15C">
            <w:pPr>
              <w:adjustRightInd w:val="0"/>
              <w:snapToGrid w:val="0"/>
              <w:jc w:val="left"/>
              <w:rPr>
                <w:rFonts w:hint="eastAsia" w:hAnsi="宋体"/>
                <w:color w:val="auto"/>
                <w:kern w:val="0"/>
                <w:szCs w:val="21"/>
              </w:rPr>
            </w:pPr>
            <w:r>
              <w:rPr>
                <w:rFonts w:hint="eastAsia" w:hAnsi="宋体"/>
                <w:color w:val="auto"/>
                <w:kern w:val="0"/>
                <w:szCs w:val="21"/>
              </w:rPr>
              <w:t xml:space="preserve">②对操作人员进行系统教育，对贮存容器的性能和贮存物品的尖锐性加强认识和巡检，严格按操作规程进行操作，严禁违章作业。 </w:t>
            </w:r>
          </w:p>
          <w:p w14:paraId="7ECD99FE">
            <w:pPr>
              <w:adjustRightInd w:val="0"/>
              <w:snapToGrid w:val="0"/>
              <w:jc w:val="left"/>
              <w:rPr>
                <w:rFonts w:hint="eastAsia" w:hAnsi="宋体"/>
                <w:color w:val="auto"/>
                <w:kern w:val="0"/>
                <w:szCs w:val="21"/>
              </w:rPr>
            </w:pPr>
            <w:r>
              <w:rPr>
                <w:rFonts w:hint="eastAsia" w:hAnsi="宋体"/>
                <w:color w:val="auto"/>
                <w:kern w:val="0"/>
                <w:szCs w:val="21"/>
              </w:rPr>
              <w:t xml:space="preserve">③液体化学品放置在防漏托盘上，注意固体液体分架摆放，避免意外泄漏对环境的影响。 </w:t>
            </w:r>
          </w:p>
          <w:p w14:paraId="6173D8DA">
            <w:pPr>
              <w:adjustRightInd w:val="0"/>
              <w:snapToGrid w:val="0"/>
              <w:jc w:val="left"/>
              <w:rPr>
                <w:rFonts w:hint="eastAsia" w:hAnsi="宋体"/>
                <w:color w:val="auto"/>
                <w:kern w:val="0"/>
                <w:szCs w:val="21"/>
              </w:rPr>
            </w:pPr>
            <w:r>
              <w:rPr>
                <w:rFonts w:hint="eastAsia" w:hAnsi="宋体"/>
                <w:color w:val="auto"/>
                <w:kern w:val="0"/>
                <w:szCs w:val="21"/>
              </w:rPr>
              <w:t>（3）火灾和爆炸的预防措施</w:t>
            </w:r>
          </w:p>
          <w:p w14:paraId="16445245">
            <w:pPr>
              <w:adjustRightInd w:val="0"/>
              <w:snapToGrid w:val="0"/>
              <w:jc w:val="left"/>
              <w:rPr>
                <w:rFonts w:hint="eastAsia" w:hAnsi="宋体"/>
                <w:color w:val="auto"/>
                <w:kern w:val="0"/>
                <w:szCs w:val="21"/>
              </w:rPr>
            </w:pPr>
            <w:r>
              <w:rPr>
                <w:rFonts w:hint="eastAsia" w:hAnsi="宋体"/>
                <w:color w:val="auto"/>
                <w:kern w:val="0"/>
                <w:szCs w:val="21"/>
              </w:rPr>
              <w:t>①设备的安全管理：定期对设备进行安全检测，检测内容、时间、人员应有记录保存。安全检测应根据设备的安全性、危险性设定检测频次。</w:t>
            </w:r>
          </w:p>
          <w:p w14:paraId="6431D8DE">
            <w:pPr>
              <w:adjustRightInd w:val="0"/>
              <w:snapToGrid w:val="0"/>
              <w:jc w:val="left"/>
              <w:rPr>
                <w:rFonts w:hint="eastAsia" w:hAnsi="宋体"/>
                <w:color w:val="auto"/>
                <w:kern w:val="0"/>
                <w:szCs w:val="21"/>
              </w:rPr>
            </w:pPr>
            <w:r>
              <w:rPr>
                <w:rFonts w:hint="eastAsia" w:hAnsi="宋体"/>
                <w:color w:val="auto"/>
                <w:kern w:val="0"/>
                <w:szCs w:val="21"/>
              </w:rPr>
              <w:t>②应加强火源的管理，严禁烟火带入，对设备需进行维修焊接，应经安全部门确认、准许，并有记录。</w:t>
            </w:r>
          </w:p>
          <w:p w14:paraId="54FBDFDE">
            <w:pPr>
              <w:adjustRightInd w:val="0"/>
              <w:snapToGrid w:val="0"/>
              <w:jc w:val="left"/>
              <w:rPr>
                <w:rFonts w:hint="eastAsia" w:hAnsi="宋体"/>
                <w:color w:val="auto"/>
                <w:kern w:val="0"/>
                <w:szCs w:val="21"/>
              </w:rPr>
            </w:pPr>
            <w:r>
              <w:rPr>
                <w:rFonts w:hint="eastAsia" w:hAnsi="宋体"/>
                <w:color w:val="auto"/>
                <w:kern w:val="0"/>
                <w:szCs w:val="21"/>
              </w:rPr>
              <w:t xml:space="preserve">③要有完善的安全消防措施。厂区内各车间及仓库应设置水消防系统和ABC 类干粉灭火器等。 </w:t>
            </w:r>
          </w:p>
          <w:p w14:paraId="4F0C77FB">
            <w:pPr>
              <w:adjustRightInd w:val="0"/>
              <w:snapToGrid w:val="0"/>
              <w:jc w:val="left"/>
              <w:rPr>
                <w:color w:val="auto"/>
                <w:szCs w:val="21"/>
              </w:rPr>
            </w:pPr>
            <w:r>
              <w:rPr>
                <w:rFonts w:hAnsi="宋体"/>
                <w:color w:val="auto"/>
                <w:szCs w:val="21"/>
              </w:rPr>
              <w:t>（</w:t>
            </w:r>
            <w:r>
              <w:rPr>
                <w:color w:val="auto"/>
                <w:szCs w:val="21"/>
              </w:rPr>
              <w:t>4</w:t>
            </w:r>
            <w:r>
              <w:rPr>
                <w:rFonts w:hAnsi="宋体"/>
                <w:color w:val="auto"/>
                <w:szCs w:val="21"/>
              </w:rPr>
              <w:t>）化粪池风险防范措施</w:t>
            </w:r>
          </w:p>
          <w:p w14:paraId="2373DCA6">
            <w:pPr>
              <w:adjustRightInd w:val="0"/>
              <w:snapToGrid w:val="0"/>
              <w:jc w:val="left"/>
              <w:rPr>
                <w:rFonts w:hint="default" w:ascii="Times New Roman" w:hAnsi="Times New Roman" w:cs="Times New Roman"/>
                <w:color w:val="auto"/>
                <w:szCs w:val="21"/>
              </w:rPr>
            </w:pPr>
            <w:r>
              <w:rPr>
                <w:rFonts w:hAnsi="宋体"/>
                <w:color w:val="auto"/>
                <w:szCs w:val="21"/>
              </w:rPr>
              <w:t>①定期巡检。</w:t>
            </w:r>
          </w:p>
        </w:tc>
      </w:tr>
      <w:tr w14:paraId="1EB24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6" w:hRule="atLeast"/>
          <w:jc w:val="center"/>
        </w:trPr>
        <w:tc>
          <w:tcPr>
            <w:tcW w:w="1778" w:type="dxa"/>
            <w:tcBorders>
              <w:top w:val="single" w:color="auto" w:sz="4" w:space="0"/>
              <w:left w:val="single" w:color="auto" w:sz="12" w:space="0"/>
              <w:bottom w:val="single" w:color="auto" w:sz="12" w:space="0"/>
            </w:tcBorders>
            <w:noWrap w:val="0"/>
            <w:vAlign w:val="center"/>
          </w:tcPr>
          <w:p w14:paraId="3E1EC186">
            <w:pPr>
              <w:adjustRightInd w:val="0"/>
              <w:snapToGrid w:val="0"/>
              <w:jc w:val="center"/>
              <w:rPr>
                <w:rFonts w:hint="default" w:ascii="Times New Roman" w:hAnsi="Times New Roman" w:cs="Times New Roman"/>
                <w:b/>
                <w:color w:val="auto"/>
                <w:spacing w:val="-8"/>
                <w:szCs w:val="21"/>
              </w:rPr>
            </w:pPr>
            <w:r>
              <w:rPr>
                <w:rFonts w:hint="default" w:ascii="Times New Roman" w:hAnsi="Times New Roman" w:cs="Times New Roman"/>
                <w:b/>
                <w:color w:val="auto"/>
                <w:spacing w:val="-8"/>
                <w:szCs w:val="21"/>
              </w:rPr>
              <w:t>其他环境</w:t>
            </w:r>
          </w:p>
          <w:p w14:paraId="4407C7D0">
            <w:pPr>
              <w:adjustRightInd w:val="0"/>
              <w:snapToGrid w:val="0"/>
              <w:jc w:val="center"/>
              <w:rPr>
                <w:rFonts w:hint="default" w:ascii="Times New Roman" w:hAnsi="Times New Roman" w:cs="Times New Roman"/>
                <w:b/>
                <w:color w:val="auto"/>
                <w:spacing w:val="-8"/>
                <w:szCs w:val="21"/>
              </w:rPr>
            </w:pPr>
            <w:r>
              <w:rPr>
                <w:rFonts w:hint="default" w:ascii="Times New Roman" w:hAnsi="Times New Roman" w:cs="Times New Roman"/>
                <w:b/>
                <w:color w:val="auto"/>
                <w:spacing w:val="-8"/>
                <w:szCs w:val="21"/>
              </w:rPr>
              <w:t>管理要求</w:t>
            </w:r>
          </w:p>
        </w:tc>
        <w:tc>
          <w:tcPr>
            <w:tcW w:w="7022" w:type="dxa"/>
            <w:gridSpan w:val="5"/>
            <w:tcBorders>
              <w:top w:val="single" w:color="auto" w:sz="4" w:space="0"/>
              <w:bottom w:val="single" w:color="auto" w:sz="12" w:space="0"/>
              <w:right w:val="single" w:color="auto" w:sz="12" w:space="0"/>
            </w:tcBorders>
            <w:noWrap w:val="0"/>
            <w:vAlign w:val="center"/>
          </w:tcPr>
          <w:p w14:paraId="39F4FA28">
            <w:pPr>
              <w:jc w:val="left"/>
              <w:rPr>
                <w:color w:val="auto"/>
              </w:rPr>
            </w:pPr>
            <w:r>
              <w:rPr>
                <w:rFonts w:hint="eastAsia"/>
                <w:color w:val="auto"/>
              </w:rPr>
              <w:t>1、排污口规范化要求：</w:t>
            </w:r>
          </w:p>
          <w:p w14:paraId="557B880F">
            <w:pPr>
              <w:ind w:firstLine="480"/>
              <w:jc w:val="left"/>
              <w:rPr>
                <w:color w:val="auto"/>
              </w:rPr>
            </w:pPr>
            <w:r>
              <w:rPr>
                <w:color w:val="auto"/>
              </w:rPr>
              <w:t>根据《江苏省排污口设置及规范化整治管理办法》的第十二条规定，排污口符合“一明显、二合理、三便于”的要求，即环保标志明显，排污口设置合理、排污去向合理，便于采集样品、便于监测计量、便于公众监督管理，按照国家环保部（原国家环保局）制定的《〈环境保护图形标志〉实施细则(试行)》(环监</w:t>
            </w:r>
            <w:r>
              <w:rPr>
                <w:rFonts w:hint="eastAsia" w:ascii="宋体" w:hAnsi="宋体"/>
                <w:color w:val="auto"/>
              </w:rPr>
              <w:t>〔</w:t>
            </w:r>
            <w:r>
              <w:rPr>
                <w:color w:val="auto"/>
              </w:rPr>
              <w:t>1996</w:t>
            </w:r>
            <w:r>
              <w:rPr>
                <w:rFonts w:hint="eastAsia" w:ascii="宋体" w:hAnsi="宋体"/>
                <w:color w:val="auto"/>
              </w:rPr>
              <w:t>〕</w:t>
            </w:r>
            <w:r>
              <w:rPr>
                <w:color w:val="auto"/>
              </w:rPr>
              <w:t>463号)的规定，对各排污口设立相应的标志牌。</w:t>
            </w:r>
          </w:p>
          <w:p w14:paraId="39B31D7F">
            <w:pPr>
              <w:ind w:firstLine="480"/>
              <w:jc w:val="left"/>
              <w:rPr>
                <w:color w:val="auto"/>
              </w:rPr>
            </w:pPr>
            <w:r>
              <w:rPr>
                <w:rFonts w:hint="eastAsia"/>
                <w:color w:val="auto"/>
              </w:rPr>
              <w:t>（1）雨</w:t>
            </w:r>
            <w:r>
              <w:rPr>
                <w:color w:val="auto"/>
              </w:rPr>
              <w:t>水及污水排放口</w:t>
            </w:r>
          </w:p>
          <w:p w14:paraId="4A4DBA13">
            <w:pPr>
              <w:ind w:firstLine="480"/>
              <w:jc w:val="left"/>
              <w:rPr>
                <w:color w:val="auto"/>
              </w:rPr>
            </w:pPr>
            <w:r>
              <w:rPr>
                <w:color w:val="auto"/>
              </w:rPr>
              <w:t>本项目排水系统按</w:t>
            </w:r>
            <w:r>
              <w:rPr>
                <w:rFonts w:hint="eastAsia"/>
                <w:color w:val="auto"/>
              </w:rPr>
              <w:t>“</w:t>
            </w:r>
            <w:r>
              <w:rPr>
                <w:color w:val="auto"/>
              </w:rPr>
              <w:t>雨污分流</w:t>
            </w:r>
            <w:r>
              <w:rPr>
                <w:rFonts w:hint="eastAsia"/>
                <w:color w:val="auto"/>
              </w:rPr>
              <w:t>”</w:t>
            </w:r>
            <w:r>
              <w:rPr>
                <w:color w:val="auto"/>
              </w:rPr>
              <w:t>原则设计。</w:t>
            </w:r>
            <w:r>
              <w:rPr>
                <w:rFonts w:hint="eastAsia"/>
                <w:color w:val="auto"/>
              </w:rPr>
              <w:t>出租方设置</w:t>
            </w:r>
            <w:r>
              <w:rPr>
                <w:color w:val="auto"/>
              </w:rPr>
              <w:t>雨水排放口1</w:t>
            </w:r>
            <w:r>
              <w:rPr>
                <w:rFonts w:hint="eastAsia"/>
                <w:color w:val="auto"/>
              </w:rPr>
              <w:t>个，本项目依托并</w:t>
            </w:r>
            <w:r>
              <w:rPr>
                <w:color w:val="auto"/>
              </w:rPr>
              <w:t>设置符合规定的环境保护图形标牌，实行排污口立标管理。</w:t>
            </w:r>
          </w:p>
          <w:p w14:paraId="61755C37">
            <w:pPr>
              <w:ind w:firstLine="480"/>
              <w:jc w:val="left"/>
              <w:rPr>
                <w:color w:val="auto"/>
              </w:rPr>
            </w:pPr>
            <w:r>
              <w:rPr>
                <w:rFonts w:hint="eastAsia"/>
                <w:color w:val="auto"/>
              </w:rPr>
              <w:t>（2）</w:t>
            </w:r>
            <w:r>
              <w:rPr>
                <w:color w:val="auto"/>
              </w:rPr>
              <w:t>废气排气筒</w:t>
            </w:r>
          </w:p>
          <w:p w14:paraId="36E31442">
            <w:pPr>
              <w:ind w:firstLine="480"/>
              <w:jc w:val="left"/>
              <w:rPr>
                <w:color w:val="auto"/>
              </w:rPr>
            </w:pPr>
            <w:r>
              <w:rPr>
                <w:color w:val="auto"/>
              </w:rPr>
              <w:t>废气排气筒按要求</w:t>
            </w:r>
            <w:r>
              <w:rPr>
                <w:rFonts w:hint="eastAsia"/>
                <w:color w:val="auto"/>
              </w:rPr>
              <w:t>设置</w:t>
            </w:r>
            <w:r>
              <w:rPr>
                <w:color w:val="auto"/>
              </w:rPr>
              <w:t>永久性采样平台和采样口，有净化设施的，应在其进出口分别设置采样口。本项目设置</w:t>
            </w:r>
            <w:r>
              <w:rPr>
                <w:rFonts w:hint="eastAsia"/>
                <w:color w:val="auto"/>
                <w:lang w:val="en-US" w:eastAsia="zh-CN"/>
              </w:rPr>
              <w:t>3</w:t>
            </w:r>
            <w:r>
              <w:rPr>
                <w:rFonts w:hint="eastAsia"/>
                <w:color w:val="auto"/>
              </w:rPr>
              <w:t>个一般废气排放口。</w:t>
            </w:r>
            <w:r>
              <w:rPr>
                <w:color w:val="auto"/>
              </w:rPr>
              <w:t>排气筒附近地面醒目处设环境保护图形标志牌，标明排气筒高度、出口内径、排放污染物种类。</w:t>
            </w:r>
          </w:p>
          <w:p w14:paraId="2AE77309">
            <w:pPr>
              <w:ind w:firstLine="480"/>
              <w:jc w:val="left"/>
              <w:rPr>
                <w:color w:val="auto"/>
              </w:rPr>
            </w:pPr>
            <w:r>
              <w:rPr>
                <w:rFonts w:hint="eastAsia"/>
                <w:color w:val="auto"/>
              </w:rPr>
              <w:t>（3）</w:t>
            </w:r>
            <w:r>
              <w:rPr>
                <w:color w:val="auto"/>
              </w:rPr>
              <w:t>固定噪声源</w:t>
            </w:r>
          </w:p>
          <w:p w14:paraId="3AAA65B2">
            <w:pPr>
              <w:ind w:firstLine="480"/>
              <w:jc w:val="left"/>
              <w:rPr>
                <w:color w:val="auto"/>
              </w:rPr>
            </w:pPr>
            <w:r>
              <w:rPr>
                <w:color w:val="auto"/>
              </w:rPr>
              <w:t>固定噪声污染源对边界影响最大处设置环境噪声监测点，并在该处附近醒目处设置环境保护图形标志牌。厂界设置若干个环境噪声监测点和相应的标志牌。</w:t>
            </w:r>
          </w:p>
          <w:p w14:paraId="7EEF6BBD">
            <w:pPr>
              <w:ind w:firstLine="480"/>
              <w:jc w:val="left"/>
              <w:rPr>
                <w:color w:val="auto"/>
              </w:rPr>
            </w:pPr>
            <w:r>
              <w:rPr>
                <w:rFonts w:hint="eastAsia"/>
                <w:color w:val="auto"/>
              </w:rPr>
              <w:t>（4）</w:t>
            </w:r>
            <w:r>
              <w:rPr>
                <w:color w:val="auto"/>
              </w:rPr>
              <w:t>固体废物贮存(处置)场所</w:t>
            </w:r>
          </w:p>
          <w:p w14:paraId="6E2B4CDA">
            <w:pPr>
              <w:adjustRightInd w:val="0"/>
              <w:snapToGrid w:val="0"/>
              <w:ind w:firstLine="420" w:firstLineChars="200"/>
              <w:jc w:val="left"/>
              <w:rPr>
                <w:color w:val="auto"/>
              </w:rPr>
            </w:pPr>
            <w:r>
              <w:rPr>
                <w:color w:val="auto"/>
              </w:rPr>
              <w:t>各种固体废物处置设施、堆放场所有防火、防扬散、防流失、防淋雨、防腐蚀、防渗漏或者其它防止污染环境的措施，禁止将危险废物混入非危险废物中贮存，在醒目处设置环境保护图形标志牌。</w:t>
            </w:r>
          </w:p>
          <w:p w14:paraId="7E13DBE5">
            <w:pPr>
              <w:adjustRightInd w:val="0"/>
              <w:snapToGrid w:val="0"/>
              <w:jc w:val="left"/>
              <w:rPr>
                <w:color w:val="auto"/>
              </w:rPr>
            </w:pPr>
            <w:r>
              <w:rPr>
                <w:rFonts w:hint="eastAsia"/>
                <w:color w:val="auto"/>
              </w:rPr>
              <w:t>2、其他相关管理要求：</w:t>
            </w:r>
          </w:p>
          <w:p w14:paraId="1D85B422">
            <w:pPr>
              <w:ind w:firstLine="480"/>
              <w:jc w:val="left"/>
              <w:rPr>
                <w:rFonts w:hint="eastAsia"/>
                <w:color w:val="auto"/>
              </w:rPr>
            </w:pPr>
            <w:r>
              <w:rPr>
                <w:rFonts w:hint="eastAsia"/>
                <w:color w:val="auto"/>
              </w:rPr>
              <w:t>①配备专职环保人员，做好环保台账记录，台账保存不少于5年。</w:t>
            </w:r>
          </w:p>
          <w:p w14:paraId="6D2B9703">
            <w:pPr>
              <w:ind w:firstLine="480"/>
              <w:jc w:val="left"/>
              <w:rPr>
                <w:rFonts w:hint="eastAsia"/>
                <w:color w:val="auto"/>
              </w:rPr>
            </w:pPr>
            <w:r>
              <w:rPr>
                <w:rFonts w:hint="eastAsia"/>
                <w:color w:val="auto"/>
              </w:rPr>
              <w:t>②认真贯彻执行有关建设项目环境保护管理文件的精神、建立健全各项规章制度。</w:t>
            </w:r>
          </w:p>
          <w:p w14:paraId="63EDA5EC">
            <w:pPr>
              <w:ind w:firstLine="480"/>
              <w:jc w:val="left"/>
              <w:rPr>
                <w:rFonts w:hint="eastAsia"/>
                <w:color w:val="auto"/>
              </w:rPr>
            </w:pPr>
            <w:r>
              <w:rPr>
                <w:rFonts w:hint="eastAsia"/>
                <w:color w:val="auto"/>
              </w:rPr>
              <w:t>③建设单位在项目实施过程中，建设项目的污染防治措施必须实行“三同时”原则，即与主体工程同时设计、同时施工、同时投产使用，确保各污染物达标排放，污染物排放量达到污染物排放总量控制指标的要求。</w:t>
            </w:r>
          </w:p>
          <w:p w14:paraId="72126A4C">
            <w:pPr>
              <w:ind w:firstLine="480"/>
              <w:jc w:val="left"/>
              <w:rPr>
                <w:rFonts w:hint="eastAsia"/>
                <w:color w:val="auto"/>
              </w:rPr>
            </w:pPr>
            <w:r>
              <w:rPr>
                <w:rFonts w:hint="eastAsia"/>
                <w:color w:val="auto"/>
              </w:rPr>
              <w:t>④按照各污染物排放情况设置标识标牌，定期对污染防治措施进行巡检检查，确保设施正常运行，并做好检查台账管理。</w:t>
            </w:r>
          </w:p>
          <w:p w14:paraId="06654C42">
            <w:pPr>
              <w:rPr>
                <w:rFonts w:hint="eastAsia"/>
                <w:color w:val="auto"/>
              </w:rPr>
            </w:pPr>
          </w:p>
          <w:p w14:paraId="74CB2666">
            <w:pPr>
              <w:adjustRightInd w:val="0"/>
              <w:snapToGrid w:val="0"/>
              <w:ind w:firstLine="420" w:firstLineChars="200"/>
              <w:jc w:val="left"/>
              <w:rPr>
                <w:rFonts w:hint="default" w:ascii="Times New Roman" w:hAnsi="Times New Roman" w:cs="Times New Roman"/>
                <w:color w:val="auto"/>
                <w:szCs w:val="21"/>
              </w:rPr>
            </w:pPr>
          </w:p>
        </w:tc>
      </w:tr>
    </w:tbl>
    <w:p w14:paraId="76277FBE">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5"/>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2F3CA2F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5000" w:type="pct"/>
            <w:noWrap w:val="0"/>
            <w:vAlign w:val="top"/>
          </w:tcPr>
          <w:p w14:paraId="6F1D7EA9">
            <w:pPr>
              <w:spacing w:line="360" w:lineRule="auto"/>
              <w:ind w:firstLine="420" w:firstLineChars="200"/>
              <w:rPr>
                <w:color w:val="auto"/>
                <w:szCs w:val="21"/>
              </w:rPr>
            </w:pPr>
            <w:r>
              <w:rPr>
                <w:color w:val="auto"/>
                <w:szCs w:val="21"/>
              </w:rPr>
              <w:t>从环保角度来看，</w:t>
            </w:r>
            <w:r>
              <w:rPr>
                <w:rFonts w:hint="eastAsia" w:ascii="Times New Roman" w:hAnsi="Times New Roman" w:eastAsia="宋体" w:cs="Times New Roman"/>
                <w:color w:val="auto"/>
                <w:szCs w:val="21"/>
                <w:lang w:val="en-US" w:eastAsia="zh-CN"/>
              </w:rPr>
              <w:t>如皋市迪普机械科技</w:t>
            </w:r>
            <w:r>
              <w:rPr>
                <w:rFonts w:hint="eastAsia" w:ascii="Times New Roman" w:hAnsi="Times New Roman" w:eastAsia="宋体" w:cs="Times New Roman"/>
                <w:color w:val="auto"/>
                <w:szCs w:val="21"/>
              </w:rPr>
              <w:t>有限公司</w:t>
            </w:r>
            <w:r>
              <w:rPr>
                <w:rFonts w:hint="eastAsia" w:ascii="Times New Roman" w:hAnsi="Times New Roman" w:eastAsia="宋体" w:cs="Times New Roman"/>
                <w:color w:val="auto"/>
                <w:szCs w:val="21"/>
                <w:lang w:val="en-US" w:eastAsia="zh-CN"/>
              </w:rPr>
              <w:t>铝合金精密制造</w:t>
            </w:r>
            <w:r>
              <w:rPr>
                <w:color w:val="auto"/>
                <w:szCs w:val="21"/>
              </w:rPr>
              <w:t>项目</w:t>
            </w:r>
            <w:r>
              <w:rPr>
                <w:rFonts w:hint="eastAsia"/>
                <w:color w:val="auto"/>
                <w:szCs w:val="21"/>
                <w:lang w:val="en-US" w:eastAsia="zh-CN"/>
              </w:rPr>
              <w:t>环境影响</w:t>
            </w:r>
            <w:r>
              <w:rPr>
                <w:color w:val="auto"/>
                <w:szCs w:val="21"/>
              </w:rPr>
              <w:t>可行。</w:t>
            </w:r>
          </w:p>
          <w:p w14:paraId="0BEDC9FC">
            <w:pPr>
              <w:spacing w:line="360" w:lineRule="auto"/>
              <w:ind w:firstLine="480" w:firstLineChars="200"/>
              <w:rPr>
                <w:rFonts w:hint="eastAsia"/>
                <w:color w:val="auto"/>
                <w:sz w:val="24"/>
              </w:rPr>
            </w:pPr>
          </w:p>
        </w:tc>
      </w:tr>
    </w:tbl>
    <w:p w14:paraId="60B3D9E3">
      <w:pPr>
        <w:rPr>
          <w:color w:val="auto"/>
        </w:rPr>
        <w:sectPr>
          <w:footerReference r:id="rId9"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4832AA48">
      <w:pPr>
        <w:pStyle w:val="22"/>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17DE397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5"/>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731"/>
        <w:gridCol w:w="1412"/>
        <w:gridCol w:w="1724"/>
        <w:gridCol w:w="1291"/>
        <w:gridCol w:w="1724"/>
        <w:gridCol w:w="1584"/>
        <w:gridCol w:w="1789"/>
        <w:gridCol w:w="1807"/>
        <w:gridCol w:w="1098"/>
      </w:tblGrid>
      <w:tr w14:paraId="6F6DC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17" w:type="pct"/>
            <w:tcBorders>
              <w:top w:val="single" w:color="auto" w:sz="12" w:space="0"/>
              <w:left w:val="single" w:color="auto" w:sz="12" w:space="0"/>
              <w:bottom w:val="single" w:color="auto" w:sz="4" w:space="0"/>
              <w:tl2br w:val="single" w:color="auto" w:sz="4" w:space="0"/>
            </w:tcBorders>
            <w:noWrap w:val="0"/>
            <w:tcMar>
              <w:left w:w="28" w:type="dxa"/>
              <w:right w:w="28" w:type="dxa"/>
            </w:tcMar>
            <w:vAlign w:val="center"/>
          </w:tcPr>
          <w:p w14:paraId="34541823">
            <w:pPr>
              <w:pStyle w:val="41"/>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58936AEC">
            <w:pPr>
              <w:pStyle w:val="41"/>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762" w:type="pct"/>
            <w:gridSpan w:val="2"/>
            <w:tcBorders>
              <w:top w:val="single" w:color="auto" w:sz="12" w:space="0"/>
              <w:bottom w:val="single" w:color="auto" w:sz="4" w:space="0"/>
            </w:tcBorders>
            <w:noWrap w:val="0"/>
            <w:tcMar>
              <w:left w:w="28" w:type="dxa"/>
              <w:right w:w="28" w:type="dxa"/>
            </w:tcMar>
            <w:vAlign w:val="center"/>
          </w:tcPr>
          <w:p w14:paraId="16D5AF08">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613" w:type="pct"/>
            <w:tcBorders>
              <w:top w:val="single" w:color="auto" w:sz="12" w:space="0"/>
              <w:bottom w:val="single" w:color="auto" w:sz="4" w:space="0"/>
            </w:tcBorders>
            <w:noWrap w:val="0"/>
            <w:tcMar>
              <w:left w:w="28" w:type="dxa"/>
              <w:right w:w="28" w:type="dxa"/>
            </w:tcMar>
            <w:vAlign w:val="center"/>
          </w:tcPr>
          <w:p w14:paraId="4392A925">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0DE986E">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459" w:type="pct"/>
            <w:tcBorders>
              <w:top w:val="single" w:color="auto" w:sz="12" w:space="0"/>
              <w:bottom w:val="single" w:color="auto" w:sz="4" w:space="0"/>
            </w:tcBorders>
            <w:noWrap w:val="0"/>
            <w:tcMar>
              <w:left w:w="28" w:type="dxa"/>
              <w:right w:w="28" w:type="dxa"/>
            </w:tcMar>
            <w:vAlign w:val="center"/>
          </w:tcPr>
          <w:p w14:paraId="06AAAB35">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0C3F64BF">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1C023D30">
            <w:pPr>
              <w:pStyle w:val="41"/>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613" w:type="pct"/>
            <w:tcBorders>
              <w:top w:val="single" w:color="auto" w:sz="12" w:space="0"/>
              <w:bottom w:val="single" w:color="auto" w:sz="4" w:space="0"/>
            </w:tcBorders>
            <w:noWrap w:val="0"/>
            <w:tcMar>
              <w:left w:w="28" w:type="dxa"/>
              <w:right w:w="28" w:type="dxa"/>
            </w:tcMar>
            <w:vAlign w:val="center"/>
          </w:tcPr>
          <w:p w14:paraId="1F29F9C8">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66903904">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563" w:type="pct"/>
            <w:tcBorders>
              <w:top w:val="single" w:color="auto" w:sz="12" w:space="0"/>
              <w:bottom w:val="single" w:color="auto" w:sz="4" w:space="0"/>
            </w:tcBorders>
            <w:noWrap w:val="0"/>
            <w:tcMar>
              <w:left w:w="28" w:type="dxa"/>
              <w:right w:w="28" w:type="dxa"/>
            </w:tcMar>
            <w:vAlign w:val="center"/>
          </w:tcPr>
          <w:p w14:paraId="5FD8B749">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589201CF">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636" w:type="pct"/>
            <w:tcBorders>
              <w:top w:val="single" w:color="auto" w:sz="12" w:space="0"/>
              <w:bottom w:val="single" w:color="auto" w:sz="4" w:space="0"/>
            </w:tcBorders>
            <w:noWrap w:val="0"/>
            <w:tcMar>
              <w:left w:w="28" w:type="dxa"/>
              <w:right w:w="28" w:type="dxa"/>
            </w:tcMar>
            <w:vAlign w:val="center"/>
          </w:tcPr>
          <w:p w14:paraId="7E27AE9D">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33F6A855">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642" w:type="pct"/>
            <w:tcBorders>
              <w:top w:val="single" w:color="auto" w:sz="12" w:space="0"/>
              <w:bottom w:val="single" w:color="auto" w:sz="4" w:space="0"/>
            </w:tcBorders>
            <w:noWrap w:val="0"/>
            <w:tcMar>
              <w:left w:w="28" w:type="dxa"/>
              <w:right w:w="28" w:type="dxa"/>
            </w:tcMar>
            <w:vAlign w:val="center"/>
          </w:tcPr>
          <w:p w14:paraId="74CD90EF">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64972B76">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390" w:type="pct"/>
            <w:tcBorders>
              <w:top w:val="single" w:color="auto" w:sz="12" w:space="0"/>
              <w:bottom w:val="single" w:color="auto" w:sz="4" w:space="0"/>
              <w:right w:val="single" w:color="auto" w:sz="12" w:space="0"/>
            </w:tcBorders>
            <w:noWrap w:val="0"/>
            <w:tcMar>
              <w:left w:w="28" w:type="dxa"/>
              <w:right w:w="28" w:type="dxa"/>
            </w:tcMar>
            <w:vAlign w:val="center"/>
          </w:tcPr>
          <w:p w14:paraId="2B04D1E9">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4CF4405A">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18347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17" w:type="pct"/>
            <w:vMerge w:val="restart"/>
            <w:tcBorders>
              <w:top w:val="single" w:color="auto" w:sz="4" w:space="0"/>
              <w:left w:val="single" w:color="auto" w:sz="12" w:space="0"/>
            </w:tcBorders>
            <w:noWrap w:val="0"/>
            <w:vAlign w:val="center"/>
          </w:tcPr>
          <w:p w14:paraId="47E06E6C">
            <w:pPr>
              <w:pStyle w:val="41"/>
              <w:spacing w:beforeLines="0" w:afterLines="0" w:line="240" w:lineRule="auto"/>
              <w:rPr>
                <w:rFonts w:hint="default" w:ascii="Times New Roman" w:hAnsi="Times New Roman" w:cs="Times New Roman"/>
                <w:b w:val="0"/>
                <w:bCs/>
                <w:snapToGrid w:val="0"/>
                <w:color w:val="auto"/>
                <w:kern w:val="21"/>
                <w:szCs w:val="21"/>
              </w:rPr>
            </w:pPr>
            <w:r>
              <w:rPr>
                <w:rFonts w:hint="default" w:ascii="Times New Roman" w:hAnsi="Times New Roman" w:cs="Times New Roman"/>
                <w:b w:val="0"/>
                <w:bCs/>
                <w:snapToGrid w:val="0"/>
                <w:color w:val="auto"/>
                <w:kern w:val="21"/>
                <w:szCs w:val="21"/>
              </w:rPr>
              <w:t>废气</w:t>
            </w:r>
          </w:p>
        </w:tc>
        <w:tc>
          <w:tcPr>
            <w:tcW w:w="260" w:type="pct"/>
            <w:vMerge w:val="restart"/>
            <w:tcBorders>
              <w:top w:val="single" w:color="auto" w:sz="4" w:space="0"/>
            </w:tcBorders>
            <w:noWrap w:val="0"/>
            <w:vAlign w:val="center"/>
          </w:tcPr>
          <w:p w14:paraId="2B1917AE">
            <w:pPr>
              <w:pStyle w:val="41"/>
              <w:spacing w:beforeLines="0" w:afterLines="0" w:line="240" w:lineRule="auto"/>
              <w:rPr>
                <w:rFonts w:hint="default" w:ascii="Times New Roman" w:hAnsi="Times New Roman" w:cs="Times New Roman"/>
                <w:b w:val="0"/>
                <w:bCs/>
                <w:snapToGrid w:val="0"/>
                <w:color w:val="auto"/>
                <w:kern w:val="21"/>
                <w:szCs w:val="21"/>
                <w:lang w:val="en-US" w:eastAsia="zh-CN"/>
              </w:rPr>
            </w:pPr>
            <w:r>
              <w:rPr>
                <w:rFonts w:hint="eastAsia" w:ascii="Times New Roman" w:hAnsi="Times New Roman" w:cs="Times New Roman"/>
                <w:b w:val="0"/>
                <w:bCs/>
                <w:snapToGrid w:val="0"/>
                <w:color w:val="auto"/>
                <w:kern w:val="21"/>
                <w:szCs w:val="21"/>
                <w:lang w:val="en-US" w:eastAsia="zh-CN"/>
              </w:rPr>
              <w:t>有组织</w:t>
            </w:r>
          </w:p>
        </w:tc>
        <w:tc>
          <w:tcPr>
            <w:tcW w:w="502" w:type="pct"/>
            <w:tcBorders>
              <w:top w:val="single" w:color="auto" w:sz="4" w:space="0"/>
              <w:bottom w:val="single" w:color="auto" w:sz="4" w:space="0"/>
            </w:tcBorders>
            <w:noWrap w:val="0"/>
            <w:vAlign w:val="center"/>
          </w:tcPr>
          <w:p w14:paraId="38B7482E">
            <w:pPr>
              <w:pStyle w:val="41"/>
              <w:spacing w:beforeLines="0" w:afterLines="0" w:line="240" w:lineRule="auto"/>
              <w:rPr>
                <w:rFonts w:hint="default" w:ascii="Times New Roman" w:hAnsi="Times New Roman" w:cs="Times New Roman"/>
                <w:b w:val="0"/>
                <w:bCs/>
                <w:snapToGrid w:val="0"/>
                <w:color w:val="auto"/>
                <w:kern w:val="21"/>
                <w:szCs w:val="21"/>
                <w:lang w:val="en-US" w:eastAsia="zh-CN"/>
              </w:rPr>
            </w:pPr>
            <w:r>
              <w:rPr>
                <w:rFonts w:hint="default" w:ascii="Times New Roman" w:hAnsi="Times New Roman" w:cs="Times New Roman"/>
                <w:b w:val="0"/>
                <w:bCs/>
                <w:snapToGrid w:val="0"/>
                <w:color w:val="auto"/>
                <w:kern w:val="21"/>
                <w:szCs w:val="21"/>
                <w:lang w:val="en-US" w:eastAsia="zh-CN"/>
              </w:rPr>
              <w:t>颗粒物</w:t>
            </w:r>
          </w:p>
        </w:tc>
        <w:tc>
          <w:tcPr>
            <w:tcW w:w="613" w:type="pct"/>
            <w:tcBorders>
              <w:top w:val="single" w:color="auto" w:sz="4" w:space="0"/>
              <w:bottom w:val="single" w:color="auto" w:sz="4" w:space="0"/>
            </w:tcBorders>
            <w:noWrap w:val="0"/>
            <w:vAlign w:val="center"/>
          </w:tcPr>
          <w:p w14:paraId="1A969280">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44DBD88C">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01730EEC">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5EB646B3">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0.8149</w:t>
            </w:r>
          </w:p>
        </w:tc>
        <w:tc>
          <w:tcPr>
            <w:tcW w:w="636" w:type="pct"/>
            <w:tcBorders>
              <w:top w:val="single" w:color="auto" w:sz="4" w:space="0"/>
              <w:bottom w:val="single" w:color="auto" w:sz="4" w:space="0"/>
            </w:tcBorders>
            <w:noWrap w:val="0"/>
            <w:vAlign w:val="center"/>
          </w:tcPr>
          <w:p w14:paraId="080F1CD0">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42" w:type="pct"/>
            <w:tcBorders>
              <w:top w:val="single" w:color="auto" w:sz="4" w:space="0"/>
              <w:bottom w:val="single" w:color="auto" w:sz="4" w:space="0"/>
            </w:tcBorders>
            <w:noWrap w:val="0"/>
            <w:vAlign w:val="center"/>
          </w:tcPr>
          <w:p w14:paraId="0FD793F3">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0.8149</w:t>
            </w:r>
          </w:p>
        </w:tc>
        <w:tc>
          <w:tcPr>
            <w:tcW w:w="390" w:type="pct"/>
            <w:tcBorders>
              <w:top w:val="single" w:color="auto" w:sz="4" w:space="0"/>
              <w:bottom w:val="single" w:color="auto" w:sz="4" w:space="0"/>
              <w:right w:val="single" w:color="auto" w:sz="12" w:space="0"/>
            </w:tcBorders>
            <w:noWrap w:val="0"/>
            <w:vAlign w:val="center"/>
          </w:tcPr>
          <w:p w14:paraId="545F3DDE">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+0.8149</w:t>
            </w:r>
          </w:p>
        </w:tc>
      </w:tr>
      <w:tr w14:paraId="58128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17" w:type="pct"/>
            <w:vMerge w:val="continue"/>
            <w:tcBorders>
              <w:left w:val="single" w:color="auto" w:sz="12" w:space="0"/>
            </w:tcBorders>
            <w:noWrap w:val="0"/>
            <w:vAlign w:val="center"/>
          </w:tcPr>
          <w:p w14:paraId="1377F8B1">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continue"/>
            <w:noWrap w:val="0"/>
            <w:vAlign w:val="center"/>
          </w:tcPr>
          <w:p w14:paraId="05003F2B">
            <w:pPr>
              <w:adjustRightInd w:val="0"/>
              <w:snapToGrid w:val="0"/>
              <w:jc w:val="center"/>
              <w:rPr>
                <w:rFonts w:hint="eastAsia" w:ascii="Times New Roman" w:hAnsi="Times New Roman" w:cs="Times New Roman"/>
                <w:b w:val="0"/>
                <w:bCs/>
                <w:snapToGrid w:val="0"/>
                <w:color w:val="auto"/>
                <w:kern w:val="21"/>
                <w:szCs w:val="21"/>
                <w:lang w:val="en-US" w:eastAsia="zh-CN"/>
              </w:rPr>
            </w:pPr>
          </w:p>
        </w:tc>
        <w:tc>
          <w:tcPr>
            <w:tcW w:w="502" w:type="pct"/>
            <w:tcBorders>
              <w:top w:val="single" w:color="auto" w:sz="4" w:space="0"/>
              <w:bottom w:val="single" w:color="auto" w:sz="4" w:space="0"/>
            </w:tcBorders>
            <w:noWrap w:val="0"/>
            <w:vAlign w:val="center"/>
          </w:tcPr>
          <w:p w14:paraId="0AA1AB74">
            <w:pPr>
              <w:widowControl/>
              <w:adjustRightInd w:val="0"/>
              <w:snapToGrid w:val="0"/>
              <w:jc w:val="center"/>
              <w:rPr>
                <w:rFonts w:hint="default" w:ascii="Times New Roman" w:hAnsi="Times New Roman" w:cs="Times New Roman"/>
                <w:b w:val="0"/>
                <w:bCs/>
                <w:color w:val="auto"/>
                <w:sz w:val="21"/>
                <w:szCs w:val="21"/>
                <w:lang w:val="en-US" w:eastAsia="zh-CN"/>
              </w:rPr>
            </w:pPr>
            <w:r>
              <w:rPr>
                <w:rFonts w:ascii="Times New Roman" w:hAnsi="Times New Roman" w:eastAsia="宋体" w:cs="Times New Roman"/>
                <w:color w:val="auto"/>
                <w:kern w:val="0"/>
                <w:szCs w:val="21"/>
              </w:rPr>
              <w:t>非甲烷总烃</w:t>
            </w:r>
          </w:p>
        </w:tc>
        <w:tc>
          <w:tcPr>
            <w:tcW w:w="613" w:type="pct"/>
            <w:tcBorders>
              <w:top w:val="single" w:color="auto" w:sz="4" w:space="0"/>
              <w:bottom w:val="single" w:color="auto" w:sz="4" w:space="0"/>
            </w:tcBorders>
            <w:noWrap w:val="0"/>
            <w:vAlign w:val="center"/>
          </w:tcPr>
          <w:p w14:paraId="053B1FCC">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3CA0298A">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2E37EACD">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24F3050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0.1482</w:t>
            </w:r>
          </w:p>
        </w:tc>
        <w:tc>
          <w:tcPr>
            <w:tcW w:w="636" w:type="pct"/>
            <w:tcBorders>
              <w:top w:val="single" w:color="auto" w:sz="4" w:space="0"/>
              <w:bottom w:val="single" w:color="auto" w:sz="4" w:space="0"/>
            </w:tcBorders>
            <w:noWrap w:val="0"/>
            <w:vAlign w:val="center"/>
          </w:tcPr>
          <w:p w14:paraId="18F73BA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w:t>
            </w:r>
          </w:p>
        </w:tc>
        <w:tc>
          <w:tcPr>
            <w:tcW w:w="642" w:type="pct"/>
            <w:tcBorders>
              <w:top w:val="single" w:color="auto" w:sz="4" w:space="0"/>
              <w:bottom w:val="single" w:color="auto" w:sz="4" w:space="0"/>
            </w:tcBorders>
            <w:noWrap w:val="0"/>
            <w:vAlign w:val="center"/>
          </w:tcPr>
          <w:p w14:paraId="407C5F54">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0.1482</w:t>
            </w:r>
          </w:p>
        </w:tc>
        <w:tc>
          <w:tcPr>
            <w:tcW w:w="390" w:type="pct"/>
            <w:tcBorders>
              <w:top w:val="single" w:color="auto" w:sz="4" w:space="0"/>
              <w:bottom w:val="single" w:color="auto" w:sz="4" w:space="0"/>
              <w:right w:val="single" w:color="auto" w:sz="12" w:space="0"/>
            </w:tcBorders>
            <w:noWrap w:val="0"/>
            <w:vAlign w:val="center"/>
          </w:tcPr>
          <w:p w14:paraId="18258832">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+0.1482</w:t>
            </w:r>
          </w:p>
        </w:tc>
      </w:tr>
      <w:tr w14:paraId="28573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17" w:type="pct"/>
            <w:vMerge w:val="continue"/>
            <w:tcBorders>
              <w:left w:val="single" w:color="auto" w:sz="12" w:space="0"/>
            </w:tcBorders>
            <w:noWrap w:val="0"/>
            <w:vAlign w:val="center"/>
          </w:tcPr>
          <w:p w14:paraId="6BEA09B9">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continue"/>
            <w:noWrap w:val="0"/>
            <w:vAlign w:val="center"/>
          </w:tcPr>
          <w:p w14:paraId="481E3E39">
            <w:pPr>
              <w:pStyle w:val="41"/>
              <w:spacing w:beforeLines="0" w:afterLines="0" w:line="240" w:lineRule="auto"/>
              <w:rPr>
                <w:rFonts w:hint="default" w:ascii="Times New Roman" w:hAnsi="Times New Roman" w:cs="Times New Roman"/>
                <w:b w:val="0"/>
                <w:bCs/>
                <w:snapToGrid w:val="0"/>
                <w:color w:val="auto"/>
                <w:kern w:val="21"/>
                <w:szCs w:val="21"/>
                <w:lang w:val="en-US" w:eastAsia="zh-CN"/>
              </w:rPr>
            </w:pPr>
          </w:p>
        </w:tc>
        <w:tc>
          <w:tcPr>
            <w:tcW w:w="502" w:type="pct"/>
            <w:tcBorders>
              <w:top w:val="single" w:color="auto" w:sz="4" w:space="0"/>
              <w:bottom w:val="single" w:color="auto" w:sz="4" w:space="0"/>
            </w:tcBorders>
            <w:noWrap w:val="0"/>
            <w:vAlign w:val="center"/>
          </w:tcPr>
          <w:p w14:paraId="44987159">
            <w:pPr>
              <w:widowControl/>
              <w:adjustRightInd w:val="0"/>
              <w:snapToGrid w:val="0"/>
              <w:jc w:val="center"/>
              <w:rPr>
                <w:rFonts w:hint="default" w:ascii="Times New Roman" w:hAnsi="Times New Roman" w:cs="Times New Roman"/>
                <w:b w:val="0"/>
                <w:bCs/>
                <w:snapToGrid w:val="0"/>
                <w:color w:val="auto"/>
                <w:kern w:val="21"/>
                <w:szCs w:val="21"/>
                <w:lang w:val="en-US" w:eastAsia="zh-CN"/>
              </w:rPr>
            </w:pPr>
            <w:r>
              <w:rPr>
                <w:rFonts w:ascii="Times New Roman" w:hAnsi="Times New Roman" w:eastAsia="宋体" w:cs="Times New Roman"/>
                <w:color w:val="auto"/>
                <w:kern w:val="0"/>
                <w:szCs w:val="21"/>
              </w:rPr>
              <w:t>甲醛</w:t>
            </w:r>
          </w:p>
        </w:tc>
        <w:tc>
          <w:tcPr>
            <w:tcW w:w="613" w:type="pct"/>
            <w:tcBorders>
              <w:top w:val="single" w:color="auto" w:sz="4" w:space="0"/>
              <w:bottom w:val="single" w:color="auto" w:sz="4" w:space="0"/>
            </w:tcBorders>
            <w:noWrap w:val="0"/>
            <w:vAlign w:val="center"/>
          </w:tcPr>
          <w:p w14:paraId="60C24A12">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534F392D">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7809B49A">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57F527D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0.003</w:t>
            </w:r>
          </w:p>
        </w:tc>
        <w:tc>
          <w:tcPr>
            <w:tcW w:w="636" w:type="pct"/>
            <w:tcBorders>
              <w:top w:val="single" w:color="auto" w:sz="4" w:space="0"/>
              <w:bottom w:val="single" w:color="auto" w:sz="4" w:space="0"/>
            </w:tcBorders>
            <w:noWrap w:val="0"/>
            <w:vAlign w:val="center"/>
          </w:tcPr>
          <w:p w14:paraId="5E18BAE5">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w:t>
            </w:r>
          </w:p>
        </w:tc>
        <w:tc>
          <w:tcPr>
            <w:tcW w:w="642" w:type="pct"/>
            <w:tcBorders>
              <w:top w:val="single" w:color="auto" w:sz="4" w:space="0"/>
              <w:bottom w:val="single" w:color="auto" w:sz="4" w:space="0"/>
            </w:tcBorders>
            <w:noWrap w:val="0"/>
            <w:vAlign w:val="center"/>
          </w:tcPr>
          <w:p w14:paraId="4162122C">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0.003</w:t>
            </w:r>
          </w:p>
        </w:tc>
        <w:tc>
          <w:tcPr>
            <w:tcW w:w="390" w:type="pct"/>
            <w:tcBorders>
              <w:top w:val="single" w:color="auto" w:sz="4" w:space="0"/>
              <w:bottom w:val="single" w:color="auto" w:sz="4" w:space="0"/>
              <w:right w:val="single" w:color="auto" w:sz="12" w:space="0"/>
            </w:tcBorders>
            <w:noWrap w:val="0"/>
            <w:vAlign w:val="center"/>
          </w:tcPr>
          <w:p w14:paraId="324B10C5">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+0.003</w:t>
            </w:r>
          </w:p>
        </w:tc>
      </w:tr>
      <w:tr w14:paraId="7228A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17" w:type="pct"/>
            <w:vMerge w:val="continue"/>
            <w:tcBorders>
              <w:left w:val="single" w:color="auto" w:sz="12" w:space="0"/>
            </w:tcBorders>
            <w:noWrap w:val="0"/>
            <w:vAlign w:val="center"/>
          </w:tcPr>
          <w:p w14:paraId="0911958E">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continue"/>
            <w:tcBorders>
              <w:bottom w:val="single" w:color="auto" w:sz="4" w:space="0"/>
            </w:tcBorders>
            <w:noWrap w:val="0"/>
            <w:vAlign w:val="center"/>
          </w:tcPr>
          <w:p w14:paraId="6263F705">
            <w:pPr>
              <w:pStyle w:val="41"/>
              <w:spacing w:beforeLines="0" w:afterLines="0" w:line="240" w:lineRule="auto"/>
              <w:rPr>
                <w:rFonts w:hint="eastAsia" w:ascii="Times New Roman" w:hAnsi="Times New Roman" w:cs="Times New Roman"/>
                <w:b w:val="0"/>
                <w:bCs/>
                <w:snapToGrid w:val="0"/>
                <w:color w:val="auto"/>
                <w:kern w:val="21"/>
                <w:szCs w:val="21"/>
                <w:lang w:val="en-US" w:eastAsia="zh-CN"/>
              </w:rPr>
            </w:pPr>
          </w:p>
        </w:tc>
        <w:tc>
          <w:tcPr>
            <w:tcW w:w="502" w:type="pct"/>
            <w:tcBorders>
              <w:top w:val="single" w:color="auto" w:sz="4" w:space="0"/>
              <w:bottom w:val="single" w:color="auto" w:sz="4" w:space="0"/>
            </w:tcBorders>
            <w:noWrap w:val="0"/>
            <w:vAlign w:val="center"/>
          </w:tcPr>
          <w:p w14:paraId="732197D7">
            <w:pPr>
              <w:widowControl/>
              <w:adjustRightInd w:val="0"/>
              <w:snapToGrid w:val="0"/>
              <w:jc w:val="center"/>
              <w:rPr>
                <w:rFonts w:hint="eastAsia" w:ascii="Times New Roman" w:hAnsi="Times New Roman" w:eastAsia="宋体" w:cs="Times New Roman"/>
                <w:b w:val="0"/>
                <w:bCs/>
                <w:snapToGrid w:val="0"/>
                <w:color w:val="auto"/>
                <w:kern w:val="21"/>
                <w:szCs w:val="21"/>
                <w:lang w:val="en-US" w:eastAsia="zh-CN"/>
              </w:rPr>
            </w:pPr>
            <w:r>
              <w:rPr>
                <w:rFonts w:hint="eastAsia" w:cs="Times New Roman"/>
                <w:color w:val="auto"/>
                <w:kern w:val="0"/>
                <w:szCs w:val="21"/>
                <w:lang w:val="en-US" w:eastAsia="zh-CN"/>
              </w:rPr>
              <w:t>酚类</w:t>
            </w:r>
          </w:p>
        </w:tc>
        <w:tc>
          <w:tcPr>
            <w:tcW w:w="613" w:type="pct"/>
            <w:tcBorders>
              <w:top w:val="single" w:color="auto" w:sz="4" w:space="0"/>
              <w:bottom w:val="single" w:color="auto" w:sz="4" w:space="0"/>
            </w:tcBorders>
            <w:noWrap w:val="0"/>
            <w:vAlign w:val="center"/>
          </w:tcPr>
          <w:p w14:paraId="071D0E83">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21B76B70">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3F58BA90">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3F747654">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0.008</w:t>
            </w:r>
          </w:p>
        </w:tc>
        <w:tc>
          <w:tcPr>
            <w:tcW w:w="636" w:type="pct"/>
            <w:tcBorders>
              <w:top w:val="single" w:color="auto" w:sz="4" w:space="0"/>
              <w:bottom w:val="single" w:color="auto" w:sz="4" w:space="0"/>
            </w:tcBorders>
            <w:noWrap w:val="0"/>
            <w:vAlign w:val="center"/>
          </w:tcPr>
          <w:p w14:paraId="64C151DB">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42" w:type="pct"/>
            <w:tcBorders>
              <w:top w:val="single" w:color="auto" w:sz="4" w:space="0"/>
              <w:bottom w:val="single" w:color="auto" w:sz="4" w:space="0"/>
            </w:tcBorders>
            <w:noWrap w:val="0"/>
            <w:vAlign w:val="center"/>
          </w:tcPr>
          <w:p w14:paraId="08BDD16D">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0.008</w:t>
            </w:r>
          </w:p>
        </w:tc>
        <w:tc>
          <w:tcPr>
            <w:tcW w:w="390" w:type="pct"/>
            <w:tcBorders>
              <w:top w:val="single" w:color="auto" w:sz="4" w:space="0"/>
              <w:bottom w:val="single" w:color="auto" w:sz="4" w:space="0"/>
              <w:right w:val="single" w:color="auto" w:sz="12" w:space="0"/>
            </w:tcBorders>
            <w:noWrap w:val="0"/>
            <w:vAlign w:val="center"/>
          </w:tcPr>
          <w:p w14:paraId="0B702742">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+0.008</w:t>
            </w:r>
          </w:p>
        </w:tc>
      </w:tr>
      <w:tr w14:paraId="392A1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17" w:type="pct"/>
            <w:vMerge w:val="continue"/>
            <w:tcBorders>
              <w:left w:val="single" w:color="auto" w:sz="12" w:space="0"/>
            </w:tcBorders>
            <w:noWrap w:val="0"/>
            <w:vAlign w:val="center"/>
          </w:tcPr>
          <w:p w14:paraId="41B1A134">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restart"/>
            <w:tcBorders>
              <w:top w:val="single" w:color="auto" w:sz="4" w:space="0"/>
            </w:tcBorders>
            <w:noWrap w:val="0"/>
            <w:vAlign w:val="center"/>
          </w:tcPr>
          <w:p w14:paraId="26BB1883">
            <w:pPr>
              <w:pStyle w:val="41"/>
              <w:spacing w:beforeLines="0" w:afterLines="0" w:line="240" w:lineRule="auto"/>
              <w:rPr>
                <w:rFonts w:hint="default" w:ascii="Times New Roman" w:hAnsi="Times New Roman" w:cs="Times New Roman"/>
                <w:b w:val="0"/>
                <w:bCs/>
                <w:snapToGrid w:val="0"/>
                <w:color w:val="auto"/>
                <w:kern w:val="21"/>
                <w:szCs w:val="21"/>
                <w:lang w:val="en-US" w:eastAsia="zh-CN"/>
              </w:rPr>
            </w:pPr>
            <w:r>
              <w:rPr>
                <w:rFonts w:hint="eastAsia" w:ascii="Times New Roman" w:hAnsi="Times New Roman" w:cs="Times New Roman"/>
                <w:b w:val="0"/>
                <w:bCs/>
                <w:snapToGrid w:val="0"/>
                <w:color w:val="auto"/>
                <w:kern w:val="21"/>
                <w:szCs w:val="21"/>
                <w:lang w:val="en-US" w:eastAsia="zh-CN"/>
              </w:rPr>
              <w:t>无组织</w:t>
            </w:r>
          </w:p>
        </w:tc>
        <w:tc>
          <w:tcPr>
            <w:tcW w:w="502" w:type="pct"/>
            <w:tcBorders>
              <w:top w:val="single" w:color="auto" w:sz="4" w:space="0"/>
              <w:bottom w:val="single" w:color="auto" w:sz="4" w:space="0"/>
            </w:tcBorders>
            <w:noWrap w:val="0"/>
            <w:vAlign w:val="center"/>
          </w:tcPr>
          <w:p w14:paraId="7DA761FD">
            <w:pPr>
              <w:pStyle w:val="41"/>
              <w:spacing w:beforeLines="0" w:afterLines="0" w:line="240" w:lineRule="auto"/>
              <w:rPr>
                <w:rFonts w:hint="eastAsia" w:ascii="Times New Roman" w:hAnsi="Times New Roman" w:cs="Times New Roman"/>
                <w:b w:val="0"/>
                <w:bCs/>
                <w:snapToGrid w:val="0"/>
                <w:color w:val="auto"/>
                <w:kern w:val="21"/>
                <w:szCs w:val="21"/>
                <w:lang w:val="en-US" w:eastAsia="zh-CN"/>
              </w:rPr>
            </w:pPr>
            <w:r>
              <w:rPr>
                <w:rFonts w:hint="eastAsia" w:ascii="Times New Roman" w:hAnsi="Times New Roman" w:cs="Times New Roman"/>
                <w:b w:val="0"/>
                <w:bCs/>
                <w:snapToGrid w:val="0"/>
                <w:color w:val="auto"/>
                <w:kern w:val="21"/>
                <w:szCs w:val="21"/>
                <w:lang w:val="en-US" w:eastAsia="zh-CN"/>
              </w:rPr>
              <w:t>颗粒物</w:t>
            </w:r>
          </w:p>
        </w:tc>
        <w:tc>
          <w:tcPr>
            <w:tcW w:w="613" w:type="pct"/>
            <w:tcBorders>
              <w:top w:val="single" w:color="auto" w:sz="4" w:space="0"/>
              <w:bottom w:val="single" w:color="auto" w:sz="4" w:space="0"/>
            </w:tcBorders>
            <w:noWrap w:val="0"/>
            <w:vAlign w:val="center"/>
          </w:tcPr>
          <w:p w14:paraId="7CE98F67">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59E4A816">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1E6E556E">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09C977C2">
            <w:pPr>
              <w:jc w:val="center"/>
              <w:rPr>
                <w:rFonts w:hint="default"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rPr>
              <w:t>0.2567</w:t>
            </w:r>
          </w:p>
        </w:tc>
        <w:tc>
          <w:tcPr>
            <w:tcW w:w="636" w:type="pct"/>
            <w:tcBorders>
              <w:top w:val="single" w:color="auto" w:sz="4" w:space="0"/>
              <w:bottom w:val="single" w:color="auto" w:sz="4" w:space="0"/>
            </w:tcBorders>
            <w:noWrap w:val="0"/>
            <w:vAlign w:val="center"/>
          </w:tcPr>
          <w:p w14:paraId="4A3A2B73">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42" w:type="pct"/>
            <w:tcBorders>
              <w:top w:val="single" w:color="auto" w:sz="4" w:space="0"/>
              <w:bottom w:val="single" w:color="auto" w:sz="4" w:space="0"/>
            </w:tcBorders>
            <w:noWrap w:val="0"/>
            <w:vAlign w:val="center"/>
          </w:tcPr>
          <w:p w14:paraId="178B4791">
            <w:pPr>
              <w:jc w:val="center"/>
              <w:rPr>
                <w:rFonts w:hint="eastAsia"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rPr>
              <w:t>0.2567</w:t>
            </w:r>
          </w:p>
        </w:tc>
        <w:tc>
          <w:tcPr>
            <w:tcW w:w="390" w:type="pct"/>
            <w:tcBorders>
              <w:top w:val="single" w:color="auto" w:sz="4" w:space="0"/>
              <w:bottom w:val="single" w:color="auto" w:sz="4" w:space="0"/>
              <w:right w:val="single" w:color="auto" w:sz="12" w:space="0"/>
            </w:tcBorders>
            <w:noWrap w:val="0"/>
            <w:vAlign w:val="center"/>
          </w:tcPr>
          <w:p w14:paraId="7F96E66D">
            <w:pPr>
              <w:jc w:val="center"/>
              <w:rPr>
                <w:rFonts w:hint="eastAsia" w:cs="Times New Roman"/>
                <w:color w:val="auto"/>
                <w:kern w:val="2"/>
                <w:sz w:val="21"/>
                <w:szCs w:val="21"/>
                <w:lang w:val="en-US" w:eastAsia="zh-CN" w:bidi="ar"/>
              </w:rPr>
            </w:pP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0.2567</w:t>
            </w:r>
          </w:p>
        </w:tc>
      </w:tr>
      <w:tr w14:paraId="03D45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17" w:type="pct"/>
            <w:vMerge w:val="continue"/>
            <w:tcBorders>
              <w:left w:val="single" w:color="auto" w:sz="12" w:space="0"/>
            </w:tcBorders>
            <w:noWrap w:val="0"/>
            <w:vAlign w:val="center"/>
          </w:tcPr>
          <w:p w14:paraId="23FF3912">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continue"/>
            <w:noWrap w:val="0"/>
            <w:vAlign w:val="center"/>
          </w:tcPr>
          <w:p w14:paraId="08DCFB7A">
            <w:pPr>
              <w:pStyle w:val="41"/>
              <w:spacing w:beforeLines="0" w:afterLines="0" w:line="240" w:lineRule="auto"/>
              <w:rPr>
                <w:rFonts w:hint="eastAsia" w:ascii="Times New Roman" w:hAnsi="Times New Roman" w:eastAsia="宋体" w:cs="Times New Roman"/>
                <w:b w:val="0"/>
                <w:bCs/>
                <w:snapToGrid w:val="0"/>
                <w:color w:val="auto"/>
                <w:kern w:val="21"/>
                <w:szCs w:val="21"/>
                <w:lang w:eastAsia="zh-CN"/>
              </w:rPr>
            </w:pPr>
          </w:p>
        </w:tc>
        <w:tc>
          <w:tcPr>
            <w:tcW w:w="502" w:type="pct"/>
            <w:tcBorders>
              <w:top w:val="single" w:color="auto" w:sz="4" w:space="0"/>
              <w:bottom w:val="single" w:color="auto" w:sz="4" w:space="0"/>
            </w:tcBorders>
            <w:noWrap w:val="0"/>
            <w:vAlign w:val="center"/>
          </w:tcPr>
          <w:p w14:paraId="4A9F716F">
            <w:pPr>
              <w:widowControl/>
              <w:adjustRightInd w:val="0"/>
              <w:snapToGrid w:val="0"/>
              <w:jc w:val="center"/>
              <w:rPr>
                <w:rFonts w:hint="eastAsia" w:ascii="Times New Roman" w:hAnsi="Times New Roman" w:cs="Times New Roman"/>
                <w:b w:val="0"/>
                <w:bCs/>
                <w:snapToGrid w:val="0"/>
                <w:color w:val="auto"/>
                <w:kern w:val="21"/>
                <w:szCs w:val="21"/>
                <w:lang w:val="en-US" w:eastAsia="zh-CN"/>
              </w:rPr>
            </w:pPr>
            <w:r>
              <w:rPr>
                <w:rFonts w:ascii="Times New Roman" w:hAnsi="Times New Roman" w:eastAsia="宋体" w:cs="Times New Roman"/>
                <w:color w:val="auto"/>
                <w:kern w:val="0"/>
                <w:szCs w:val="21"/>
              </w:rPr>
              <w:t>非甲烷总烃</w:t>
            </w:r>
          </w:p>
        </w:tc>
        <w:tc>
          <w:tcPr>
            <w:tcW w:w="613" w:type="pct"/>
            <w:tcBorders>
              <w:top w:val="single" w:color="auto" w:sz="4" w:space="0"/>
              <w:bottom w:val="single" w:color="auto" w:sz="4" w:space="0"/>
            </w:tcBorders>
            <w:noWrap w:val="0"/>
            <w:vAlign w:val="center"/>
          </w:tcPr>
          <w:p w14:paraId="7170C229">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2AC11FA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51580059">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3795454B">
            <w:pPr>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color w:val="auto"/>
                <w:szCs w:val="21"/>
                <w:lang w:val="en-US" w:eastAsia="zh-CN"/>
              </w:rPr>
              <w:t>0.1677</w:t>
            </w:r>
          </w:p>
        </w:tc>
        <w:tc>
          <w:tcPr>
            <w:tcW w:w="636" w:type="pct"/>
            <w:tcBorders>
              <w:top w:val="single" w:color="auto" w:sz="4" w:space="0"/>
              <w:bottom w:val="single" w:color="auto" w:sz="4" w:space="0"/>
            </w:tcBorders>
            <w:noWrap w:val="0"/>
            <w:vAlign w:val="center"/>
          </w:tcPr>
          <w:p w14:paraId="08A3D53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0C72FCA1">
            <w:pPr>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color w:val="auto"/>
                <w:szCs w:val="21"/>
                <w:lang w:val="en-US" w:eastAsia="zh-CN"/>
              </w:rPr>
              <w:t>0.1677</w:t>
            </w:r>
          </w:p>
        </w:tc>
        <w:tc>
          <w:tcPr>
            <w:tcW w:w="390" w:type="pct"/>
            <w:tcBorders>
              <w:top w:val="single" w:color="auto" w:sz="4" w:space="0"/>
              <w:bottom w:val="single" w:color="auto" w:sz="4" w:space="0"/>
              <w:right w:val="single" w:color="auto" w:sz="12" w:space="0"/>
            </w:tcBorders>
            <w:noWrap w:val="0"/>
            <w:vAlign w:val="center"/>
          </w:tcPr>
          <w:p w14:paraId="28085A3B">
            <w:pPr>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0.1677</w:t>
            </w:r>
          </w:p>
        </w:tc>
      </w:tr>
      <w:tr w14:paraId="16A43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17" w:type="pct"/>
            <w:vMerge w:val="continue"/>
            <w:tcBorders>
              <w:left w:val="single" w:color="auto" w:sz="12" w:space="0"/>
            </w:tcBorders>
            <w:noWrap w:val="0"/>
            <w:vAlign w:val="center"/>
          </w:tcPr>
          <w:p w14:paraId="55118254">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continue"/>
            <w:noWrap w:val="0"/>
            <w:vAlign w:val="center"/>
          </w:tcPr>
          <w:p w14:paraId="21F1358F">
            <w:pPr>
              <w:pStyle w:val="41"/>
              <w:spacing w:beforeLines="0" w:afterLines="0" w:line="240" w:lineRule="auto"/>
              <w:rPr>
                <w:rFonts w:hint="eastAsia" w:ascii="Times New Roman" w:hAnsi="Times New Roman" w:eastAsia="宋体" w:cs="Times New Roman"/>
                <w:b w:val="0"/>
                <w:bCs/>
                <w:snapToGrid w:val="0"/>
                <w:color w:val="auto"/>
                <w:kern w:val="21"/>
                <w:szCs w:val="21"/>
                <w:lang w:eastAsia="zh-CN"/>
              </w:rPr>
            </w:pPr>
          </w:p>
        </w:tc>
        <w:tc>
          <w:tcPr>
            <w:tcW w:w="502" w:type="pct"/>
            <w:tcBorders>
              <w:top w:val="single" w:color="auto" w:sz="4" w:space="0"/>
              <w:bottom w:val="single" w:color="auto" w:sz="4" w:space="0"/>
            </w:tcBorders>
            <w:noWrap w:val="0"/>
            <w:vAlign w:val="center"/>
          </w:tcPr>
          <w:p w14:paraId="1DF13D6C">
            <w:pPr>
              <w:widowControl/>
              <w:adjustRightInd w:val="0"/>
              <w:snapToGrid w:val="0"/>
              <w:jc w:val="center"/>
              <w:rPr>
                <w:rFonts w:hint="eastAsia" w:ascii="Times New Roman" w:hAnsi="Times New Roman" w:cs="Times New Roman"/>
                <w:b w:val="0"/>
                <w:bCs/>
                <w:snapToGrid w:val="0"/>
                <w:color w:val="auto"/>
                <w:kern w:val="21"/>
                <w:szCs w:val="21"/>
                <w:lang w:val="en-US" w:eastAsia="zh-CN"/>
              </w:rPr>
            </w:pPr>
            <w:r>
              <w:rPr>
                <w:rFonts w:ascii="Times New Roman" w:hAnsi="Times New Roman" w:eastAsia="宋体" w:cs="Times New Roman"/>
                <w:color w:val="auto"/>
                <w:kern w:val="0"/>
                <w:szCs w:val="21"/>
              </w:rPr>
              <w:t>甲醛</w:t>
            </w:r>
          </w:p>
        </w:tc>
        <w:tc>
          <w:tcPr>
            <w:tcW w:w="613" w:type="pct"/>
            <w:tcBorders>
              <w:top w:val="single" w:color="auto" w:sz="4" w:space="0"/>
              <w:bottom w:val="single" w:color="auto" w:sz="4" w:space="0"/>
            </w:tcBorders>
            <w:noWrap w:val="0"/>
            <w:vAlign w:val="center"/>
          </w:tcPr>
          <w:p w14:paraId="490A6EF9">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7983641F">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00648BC9">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7ADCEB48">
            <w:pPr>
              <w:jc w:val="center"/>
              <w:rPr>
                <w:rFonts w:hint="eastAsia" w:cs="Times New Roman"/>
                <w:snapToGrid w:val="0"/>
                <w:color w:val="auto"/>
                <w:kern w:val="21"/>
                <w:szCs w:val="21"/>
                <w:lang w:val="en-US" w:eastAsia="zh-CN"/>
              </w:rPr>
            </w:pPr>
            <w:r>
              <w:rPr>
                <w:rFonts w:hint="eastAsia" w:ascii="Times New Roman" w:hAnsi="Times New Roman" w:eastAsia="宋体" w:cs="Times New Roman"/>
                <w:color w:val="auto"/>
                <w:szCs w:val="21"/>
                <w:lang w:val="en-US" w:eastAsia="zh-CN"/>
              </w:rPr>
              <w:t>0.003</w:t>
            </w:r>
          </w:p>
        </w:tc>
        <w:tc>
          <w:tcPr>
            <w:tcW w:w="636" w:type="pct"/>
            <w:tcBorders>
              <w:top w:val="single" w:color="auto" w:sz="4" w:space="0"/>
              <w:bottom w:val="single" w:color="auto" w:sz="4" w:space="0"/>
            </w:tcBorders>
            <w:noWrap w:val="0"/>
            <w:vAlign w:val="center"/>
          </w:tcPr>
          <w:p w14:paraId="0AAC2E8A">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42" w:type="pct"/>
            <w:tcBorders>
              <w:top w:val="single" w:color="auto" w:sz="4" w:space="0"/>
              <w:bottom w:val="single" w:color="auto" w:sz="4" w:space="0"/>
            </w:tcBorders>
            <w:noWrap w:val="0"/>
            <w:vAlign w:val="center"/>
          </w:tcPr>
          <w:p w14:paraId="0D701D2E">
            <w:pPr>
              <w:jc w:val="center"/>
              <w:rPr>
                <w:rFonts w:hint="eastAsia" w:cs="Times New Roman"/>
                <w:snapToGrid w:val="0"/>
                <w:color w:val="auto"/>
                <w:kern w:val="21"/>
                <w:szCs w:val="21"/>
                <w:lang w:val="en-US" w:eastAsia="zh-CN"/>
              </w:rPr>
            </w:pPr>
            <w:r>
              <w:rPr>
                <w:rFonts w:hint="eastAsia" w:ascii="Times New Roman" w:hAnsi="Times New Roman" w:eastAsia="宋体" w:cs="Times New Roman"/>
                <w:color w:val="auto"/>
                <w:szCs w:val="21"/>
                <w:lang w:val="en-US" w:eastAsia="zh-CN"/>
              </w:rPr>
              <w:t>0.003</w:t>
            </w:r>
          </w:p>
        </w:tc>
        <w:tc>
          <w:tcPr>
            <w:tcW w:w="390" w:type="pct"/>
            <w:tcBorders>
              <w:top w:val="single" w:color="auto" w:sz="4" w:space="0"/>
              <w:bottom w:val="single" w:color="auto" w:sz="4" w:space="0"/>
              <w:right w:val="single" w:color="auto" w:sz="12" w:space="0"/>
            </w:tcBorders>
            <w:noWrap w:val="0"/>
            <w:vAlign w:val="center"/>
          </w:tcPr>
          <w:p w14:paraId="36B50C08">
            <w:pPr>
              <w:jc w:val="center"/>
              <w:rPr>
                <w:rFonts w:hint="eastAsia" w:cs="Times New Roman"/>
                <w:snapToGrid w:val="0"/>
                <w:color w:val="auto"/>
                <w:kern w:val="21"/>
                <w:szCs w:val="21"/>
                <w:lang w:val="en-US" w:eastAsia="zh-CN"/>
              </w:rPr>
            </w:pP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0.003</w:t>
            </w:r>
          </w:p>
        </w:tc>
      </w:tr>
      <w:tr w14:paraId="5AF0D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17" w:type="pct"/>
            <w:vMerge w:val="continue"/>
            <w:tcBorders>
              <w:left w:val="single" w:color="auto" w:sz="12" w:space="0"/>
            </w:tcBorders>
            <w:noWrap w:val="0"/>
            <w:vAlign w:val="center"/>
          </w:tcPr>
          <w:p w14:paraId="196B4A52">
            <w:pPr>
              <w:pStyle w:val="41"/>
              <w:spacing w:beforeLines="0" w:afterLines="0" w:line="240" w:lineRule="auto"/>
              <w:rPr>
                <w:rFonts w:hint="default" w:ascii="Times New Roman" w:hAnsi="Times New Roman" w:cs="Times New Roman"/>
                <w:b w:val="0"/>
                <w:bCs/>
                <w:snapToGrid w:val="0"/>
                <w:color w:val="auto"/>
                <w:kern w:val="21"/>
                <w:szCs w:val="21"/>
              </w:rPr>
            </w:pPr>
          </w:p>
        </w:tc>
        <w:tc>
          <w:tcPr>
            <w:tcW w:w="260" w:type="pct"/>
            <w:vMerge w:val="continue"/>
            <w:tcBorders>
              <w:bottom w:val="single" w:color="auto" w:sz="4" w:space="0"/>
            </w:tcBorders>
            <w:noWrap w:val="0"/>
            <w:vAlign w:val="center"/>
          </w:tcPr>
          <w:p w14:paraId="22616D79">
            <w:pPr>
              <w:pStyle w:val="41"/>
              <w:spacing w:beforeLines="0" w:afterLines="0" w:line="240" w:lineRule="auto"/>
              <w:rPr>
                <w:rFonts w:hint="eastAsia" w:ascii="Times New Roman" w:hAnsi="Times New Roman" w:eastAsia="宋体" w:cs="Times New Roman"/>
                <w:b w:val="0"/>
                <w:bCs/>
                <w:snapToGrid w:val="0"/>
                <w:color w:val="auto"/>
                <w:kern w:val="21"/>
                <w:szCs w:val="21"/>
                <w:lang w:eastAsia="zh-CN"/>
              </w:rPr>
            </w:pPr>
          </w:p>
        </w:tc>
        <w:tc>
          <w:tcPr>
            <w:tcW w:w="502" w:type="pct"/>
            <w:tcBorders>
              <w:top w:val="single" w:color="auto" w:sz="4" w:space="0"/>
              <w:bottom w:val="single" w:color="auto" w:sz="4" w:space="0"/>
            </w:tcBorders>
            <w:noWrap w:val="0"/>
            <w:vAlign w:val="center"/>
          </w:tcPr>
          <w:p w14:paraId="05AC1309">
            <w:pPr>
              <w:widowControl/>
              <w:adjustRightInd w:val="0"/>
              <w:snapToGrid w:val="0"/>
              <w:jc w:val="center"/>
              <w:rPr>
                <w:rFonts w:hint="eastAsia" w:ascii="Times New Roman" w:hAnsi="Times New Roman" w:eastAsia="宋体" w:cs="Times New Roman"/>
                <w:b w:val="0"/>
                <w:bCs/>
                <w:snapToGrid w:val="0"/>
                <w:color w:val="auto"/>
                <w:kern w:val="21"/>
                <w:szCs w:val="21"/>
                <w:lang w:val="en-US" w:eastAsia="zh-CN"/>
              </w:rPr>
            </w:pPr>
            <w:r>
              <w:rPr>
                <w:rFonts w:hint="eastAsia" w:cs="Times New Roman"/>
                <w:color w:val="auto"/>
                <w:kern w:val="0"/>
                <w:szCs w:val="21"/>
                <w:lang w:val="en-US" w:eastAsia="zh-CN"/>
              </w:rPr>
              <w:t>酚类</w:t>
            </w:r>
          </w:p>
        </w:tc>
        <w:tc>
          <w:tcPr>
            <w:tcW w:w="613" w:type="pct"/>
            <w:tcBorders>
              <w:top w:val="single" w:color="auto" w:sz="4" w:space="0"/>
              <w:bottom w:val="single" w:color="auto" w:sz="4" w:space="0"/>
            </w:tcBorders>
            <w:noWrap w:val="0"/>
            <w:vAlign w:val="center"/>
          </w:tcPr>
          <w:p w14:paraId="19EBFE44">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492B13AC">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3ECE639E">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38E1D2CC">
            <w:pPr>
              <w:jc w:val="center"/>
              <w:rPr>
                <w:rFonts w:hint="eastAsia" w:cs="Times New Roman"/>
                <w:snapToGrid w:val="0"/>
                <w:color w:val="auto"/>
                <w:kern w:val="21"/>
                <w:szCs w:val="21"/>
                <w:lang w:val="en-US" w:eastAsia="zh-CN"/>
              </w:rPr>
            </w:pPr>
            <w:r>
              <w:rPr>
                <w:rFonts w:hint="eastAsia" w:ascii="Times New Roman" w:hAnsi="Times New Roman" w:eastAsia="宋体" w:cs="Times New Roman"/>
                <w:color w:val="auto"/>
                <w:szCs w:val="21"/>
                <w:lang w:val="en-US" w:eastAsia="zh-CN"/>
              </w:rPr>
              <w:t>0.009</w:t>
            </w:r>
          </w:p>
        </w:tc>
        <w:tc>
          <w:tcPr>
            <w:tcW w:w="636" w:type="pct"/>
            <w:tcBorders>
              <w:top w:val="single" w:color="auto" w:sz="4" w:space="0"/>
              <w:bottom w:val="single" w:color="auto" w:sz="4" w:space="0"/>
            </w:tcBorders>
            <w:noWrap w:val="0"/>
            <w:vAlign w:val="center"/>
          </w:tcPr>
          <w:p w14:paraId="400B4E75">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42" w:type="pct"/>
            <w:tcBorders>
              <w:top w:val="single" w:color="auto" w:sz="4" w:space="0"/>
              <w:bottom w:val="single" w:color="auto" w:sz="4" w:space="0"/>
            </w:tcBorders>
            <w:noWrap w:val="0"/>
            <w:vAlign w:val="center"/>
          </w:tcPr>
          <w:p w14:paraId="20724C4F">
            <w:pPr>
              <w:jc w:val="center"/>
              <w:rPr>
                <w:rFonts w:hint="eastAsia" w:cs="Times New Roman"/>
                <w:snapToGrid w:val="0"/>
                <w:color w:val="auto"/>
                <w:kern w:val="21"/>
                <w:szCs w:val="21"/>
                <w:lang w:val="en-US" w:eastAsia="zh-CN"/>
              </w:rPr>
            </w:pPr>
            <w:r>
              <w:rPr>
                <w:rFonts w:hint="eastAsia" w:ascii="Times New Roman" w:hAnsi="Times New Roman" w:eastAsia="宋体" w:cs="Times New Roman"/>
                <w:color w:val="auto"/>
                <w:szCs w:val="21"/>
                <w:lang w:val="en-US" w:eastAsia="zh-CN"/>
              </w:rPr>
              <w:t>0.009</w:t>
            </w:r>
          </w:p>
        </w:tc>
        <w:tc>
          <w:tcPr>
            <w:tcW w:w="390" w:type="pct"/>
            <w:tcBorders>
              <w:top w:val="single" w:color="auto" w:sz="4" w:space="0"/>
              <w:bottom w:val="single" w:color="auto" w:sz="4" w:space="0"/>
              <w:right w:val="single" w:color="auto" w:sz="12" w:space="0"/>
            </w:tcBorders>
            <w:noWrap w:val="0"/>
            <w:vAlign w:val="center"/>
          </w:tcPr>
          <w:p w14:paraId="69DF52E8">
            <w:pPr>
              <w:jc w:val="center"/>
              <w:rPr>
                <w:rFonts w:hint="eastAsia" w:cs="Times New Roman"/>
                <w:snapToGrid w:val="0"/>
                <w:color w:val="auto"/>
                <w:kern w:val="21"/>
                <w:szCs w:val="21"/>
                <w:lang w:val="en-US" w:eastAsia="zh-CN"/>
              </w:rPr>
            </w:pP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0.009</w:t>
            </w:r>
          </w:p>
        </w:tc>
      </w:tr>
      <w:tr w14:paraId="1B34B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17" w:type="pct"/>
            <w:vMerge w:val="restart"/>
            <w:tcBorders>
              <w:top w:val="single" w:color="auto" w:sz="4" w:space="0"/>
              <w:left w:val="single" w:color="auto" w:sz="12" w:space="0"/>
            </w:tcBorders>
            <w:noWrap w:val="0"/>
            <w:vAlign w:val="center"/>
          </w:tcPr>
          <w:p w14:paraId="54997F82">
            <w:pPr>
              <w:pStyle w:val="41"/>
              <w:spacing w:beforeLines="0" w:afterLines="0" w:line="240" w:lineRule="auto"/>
              <w:rPr>
                <w:rFonts w:hint="default" w:ascii="Times New Roman" w:hAnsi="Times New Roman" w:cs="Times New Roman"/>
                <w:b w:val="0"/>
                <w:bCs/>
                <w:snapToGrid w:val="0"/>
                <w:color w:val="auto"/>
                <w:kern w:val="21"/>
                <w:szCs w:val="21"/>
              </w:rPr>
            </w:pPr>
            <w:r>
              <w:rPr>
                <w:rFonts w:hint="default" w:ascii="Times New Roman" w:hAnsi="Times New Roman" w:cs="Times New Roman"/>
                <w:b w:val="0"/>
                <w:bCs/>
                <w:snapToGrid w:val="0"/>
                <w:color w:val="auto"/>
                <w:kern w:val="21"/>
                <w:szCs w:val="21"/>
              </w:rPr>
              <w:t>废水</w:t>
            </w:r>
          </w:p>
        </w:tc>
        <w:tc>
          <w:tcPr>
            <w:tcW w:w="762" w:type="pct"/>
            <w:gridSpan w:val="2"/>
            <w:tcBorders>
              <w:top w:val="single" w:color="auto" w:sz="4" w:space="0"/>
              <w:bottom w:val="single" w:color="auto" w:sz="4" w:space="0"/>
            </w:tcBorders>
            <w:noWrap w:val="0"/>
            <w:vAlign w:val="center"/>
          </w:tcPr>
          <w:p w14:paraId="31417C98">
            <w:pPr>
              <w:pStyle w:val="41"/>
              <w:spacing w:beforeLines="0" w:afterLines="0" w:line="240" w:lineRule="auto"/>
              <w:rPr>
                <w:rFonts w:hint="default" w:ascii="Times New Roman" w:hAnsi="Times New Roman" w:cs="Times New Roman"/>
                <w:b w:val="0"/>
                <w:bCs/>
                <w:snapToGrid w:val="0"/>
                <w:color w:val="auto"/>
                <w:kern w:val="21"/>
                <w:szCs w:val="21"/>
              </w:rPr>
            </w:pPr>
            <w:r>
              <w:rPr>
                <w:rFonts w:hint="default" w:ascii="Times New Roman" w:hAnsi="Times New Roman" w:cs="Times New Roman"/>
                <w:b w:val="0"/>
                <w:bCs/>
                <w:snapToGrid w:val="0"/>
                <w:color w:val="auto"/>
                <w:kern w:val="21"/>
                <w:szCs w:val="21"/>
              </w:rPr>
              <w:t>废水量</w:t>
            </w:r>
          </w:p>
        </w:tc>
        <w:tc>
          <w:tcPr>
            <w:tcW w:w="613" w:type="pct"/>
            <w:tcBorders>
              <w:top w:val="single" w:color="auto" w:sz="4" w:space="0"/>
              <w:bottom w:val="single" w:color="auto" w:sz="4" w:space="0"/>
            </w:tcBorders>
            <w:noWrap w:val="0"/>
            <w:vAlign w:val="center"/>
          </w:tcPr>
          <w:p w14:paraId="2BA7DBA3">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7F05DC73">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770DD43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1756EFE4">
            <w:pPr>
              <w:pStyle w:val="43"/>
              <w:ind w:firstLine="0" w:firstLineChars="0"/>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0</w:t>
            </w:r>
          </w:p>
        </w:tc>
        <w:tc>
          <w:tcPr>
            <w:tcW w:w="636" w:type="pct"/>
            <w:tcBorders>
              <w:top w:val="single" w:color="auto" w:sz="4" w:space="0"/>
              <w:bottom w:val="single" w:color="auto" w:sz="4" w:space="0"/>
            </w:tcBorders>
            <w:noWrap w:val="0"/>
            <w:vAlign w:val="center"/>
          </w:tcPr>
          <w:p w14:paraId="489A33B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55F30676">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0</w:t>
            </w:r>
          </w:p>
        </w:tc>
        <w:tc>
          <w:tcPr>
            <w:tcW w:w="390" w:type="pct"/>
            <w:tcBorders>
              <w:top w:val="single" w:color="auto" w:sz="4" w:space="0"/>
              <w:bottom w:val="single" w:color="auto" w:sz="4" w:space="0"/>
              <w:right w:val="single" w:color="auto" w:sz="12" w:space="0"/>
            </w:tcBorders>
            <w:noWrap w:val="0"/>
            <w:vAlign w:val="center"/>
          </w:tcPr>
          <w:p w14:paraId="6AF263D4">
            <w:pPr>
              <w:ind w:firstLine="0" w:firstLineChars="0"/>
              <w:jc w:val="center"/>
              <w:rPr>
                <w:rFonts w:hint="default" w:ascii="宋体" w:hAnsi="宋体" w:eastAsia="宋体" w:cs="宋体"/>
                <w:i w:val="0"/>
                <w:iCs w:val="0"/>
                <w:color w:val="auto"/>
                <w:kern w:val="2"/>
                <w:sz w:val="22"/>
                <w:szCs w:val="22"/>
                <w:u w:val="none"/>
                <w:lang w:val="en-US" w:eastAsia="zh-CN" w:bidi="ar-SA"/>
              </w:rPr>
            </w:pPr>
            <w:r>
              <w:rPr>
                <w:rFonts w:hint="eastAsia" w:cs="Times New Roman"/>
                <w:bCs/>
                <w:color w:val="auto"/>
                <w:kern w:val="0"/>
                <w:sz w:val="21"/>
                <w:szCs w:val="21"/>
                <w:lang w:val="en-US" w:eastAsia="zh-CN" w:bidi="ar-SA"/>
              </w:rPr>
              <w:t>0</w:t>
            </w:r>
          </w:p>
        </w:tc>
      </w:tr>
      <w:tr w14:paraId="21F60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17" w:type="pct"/>
            <w:vMerge w:val="continue"/>
            <w:tcBorders>
              <w:left w:val="single" w:color="auto" w:sz="12" w:space="0"/>
            </w:tcBorders>
            <w:noWrap w:val="0"/>
            <w:vAlign w:val="center"/>
          </w:tcPr>
          <w:p w14:paraId="7B5C022F">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407E78D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kern w:val="0"/>
                <w:sz w:val="21"/>
                <w:szCs w:val="21"/>
                <w:lang w:val="en-US" w:eastAsia="zh-CN" w:bidi="ar"/>
              </w:rPr>
              <w:t>COD</w:t>
            </w:r>
          </w:p>
        </w:tc>
        <w:tc>
          <w:tcPr>
            <w:tcW w:w="613" w:type="pct"/>
            <w:tcBorders>
              <w:top w:val="single" w:color="auto" w:sz="4" w:space="0"/>
              <w:bottom w:val="single" w:color="auto" w:sz="4" w:space="0"/>
            </w:tcBorders>
            <w:noWrap w:val="0"/>
            <w:vAlign w:val="center"/>
          </w:tcPr>
          <w:p w14:paraId="728DDC02">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04AE14F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1D9EC243">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652D59B6">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636" w:type="pct"/>
            <w:tcBorders>
              <w:top w:val="single" w:color="auto" w:sz="4" w:space="0"/>
              <w:bottom w:val="single" w:color="auto" w:sz="4" w:space="0"/>
            </w:tcBorders>
            <w:noWrap w:val="0"/>
            <w:vAlign w:val="center"/>
          </w:tcPr>
          <w:p w14:paraId="261510D2">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5BD56EED">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390" w:type="pct"/>
            <w:tcBorders>
              <w:top w:val="single" w:color="auto" w:sz="4" w:space="0"/>
              <w:bottom w:val="single" w:color="auto" w:sz="4" w:space="0"/>
              <w:right w:val="single" w:color="auto" w:sz="12" w:space="0"/>
            </w:tcBorders>
            <w:noWrap w:val="0"/>
            <w:vAlign w:val="center"/>
          </w:tcPr>
          <w:p w14:paraId="4117B804">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r>
      <w:tr w14:paraId="12EDA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17" w:type="pct"/>
            <w:vMerge w:val="continue"/>
            <w:tcBorders>
              <w:left w:val="single" w:color="auto" w:sz="12" w:space="0"/>
            </w:tcBorders>
            <w:noWrap w:val="0"/>
            <w:vAlign w:val="center"/>
          </w:tcPr>
          <w:p w14:paraId="543C50AB">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2980C67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kern w:val="0"/>
                <w:sz w:val="21"/>
                <w:szCs w:val="21"/>
                <w:lang w:val="en-US" w:eastAsia="zh-CN" w:bidi="ar"/>
              </w:rPr>
              <w:t>SS</w:t>
            </w:r>
          </w:p>
        </w:tc>
        <w:tc>
          <w:tcPr>
            <w:tcW w:w="613" w:type="pct"/>
            <w:tcBorders>
              <w:top w:val="single" w:color="auto" w:sz="4" w:space="0"/>
              <w:bottom w:val="single" w:color="auto" w:sz="4" w:space="0"/>
            </w:tcBorders>
            <w:noWrap w:val="0"/>
            <w:vAlign w:val="center"/>
          </w:tcPr>
          <w:p w14:paraId="69017C9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18E71643">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305BBD3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50B64CC7">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636" w:type="pct"/>
            <w:tcBorders>
              <w:top w:val="single" w:color="auto" w:sz="4" w:space="0"/>
              <w:bottom w:val="single" w:color="auto" w:sz="4" w:space="0"/>
            </w:tcBorders>
            <w:noWrap w:val="0"/>
            <w:vAlign w:val="center"/>
          </w:tcPr>
          <w:p w14:paraId="6AF4B74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70671D71">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390" w:type="pct"/>
            <w:tcBorders>
              <w:top w:val="single" w:color="auto" w:sz="4" w:space="0"/>
              <w:bottom w:val="single" w:color="auto" w:sz="4" w:space="0"/>
              <w:right w:val="single" w:color="auto" w:sz="12" w:space="0"/>
            </w:tcBorders>
            <w:noWrap w:val="0"/>
            <w:vAlign w:val="center"/>
          </w:tcPr>
          <w:p w14:paraId="0639886A">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r>
      <w:tr w14:paraId="4FB5D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17" w:type="pct"/>
            <w:vMerge w:val="continue"/>
            <w:tcBorders>
              <w:left w:val="single" w:color="auto" w:sz="12" w:space="0"/>
            </w:tcBorders>
            <w:noWrap w:val="0"/>
            <w:vAlign w:val="center"/>
          </w:tcPr>
          <w:p w14:paraId="0BD9EDDE">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3C7959A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kern w:val="0"/>
                <w:sz w:val="21"/>
                <w:szCs w:val="21"/>
                <w:lang w:val="en-US" w:eastAsia="zh-CN" w:bidi="ar"/>
              </w:rPr>
              <w:t>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w:t>
            </w:r>
          </w:p>
        </w:tc>
        <w:tc>
          <w:tcPr>
            <w:tcW w:w="613" w:type="pct"/>
            <w:tcBorders>
              <w:top w:val="single" w:color="auto" w:sz="4" w:space="0"/>
              <w:bottom w:val="single" w:color="auto" w:sz="4" w:space="0"/>
            </w:tcBorders>
            <w:noWrap w:val="0"/>
            <w:vAlign w:val="center"/>
          </w:tcPr>
          <w:p w14:paraId="7D74C1E4">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5F07BE05">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0B80BB44">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21E274F1">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636" w:type="pct"/>
            <w:tcBorders>
              <w:top w:val="single" w:color="auto" w:sz="4" w:space="0"/>
              <w:bottom w:val="single" w:color="auto" w:sz="4" w:space="0"/>
            </w:tcBorders>
            <w:noWrap w:val="0"/>
            <w:vAlign w:val="center"/>
          </w:tcPr>
          <w:p w14:paraId="44414130">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486BAC29">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390" w:type="pct"/>
            <w:tcBorders>
              <w:top w:val="single" w:color="auto" w:sz="4" w:space="0"/>
              <w:bottom w:val="single" w:color="auto" w:sz="4" w:space="0"/>
              <w:right w:val="single" w:color="auto" w:sz="12" w:space="0"/>
            </w:tcBorders>
            <w:noWrap w:val="0"/>
            <w:vAlign w:val="center"/>
          </w:tcPr>
          <w:p w14:paraId="0BADBCCC">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r>
      <w:tr w14:paraId="0927F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17" w:type="pct"/>
            <w:vMerge w:val="continue"/>
            <w:tcBorders>
              <w:left w:val="single" w:color="auto" w:sz="12" w:space="0"/>
            </w:tcBorders>
            <w:noWrap w:val="0"/>
            <w:vAlign w:val="center"/>
          </w:tcPr>
          <w:p w14:paraId="2EB99859">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186E7AB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kern w:val="0"/>
                <w:sz w:val="21"/>
                <w:szCs w:val="21"/>
                <w:lang w:val="en-US" w:eastAsia="zh-CN" w:bidi="ar"/>
              </w:rPr>
              <w:t>TP</w:t>
            </w:r>
          </w:p>
        </w:tc>
        <w:tc>
          <w:tcPr>
            <w:tcW w:w="613" w:type="pct"/>
            <w:tcBorders>
              <w:top w:val="single" w:color="auto" w:sz="4" w:space="0"/>
              <w:bottom w:val="single" w:color="auto" w:sz="4" w:space="0"/>
            </w:tcBorders>
            <w:noWrap w:val="0"/>
            <w:vAlign w:val="center"/>
          </w:tcPr>
          <w:p w14:paraId="36A39B0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129BB44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4D633B36">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167CAF7C">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636" w:type="pct"/>
            <w:tcBorders>
              <w:top w:val="single" w:color="auto" w:sz="4" w:space="0"/>
              <w:bottom w:val="single" w:color="auto" w:sz="4" w:space="0"/>
            </w:tcBorders>
            <w:noWrap w:val="0"/>
            <w:vAlign w:val="center"/>
          </w:tcPr>
          <w:p w14:paraId="13264C6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2F887085">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390" w:type="pct"/>
            <w:tcBorders>
              <w:top w:val="single" w:color="auto" w:sz="4" w:space="0"/>
              <w:bottom w:val="single" w:color="auto" w:sz="4" w:space="0"/>
              <w:right w:val="single" w:color="auto" w:sz="12" w:space="0"/>
            </w:tcBorders>
            <w:noWrap w:val="0"/>
            <w:vAlign w:val="center"/>
          </w:tcPr>
          <w:p w14:paraId="5262E1B0">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r>
      <w:tr w14:paraId="136B4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17" w:type="pct"/>
            <w:vMerge w:val="continue"/>
            <w:tcBorders>
              <w:left w:val="single" w:color="auto" w:sz="12" w:space="0"/>
            </w:tcBorders>
            <w:noWrap w:val="0"/>
            <w:vAlign w:val="center"/>
          </w:tcPr>
          <w:p w14:paraId="651B7111">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7DBF38B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lang w:bidi="ar"/>
              </w:rPr>
            </w:pPr>
            <w:r>
              <w:rPr>
                <w:rFonts w:hint="default" w:ascii="Times New Roman" w:hAnsi="Times New Roman" w:eastAsia="宋体" w:cs="Times New Roman"/>
                <w:color w:val="auto"/>
                <w:kern w:val="0"/>
                <w:sz w:val="21"/>
                <w:szCs w:val="21"/>
                <w:lang w:val="en-US" w:eastAsia="zh-CN" w:bidi="ar"/>
              </w:rPr>
              <w:t>TN</w:t>
            </w:r>
          </w:p>
        </w:tc>
        <w:tc>
          <w:tcPr>
            <w:tcW w:w="613" w:type="pct"/>
            <w:tcBorders>
              <w:top w:val="single" w:color="auto" w:sz="4" w:space="0"/>
              <w:bottom w:val="single" w:color="auto" w:sz="4" w:space="0"/>
            </w:tcBorders>
            <w:noWrap w:val="0"/>
            <w:vAlign w:val="center"/>
          </w:tcPr>
          <w:p w14:paraId="02C4F595">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76224C6B">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696ED0D0">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4ED79C71">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636" w:type="pct"/>
            <w:tcBorders>
              <w:top w:val="single" w:color="auto" w:sz="4" w:space="0"/>
              <w:bottom w:val="single" w:color="auto" w:sz="4" w:space="0"/>
            </w:tcBorders>
            <w:noWrap w:val="0"/>
            <w:vAlign w:val="center"/>
          </w:tcPr>
          <w:p w14:paraId="18889A42">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42" w:type="pct"/>
            <w:tcBorders>
              <w:top w:val="single" w:color="auto" w:sz="4" w:space="0"/>
              <w:bottom w:val="single" w:color="auto" w:sz="4" w:space="0"/>
            </w:tcBorders>
            <w:noWrap w:val="0"/>
            <w:vAlign w:val="center"/>
          </w:tcPr>
          <w:p w14:paraId="7CEC8787">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c>
          <w:tcPr>
            <w:tcW w:w="390" w:type="pct"/>
            <w:tcBorders>
              <w:top w:val="single" w:color="auto" w:sz="4" w:space="0"/>
              <w:bottom w:val="single" w:color="auto" w:sz="4" w:space="0"/>
              <w:right w:val="single" w:color="auto" w:sz="12" w:space="0"/>
            </w:tcBorders>
            <w:noWrap w:val="0"/>
            <w:vAlign w:val="center"/>
          </w:tcPr>
          <w:p w14:paraId="672A134E">
            <w:pPr>
              <w:snapToGrid w:val="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Cs/>
                <w:color w:val="auto"/>
                <w:kern w:val="0"/>
                <w:sz w:val="21"/>
                <w:szCs w:val="21"/>
                <w:lang w:val="en-US" w:eastAsia="zh-CN" w:bidi="ar-SA"/>
              </w:rPr>
              <w:t>0</w:t>
            </w:r>
          </w:p>
        </w:tc>
      </w:tr>
      <w:tr w14:paraId="3F5E1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7" w:type="pct"/>
            <w:vMerge w:val="restart"/>
            <w:tcBorders>
              <w:top w:val="single" w:color="auto" w:sz="4" w:space="0"/>
              <w:left w:val="single" w:color="auto" w:sz="12" w:space="0"/>
            </w:tcBorders>
            <w:noWrap w:val="0"/>
            <w:vAlign w:val="center"/>
          </w:tcPr>
          <w:p w14:paraId="75A05614">
            <w:pPr>
              <w:pStyle w:val="41"/>
              <w:spacing w:beforeLines="0" w:afterLines="0" w:line="240" w:lineRule="auto"/>
              <w:rPr>
                <w:rFonts w:hint="default" w:ascii="Times New Roman" w:hAnsi="Times New Roman" w:cs="Times New Roman"/>
                <w:b w:val="0"/>
                <w:bCs/>
                <w:snapToGrid w:val="0"/>
                <w:color w:val="auto"/>
                <w:kern w:val="21"/>
                <w:szCs w:val="21"/>
              </w:rPr>
            </w:pPr>
            <w:r>
              <w:rPr>
                <w:rFonts w:hint="default" w:ascii="Times New Roman" w:hAnsi="Times New Roman" w:cs="Times New Roman"/>
                <w:b w:val="0"/>
                <w:bCs/>
                <w:snapToGrid w:val="0"/>
                <w:color w:val="auto"/>
                <w:kern w:val="21"/>
                <w:szCs w:val="21"/>
              </w:rPr>
              <w:t>一般工业固体废物</w:t>
            </w:r>
          </w:p>
        </w:tc>
        <w:tc>
          <w:tcPr>
            <w:tcW w:w="762" w:type="pct"/>
            <w:gridSpan w:val="2"/>
            <w:tcBorders>
              <w:top w:val="single" w:color="auto" w:sz="4" w:space="0"/>
              <w:bottom w:val="single" w:color="auto" w:sz="4" w:space="0"/>
            </w:tcBorders>
            <w:noWrap w:val="0"/>
            <w:vAlign w:val="center"/>
          </w:tcPr>
          <w:p w14:paraId="1A34F4E1">
            <w:pPr>
              <w:autoSpaceDE w:val="0"/>
              <w:autoSpaceDN w:val="0"/>
              <w:adjustRightInd w:val="0"/>
              <w:snapToGrid w:val="0"/>
              <w:jc w:val="center"/>
              <w:rPr>
                <w:rFonts w:hint="default"/>
                <w:color w:val="auto"/>
                <w:szCs w:val="21"/>
                <w:lang w:val="en-US" w:eastAsia="zh-CN"/>
              </w:rPr>
            </w:pPr>
            <w:r>
              <w:rPr>
                <w:rFonts w:hint="eastAsia"/>
                <w:color w:val="auto"/>
                <w:szCs w:val="21"/>
              </w:rPr>
              <w:t>废砂</w:t>
            </w:r>
            <w:r>
              <w:rPr>
                <w:rFonts w:hint="eastAsia"/>
                <w:color w:val="auto"/>
                <w:szCs w:val="21"/>
                <w:lang w:val="en-US" w:eastAsia="zh-CN"/>
              </w:rPr>
              <w:t>纸</w:t>
            </w:r>
          </w:p>
        </w:tc>
        <w:tc>
          <w:tcPr>
            <w:tcW w:w="613" w:type="pct"/>
            <w:tcBorders>
              <w:top w:val="single" w:color="auto" w:sz="4" w:space="0"/>
              <w:bottom w:val="single" w:color="auto" w:sz="4" w:space="0"/>
            </w:tcBorders>
            <w:noWrap w:val="0"/>
            <w:vAlign w:val="center"/>
          </w:tcPr>
          <w:p w14:paraId="3AB778D8">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0B9C4A46">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4C268982">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512FD01A">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0.</w:t>
            </w:r>
            <w:r>
              <w:rPr>
                <w:rFonts w:hint="eastAsia"/>
                <w:color w:val="auto"/>
                <w:szCs w:val="21"/>
                <w:lang w:val="en-US" w:eastAsia="zh-CN"/>
              </w:rPr>
              <w:t>2</w:t>
            </w:r>
          </w:p>
        </w:tc>
        <w:tc>
          <w:tcPr>
            <w:tcW w:w="636" w:type="pct"/>
            <w:tcBorders>
              <w:top w:val="single" w:color="auto" w:sz="4" w:space="0"/>
              <w:bottom w:val="single" w:color="auto" w:sz="4" w:space="0"/>
            </w:tcBorders>
            <w:noWrap w:val="0"/>
            <w:vAlign w:val="center"/>
          </w:tcPr>
          <w:p w14:paraId="799AF279">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807" w:type="dxa"/>
            <w:tcBorders>
              <w:top w:val="single" w:color="auto" w:sz="4" w:space="0"/>
              <w:bottom w:val="single" w:color="auto" w:sz="4" w:space="0"/>
            </w:tcBorders>
            <w:noWrap w:val="0"/>
            <w:vAlign w:val="center"/>
          </w:tcPr>
          <w:p w14:paraId="7B30F6BC">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0.</w:t>
            </w:r>
            <w:r>
              <w:rPr>
                <w:rFonts w:hint="eastAsia"/>
                <w:color w:val="auto"/>
                <w:szCs w:val="21"/>
                <w:lang w:val="en-US" w:eastAsia="zh-CN"/>
              </w:rPr>
              <w:t>2</w:t>
            </w:r>
          </w:p>
        </w:tc>
        <w:tc>
          <w:tcPr>
            <w:tcW w:w="1098" w:type="dxa"/>
            <w:tcBorders>
              <w:top w:val="single" w:color="auto" w:sz="4" w:space="0"/>
              <w:bottom w:val="single" w:color="auto" w:sz="4" w:space="0"/>
              <w:right w:val="single" w:color="auto" w:sz="12" w:space="0"/>
            </w:tcBorders>
            <w:noWrap w:val="0"/>
            <w:vAlign w:val="center"/>
          </w:tcPr>
          <w:p w14:paraId="69408378">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r>
              <w:rPr>
                <w:rFonts w:hint="eastAsia"/>
                <w:color w:val="auto"/>
                <w:szCs w:val="21"/>
              </w:rPr>
              <w:t>0.</w:t>
            </w:r>
            <w:r>
              <w:rPr>
                <w:rFonts w:hint="eastAsia"/>
                <w:color w:val="auto"/>
                <w:szCs w:val="21"/>
                <w:lang w:val="en-US" w:eastAsia="zh-CN"/>
              </w:rPr>
              <w:t>2</w:t>
            </w:r>
          </w:p>
        </w:tc>
      </w:tr>
      <w:tr w14:paraId="55DF6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17" w:type="pct"/>
            <w:vMerge w:val="continue"/>
            <w:tcBorders>
              <w:left w:val="single" w:color="auto" w:sz="12" w:space="0"/>
            </w:tcBorders>
            <w:noWrap w:val="0"/>
            <w:vAlign w:val="center"/>
          </w:tcPr>
          <w:p w14:paraId="65F150FC">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3E35727E">
            <w:pPr>
              <w:autoSpaceDE w:val="0"/>
              <w:autoSpaceDN w:val="0"/>
              <w:adjustRightInd w:val="0"/>
              <w:snapToGrid w:val="0"/>
              <w:jc w:val="center"/>
              <w:rPr>
                <w:rFonts w:hint="default"/>
                <w:color w:val="auto"/>
                <w:szCs w:val="21"/>
                <w:lang w:val="en-US" w:eastAsia="zh-CN"/>
              </w:rPr>
            </w:pPr>
            <w:r>
              <w:rPr>
                <w:rFonts w:hint="eastAsia"/>
                <w:color w:val="auto"/>
                <w:szCs w:val="21"/>
              </w:rPr>
              <w:t>收集尘</w:t>
            </w:r>
          </w:p>
        </w:tc>
        <w:tc>
          <w:tcPr>
            <w:tcW w:w="613" w:type="pct"/>
            <w:tcBorders>
              <w:top w:val="single" w:color="auto" w:sz="4" w:space="0"/>
              <w:bottom w:val="single" w:color="auto" w:sz="4" w:space="0"/>
            </w:tcBorders>
            <w:noWrap w:val="0"/>
            <w:vAlign w:val="center"/>
          </w:tcPr>
          <w:p w14:paraId="6956BD33">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1C8390F8">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7DBD619D">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5626EC8C">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51.5844</w:t>
            </w:r>
          </w:p>
        </w:tc>
        <w:tc>
          <w:tcPr>
            <w:tcW w:w="636" w:type="pct"/>
            <w:tcBorders>
              <w:top w:val="single" w:color="auto" w:sz="4" w:space="0"/>
              <w:bottom w:val="single" w:color="auto" w:sz="4" w:space="0"/>
            </w:tcBorders>
            <w:noWrap w:val="0"/>
            <w:vAlign w:val="center"/>
          </w:tcPr>
          <w:p w14:paraId="1EAF9A83">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807" w:type="dxa"/>
            <w:tcBorders>
              <w:top w:val="single" w:color="auto" w:sz="4" w:space="0"/>
              <w:bottom w:val="single" w:color="auto" w:sz="4" w:space="0"/>
            </w:tcBorders>
            <w:noWrap w:val="0"/>
            <w:vAlign w:val="center"/>
          </w:tcPr>
          <w:p w14:paraId="1873C94A">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51.5844</w:t>
            </w:r>
          </w:p>
        </w:tc>
        <w:tc>
          <w:tcPr>
            <w:tcW w:w="1098" w:type="dxa"/>
            <w:tcBorders>
              <w:top w:val="single" w:color="auto" w:sz="4" w:space="0"/>
              <w:bottom w:val="single" w:color="auto" w:sz="4" w:space="0"/>
              <w:right w:val="single" w:color="auto" w:sz="12" w:space="0"/>
            </w:tcBorders>
            <w:noWrap w:val="0"/>
            <w:vAlign w:val="center"/>
          </w:tcPr>
          <w:p w14:paraId="4B3A4FDA">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+51.5844</w:t>
            </w:r>
          </w:p>
        </w:tc>
      </w:tr>
      <w:tr w14:paraId="07644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17" w:type="pct"/>
            <w:vMerge w:val="continue"/>
            <w:tcBorders>
              <w:left w:val="single" w:color="auto" w:sz="12" w:space="0"/>
            </w:tcBorders>
            <w:noWrap w:val="0"/>
            <w:vAlign w:val="center"/>
          </w:tcPr>
          <w:p w14:paraId="2FC98CD9">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70A86037">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废砂</w:t>
            </w:r>
          </w:p>
        </w:tc>
        <w:tc>
          <w:tcPr>
            <w:tcW w:w="613" w:type="pct"/>
            <w:tcBorders>
              <w:top w:val="single" w:color="auto" w:sz="4" w:space="0"/>
              <w:bottom w:val="single" w:color="auto" w:sz="4" w:space="0"/>
            </w:tcBorders>
            <w:noWrap w:val="0"/>
            <w:vAlign w:val="center"/>
          </w:tcPr>
          <w:p w14:paraId="729D8F3F">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5D446F10">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5F0B302C">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12E21B1F">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947.92</w:t>
            </w:r>
          </w:p>
        </w:tc>
        <w:tc>
          <w:tcPr>
            <w:tcW w:w="636" w:type="pct"/>
            <w:tcBorders>
              <w:top w:val="single" w:color="auto" w:sz="4" w:space="0"/>
              <w:bottom w:val="single" w:color="auto" w:sz="4" w:space="0"/>
            </w:tcBorders>
            <w:noWrap w:val="0"/>
            <w:vAlign w:val="center"/>
          </w:tcPr>
          <w:p w14:paraId="45B231D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16F70F62">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947.92</w:t>
            </w:r>
          </w:p>
        </w:tc>
        <w:tc>
          <w:tcPr>
            <w:tcW w:w="1098" w:type="dxa"/>
            <w:tcBorders>
              <w:top w:val="single" w:color="auto" w:sz="4" w:space="0"/>
              <w:bottom w:val="single" w:color="auto" w:sz="4" w:space="0"/>
              <w:right w:val="single" w:color="auto" w:sz="12" w:space="0"/>
            </w:tcBorders>
            <w:noWrap w:val="0"/>
            <w:vAlign w:val="center"/>
          </w:tcPr>
          <w:p w14:paraId="75785D24">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+947.92</w:t>
            </w:r>
          </w:p>
        </w:tc>
      </w:tr>
      <w:tr w14:paraId="23A83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17" w:type="pct"/>
            <w:vMerge w:val="continue"/>
            <w:tcBorders>
              <w:left w:val="single" w:color="auto" w:sz="12" w:space="0"/>
            </w:tcBorders>
            <w:noWrap w:val="0"/>
            <w:vAlign w:val="center"/>
          </w:tcPr>
          <w:p w14:paraId="3D5A7D5A">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0CCCC446">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废布袋</w:t>
            </w:r>
          </w:p>
        </w:tc>
        <w:tc>
          <w:tcPr>
            <w:tcW w:w="613" w:type="pct"/>
            <w:tcBorders>
              <w:top w:val="single" w:color="auto" w:sz="4" w:space="0"/>
              <w:bottom w:val="single" w:color="auto" w:sz="4" w:space="0"/>
            </w:tcBorders>
            <w:noWrap w:val="0"/>
            <w:vAlign w:val="center"/>
          </w:tcPr>
          <w:p w14:paraId="09876C22">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464F7094">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35761069">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287EC174">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0.2312</w:t>
            </w:r>
          </w:p>
        </w:tc>
        <w:tc>
          <w:tcPr>
            <w:tcW w:w="636" w:type="pct"/>
            <w:tcBorders>
              <w:top w:val="single" w:color="auto" w:sz="4" w:space="0"/>
              <w:bottom w:val="single" w:color="auto" w:sz="4" w:space="0"/>
            </w:tcBorders>
            <w:noWrap w:val="0"/>
            <w:vAlign w:val="center"/>
          </w:tcPr>
          <w:p w14:paraId="43A1644C">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452A8D10">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0.2312</w:t>
            </w:r>
          </w:p>
        </w:tc>
        <w:tc>
          <w:tcPr>
            <w:tcW w:w="1098" w:type="dxa"/>
            <w:tcBorders>
              <w:top w:val="single" w:color="auto" w:sz="4" w:space="0"/>
              <w:bottom w:val="single" w:color="auto" w:sz="4" w:space="0"/>
              <w:right w:val="single" w:color="auto" w:sz="12" w:space="0"/>
            </w:tcBorders>
            <w:noWrap w:val="0"/>
            <w:vAlign w:val="center"/>
          </w:tcPr>
          <w:p w14:paraId="6B9F3A84">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+0.2312</w:t>
            </w:r>
          </w:p>
        </w:tc>
      </w:tr>
      <w:tr w14:paraId="0D458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17" w:type="pct"/>
            <w:vMerge w:val="restart"/>
            <w:tcBorders>
              <w:left w:val="single" w:color="auto" w:sz="12" w:space="0"/>
            </w:tcBorders>
            <w:noWrap w:val="0"/>
            <w:vAlign w:val="center"/>
          </w:tcPr>
          <w:p w14:paraId="0127E8AA">
            <w:pPr>
              <w:pStyle w:val="41"/>
              <w:spacing w:beforeLines="0" w:afterLines="0" w:line="240" w:lineRule="auto"/>
              <w:rPr>
                <w:rFonts w:hint="default" w:ascii="Times New Roman" w:hAnsi="Times New Roman" w:cs="Times New Roman"/>
                <w:b w:val="0"/>
                <w:bCs/>
                <w:snapToGrid w:val="0"/>
                <w:color w:val="auto"/>
                <w:kern w:val="21"/>
                <w:szCs w:val="21"/>
              </w:rPr>
            </w:pPr>
            <w:r>
              <w:rPr>
                <w:rFonts w:hint="default" w:ascii="Times New Roman" w:hAnsi="Times New Roman" w:cs="Times New Roman"/>
                <w:b w:val="0"/>
                <w:bCs/>
                <w:snapToGrid w:val="0"/>
                <w:color w:val="auto"/>
                <w:kern w:val="21"/>
                <w:szCs w:val="21"/>
              </w:rPr>
              <w:t>危险废物</w:t>
            </w:r>
          </w:p>
        </w:tc>
        <w:tc>
          <w:tcPr>
            <w:tcW w:w="762" w:type="pct"/>
            <w:gridSpan w:val="2"/>
            <w:tcBorders>
              <w:top w:val="single" w:color="auto" w:sz="4" w:space="0"/>
              <w:bottom w:val="single" w:color="auto" w:sz="4" w:space="0"/>
            </w:tcBorders>
            <w:noWrap w:val="0"/>
            <w:vAlign w:val="center"/>
          </w:tcPr>
          <w:p w14:paraId="32A88495">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炉</w:t>
            </w:r>
            <w:r>
              <w:rPr>
                <w:rFonts w:hint="eastAsia"/>
                <w:color w:val="auto"/>
                <w:szCs w:val="21"/>
              </w:rPr>
              <w:t>渣</w:t>
            </w:r>
          </w:p>
        </w:tc>
        <w:tc>
          <w:tcPr>
            <w:tcW w:w="613" w:type="pct"/>
            <w:tcBorders>
              <w:top w:val="single" w:color="auto" w:sz="4" w:space="0"/>
              <w:bottom w:val="single" w:color="auto" w:sz="4" w:space="0"/>
            </w:tcBorders>
            <w:noWrap w:val="0"/>
            <w:vAlign w:val="center"/>
          </w:tcPr>
          <w:p w14:paraId="3F054E94">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645E9F82">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30185EAE">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3E50F3B1">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3</w:t>
            </w:r>
          </w:p>
        </w:tc>
        <w:tc>
          <w:tcPr>
            <w:tcW w:w="636" w:type="pct"/>
            <w:tcBorders>
              <w:top w:val="single" w:color="auto" w:sz="4" w:space="0"/>
              <w:bottom w:val="single" w:color="auto" w:sz="4" w:space="0"/>
            </w:tcBorders>
            <w:noWrap w:val="0"/>
            <w:vAlign w:val="center"/>
          </w:tcPr>
          <w:p w14:paraId="63091129">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68E9D794">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1098" w:type="dxa"/>
            <w:tcBorders>
              <w:top w:val="single" w:color="auto" w:sz="4" w:space="0"/>
              <w:bottom w:val="single" w:color="auto" w:sz="4" w:space="0"/>
              <w:right w:val="single" w:color="auto" w:sz="12" w:space="0"/>
            </w:tcBorders>
            <w:noWrap w:val="0"/>
            <w:vAlign w:val="center"/>
          </w:tcPr>
          <w:p w14:paraId="67F9896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r>
      <w:tr w14:paraId="72C01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7" w:type="pct"/>
            <w:vMerge w:val="continue"/>
            <w:tcBorders>
              <w:left w:val="single" w:color="auto" w:sz="12" w:space="0"/>
            </w:tcBorders>
            <w:noWrap w:val="0"/>
            <w:vAlign w:val="center"/>
          </w:tcPr>
          <w:p w14:paraId="723A44E8">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71C968BF">
            <w:pPr>
              <w:autoSpaceDE w:val="0"/>
              <w:autoSpaceDN w:val="0"/>
              <w:adjustRightInd w:val="0"/>
              <w:snapToGrid w:val="0"/>
              <w:jc w:val="center"/>
              <w:rPr>
                <w:rFonts w:hint="default"/>
                <w:color w:val="auto"/>
                <w:szCs w:val="21"/>
                <w:lang w:val="en-US" w:eastAsia="zh-CN"/>
              </w:rPr>
            </w:pPr>
            <w:r>
              <w:rPr>
                <w:rFonts w:hint="eastAsia"/>
                <w:color w:val="auto"/>
                <w:szCs w:val="21"/>
              </w:rPr>
              <w:t>废油</w:t>
            </w:r>
          </w:p>
        </w:tc>
        <w:tc>
          <w:tcPr>
            <w:tcW w:w="613" w:type="pct"/>
            <w:tcBorders>
              <w:top w:val="single" w:color="auto" w:sz="4" w:space="0"/>
              <w:bottom w:val="single" w:color="auto" w:sz="4" w:space="0"/>
            </w:tcBorders>
            <w:noWrap w:val="0"/>
            <w:vAlign w:val="center"/>
          </w:tcPr>
          <w:p w14:paraId="64EBFD99">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529C35F2">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640F6A9E">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0C07C112">
            <w:pPr>
              <w:autoSpaceDE w:val="0"/>
              <w:autoSpaceDN w:val="0"/>
              <w:adjustRightInd w:val="0"/>
              <w:snapToGrid w:val="0"/>
              <w:jc w:val="center"/>
              <w:rPr>
                <w:rFonts w:hint="default"/>
                <w:color w:val="auto"/>
                <w:szCs w:val="21"/>
                <w:lang w:val="en-US" w:eastAsia="zh-CN"/>
              </w:rPr>
            </w:pPr>
            <w:r>
              <w:rPr>
                <w:rFonts w:hint="eastAsia"/>
                <w:color w:val="auto"/>
                <w:szCs w:val="21"/>
              </w:rPr>
              <w:t>0.5</w:t>
            </w:r>
          </w:p>
        </w:tc>
        <w:tc>
          <w:tcPr>
            <w:tcW w:w="636" w:type="pct"/>
            <w:tcBorders>
              <w:top w:val="single" w:color="auto" w:sz="4" w:space="0"/>
              <w:bottom w:val="single" w:color="auto" w:sz="4" w:space="0"/>
            </w:tcBorders>
            <w:noWrap w:val="0"/>
            <w:vAlign w:val="center"/>
          </w:tcPr>
          <w:p w14:paraId="03612A6D">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807" w:type="dxa"/>
            <w:tcBorders>
              <w:top w:val="single" w:color="auto" w:sz="4" w:space="0"/>
              <w:bottom w:val="single" w:color="auto" w:sz="4" w:space="0"/>
            </w:tcBorders>
            <w:noWrap w:val="0"/>
            <w:vAlign w:val="center"/>
          </w:tcPr>
          <w:p w14:paraId="2558F9C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0.5</w:t>
            </w:r>
          </w:p>
        </w:tc>
        <w:tc>
          <w:tcPr>
            <w:tcW w:w="1098" w:type="dxa"/>
            <w:tcBorders>
              <w:top w:val="single" w:color="auto" w:sz="4" w:space="0"/>
              <w:bottom w:val="single" w:color="auto" w:sz="4" w:space="0"/>
              <w:right w:val="single" w:color="auto" w:sz="12" w:space="0"/>
            </w:tcBorders>
            <w:noWrap w:val="0"/>
            <w:vAlign w:val="center"/>
          </w:tcPr>
          <w:p w14:paraId="72078E1F">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r>
              <w:rPr>
                <w:rFonts w:hint="eastAsia"/>
                <w:color w:val="auto"/>
                <w:szCs w:val="21"/>
              </w:rPr>
              <w:t>0.5</w:t>
            </w:r>
          </w:p>
        </w:tc>
      </w:tr>
      <w:tr w14:paraId="21D36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17" w:type="pct"/>
            <w:vMerge w:val="continue"/>
            <w:tcBorders>
              <w:left w:val="single" w:color="auto" w:sz="12" w:space="0"/>
            </w:tcBorders>
            <w:noWrap w:val="0"/>
            <w:vAlign w:val="center"/>
          </w:tcPr>
          <w:p w14:paraId="3E82D120">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7AC67B77">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熔融、打磨工序收集尘</w:t>
            </w:r>
          </w:p>
        </w:tc>
        <w:tc>
          <w:tcPr>
            <w:tcW w:w="613" w:type="pct"/>
            <w:tcBorders>
              <w:top w:val="single" w:color="auto" w:sz="4" w:space="0"/>
              <w:bottom w:val="single" w:color="auto" w:sz="4" w:space="0"/>
            </w:tcBorders>
            <w:noWrap w:val="0"/>
            <w:vAlign w:val="center"/>
          </w:tcPr>
          <w:p w14:paraId="7CA15F70">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5B5C56AF">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3654E9B5">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66F1989D">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7.569</w:t>
            </w:r>
          </w:p>
        </w:tc>
        <w:tc>
          <w:tcPr>
            <w:tcW w:w="636" w:type="pct"/>
            <w:tcBorders>
              <w:top w:val="single" w:color="auto" w:sz="4" w:space="0"/>
              <w:bottom w:val="single" w:color="auto" w:sz="4" w:space="0"/>
            </w:tcBorders>
            <w:noWrap w:val="0"/>
            <w:vAlign w:val="center"/>
          </w:tcPr>
          <w:p w14:paraId="49F8BB37">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7A371061">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7.569</w:t>
            </w:r>
          </w:p>
        </w:tc>
        <w:tc>
          <w:tcPr>
            <w:tcW w:w="1098" w:type="dxa"/>
            <w:tcBorders>
              <w:top w:val="single" w:color="auto" w:sz="4" w:space="0"/>
              <w:bottom w:val="single" w:color="auto" w:sz="4" w:space="0"/>
              <w:right w:val="single" w:color="auto" w:sz="12" w:space="0"/>
            </w:tcBorders>
            <w:noWrap w:val="0"/>
            <w:vAlign w:val="center"/>
          </w:tcPr>
          <w:p w14:paraId="18ACE736">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+7.569</w:t>
            </w:r>
          </w:p>
        </w:tc>
      </w:tr>
      <w:tr w14:paraId="64AAD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17" w:type="pct"/>
            <w:vMerge w:val="continue"/>
            <w:tcBorders>
              <w:left w:val="single" w:color="auto" w:sz="12" w:space="0"/>
            </w:tcBorders>
            <w:noWrap w:val="0"/>
            <w:vAlign w:val="center"/>
          </w:tcPr>
          <w:p w14:paraId="2F2F8815">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47DDCCF4">
            <w:pPr>
              <w:autoSpaceDE w:val="0"/>
              <w:autoSpaceDN w:val="0"/>
              <w:adjustRightInd w:val="0"/>
              <w:snapToGrid w:val="0"/>
              <w:jc w:val="center"/>
              <w:rPr>
                <w:rFonts w:hint="eastAsia"/>
                <w:color w:val="auto"/>
                <w:szCs w:val="21"/>
                <w:lang w:val="en-US" w:eastAsia="zh-CN"/>
              </w:rPr>
            </w:pPr>
            <w:r>
              <w:rPr>
                <w:rFonts w:hint="eastAsia"/>
                <w:color w:val="auto"/>
                <w:szCs w:val="21"/>
              </w:rPr>
              <w:t>废活性炭</w:t>
            </w:r>
          </w:p>
        </w:tc>
        <w:tc>
          <w:tcPr>
            <w:tcW w:w="613" w:type="pct"/>
            <w:tcBorders>
              <w:top w:val="single" w:color="auto" w:sz="4" w:space="0"/>
              <w:bottom w:val="single" w:color="auto" w:sz="4" w:space="0"/>
            </w:tcBorders>
            <w:noWrap w:val="0"/>
            <w:vAlign w:val="center"/>
          </w:tcPr>
          <w:p w14:paraId="038D7887">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562492EC">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33AE710D">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5586680F">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31.5741</w:t>
            </w:r>
          </w:p>
        </w:tc>
        <w:tc>
          <w:tcPr>
            <w:tcW w:w="636" w:type="pct"/>
            <w:tcBorders>
              <w:top w:val="single" w:color="auto" w:sz="4" w:space="0"/>
              <w:bottom w:val="single" w:color="auto" w:sz="4" w:space="0"/>
            </w:tcBorders>
            <w:noWrap w:val="0"/>
            <w:vAlign w:val="center"/>
          </w:tcPr>
          <w:p w14:paraId="18352E9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2D02D250">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31.5741</w:t>
            </w:r>
          </w:p>
        </w:tc>
        <w:tc>
          <w:tcPr>
            <w:tcW w:w="1098" w:type="dxa"/>
            <w:tcBorders>
              <w:top w:val="single" w:color="auto" w:sz="4" w:space="0"/>
              <w:bottom w:val="single" w:color="auto" w:sz="4" w:space="0"/>
              <w:right w:val="single" w:color="auto" w:sz="12" w:space="0"/>
            </w:tcBorders>
            <w:noWrap w:val="0"/>
            <w:vAlign w:val="center"/>
          </w:tcPr>
          <w:p w14:paraId="406AAAF1">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+31.5741</w:t>
            </w:r>
          </w:p>
        </w:tc>
      </w:tr>
      <w:tr w14:paraId="22616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7" w:type="pct"/>
            <w:vMerge w:val="continue"/>
            <w:tcBorders>
              <w:left w:val="single" w:color="auto" w:sz="12" w:space="0"/>
            </w:tcBorders>
            <w:noWrap w:val="0"/>
            <w:vAlign w:val="center"/>
          </w:tcPr>
          <w:p w14:paraId="2462D22E">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43589648">
            <w:pPr>
              <w:autoSpaceDE w:val="0"/>
              <w:autoSpaceDN w:val="0"/>
              <w:adjustRightInd w:val="0"/>
              <w:snapToGrid w:val="0"/>
              <w:jc w:val="center"/>
              <w:rPr>
                <w:rFonts w:hint="eastAsia"/>
                <w:color w:val="auto"/>
                <w:szCs w:val="21"/>
                <w:lang w:val="en-US" w:eastAsia="zh-CN"/>
              </w:rPr>
            </w:pPr>
            <w:r>
              <w:rPr>
                <w:rFonts w:hint="eastAsia"/>
                <w:color w:val="auto"/>
                <w:szCs w:val="21"/>
              </w:rPr>
              <w:t>废包装桶</w:t>
            </w:r>
          </w:p>
        </w:tc>
        <w:tc>
          <w:tcPr>
            <w:tcW w:w="613" w:type="pct"/>
            <w:tcBorders>
              <w:top w:val="single" w:color="auto" w:sz="4" w:space="0"/>
              <w:bottom w:val="single" w:color="auto" w:sz="4" w:space="0"/>
            </w:tcBorders>
            <w:noWrap w:val="0"/>
            <w:vAlign w:val="center"/>
          </w:tcPr>
          <w:p w14:paraId="13A995C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54BB8F12">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5E6DEB9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77B9AA60">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0.164</w:t>
            </w:r>
          </w:p>
        </w:tc>
        <w:tc>
          <w:tcPr>
            <w:tcW w:w="636" w:type="pct"/>
            <w:tcBorders>
              <w:top w:val="single" w:color="auto" w:sz="4" w:space="0"/>
              <w:bottom w:val="single" w:color="auto" w:sz="4" w:space="0"/>
            </w:tcBorders>
            <w:noWrap w:val="0"/>
            <w:vAlign w:val="center"/>
          </w:tcPr>
          <w:p w14:paraId="4E0A8E50">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3F807A06">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0.164</w:t>
            </w:r>
          </w:p>
        </w:tc>
        <w:tc>
          <w:tcPr>
            <w:tcW w:w="1098" w:type="dxa"/>
            <w:tcBorders>
              <w:top w:val="single" w:color="auto" w:sz="4" w:space="0"/>
              <w:bottom w:val="single" w:color="auto" w:sz="4" w:space="0"/>
              <w:right w:val="single" w:color="auto" w:sz="12" w:space="0"/>
            </w:tcBorders>
            <w:noWrap w:val="0"/>
            <w:vAlign w:val="center"/>
          </w:tcPr>
          <w:p w14:paraId="3CF4D843">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+0.164</w:t>
            </w:r>
          </w:p>
        </w:tc>
      </w:tr>
      <w:tr w14:paraId="736DB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7" w:type="pct"/>
            <w:vMerge w:val="continue"/>
            <w:tcBorders>
              <w:left w:val="single" w:color="auto" w:sz="12" w:space="0"/>
            </w:tcBorders>
            <w:noWrap w:val="0"/>
            <w:vAlign w:val="center"/>
          </w:tcPr>
          <w:p w14:paraId="1F4F2668">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0466CC10">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沾染危废的废布袋</w:t>
            </w:r>
          </w:p>
        </w:tc>
        <w:tc>
          <w:tcPr>
            <w:tcW w:w="613" w:type="pct"/>
            <w:tcBorders>
              <w:top w:val="single" w:color="auto" w:sz="4" w:space="0"/>
              <w:bottom w:val="single" w:color="auto" w:sz="4" w:space="0"/>
            </w:tcBorders>
            <w:noWrap w:val="0"/>
            <w:vAlign w:val="center"/>
          </w:tcPr>
          <w:p w14:paraId="180E374F">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1A483B1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3D5B90D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27BDD676">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0.1496</w:t>
            </w:r>
          </w:p>
        </w:tc>
        <w:tc>
          <w:tcPr>
            <w:tcW w:w="636" w:type="pct"/>
            <w:tcBorders>
              <w:top w:val="single" w:color="auto" w:sz="4" w:space="0"/>
              <w:bottom w:val="single" w:color="auto" w:sz="4" w:space="0"/>
            </w:tcBorders>
            <w:noWrap w:val="0"/>
            <w:vAlign w:val="center"/>
          </w:tcPr>
          <w:p w14:paraId="42243183">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45990F27">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0.1496</w:t>
            </w:r>
          </w:p>
        </w:tc>
        <w:tc>
          <w:tcPr>
            <w:tcW w:w="1098" w:type="dxa"/>
            <w:tcBorders>
              <w:top w:val="single" w:color="auto" w:sz="4" w:space="0"/>
              <w:bottom w:val="single" w:color="auto" w:sz="4" w:space="0"/>
              <w:right w:val="single" w:color="auto" w:sz="12" w:space="0"/>
            </w:tcBorders>
            <w:noWrap w:val="0"/>
            <w:vAlign w:val="center"/>
          </w:tcPr>
          <w:p w14:paraId="18038480">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+0.1496</w:t>
            </w:r>
          </w:p>
        </w:tc>
      </w:tr>
      <w:tr w14:paraId="1A80B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7" w:type="pct"/>
            <w:vMerge w:val="continue"/>
            <w:tcBorders>
              <w:left w:val="single" w:color="auto" w:sz="12" w:space="0"/>
            </w:tcBorders>
            <w:noWrap w:val="0"/>
            <w:vAlign w:val="center"/>
          </w:tcPr>
          <w:p w14:paraId="7E54F547">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6F742DC3">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含油铝屑</w:t>
            </w:r>
          </w:p>
        </w:tc>
        <w:tc>
          <w:tcPr>
            <w:tcW w:w="613" w:type="pct"/>
            <w:tcBorders>
              <w:top w:val="single" w:color="auto" w:sz="4" w:space="0"/>
              <w:bottom w:val="single" w:color="auto" w:sz="4" w:space="0"/>
            </w:tcBorders>
            <w:noWrap w:val="0"/>
            <w:vAlign w:val="center"/>
          </w:tcPr>
          <w:p w14:paraId="4B2BE9C0">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293C7F88">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4212080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7D09696F">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0.5</w:t>
            </w:r>
          </w:p>
        </w:tc>
        <w:tc>
          <w:tcPr>
            <w:tcW w:w="636" w:type="pct"/>
            <w:tcBorders>
              <w:top w:val="single" w:color="auto" w:sz="4" w:space="0"/>
              <w:bottom w:val="single" w:color="auto" w:sz="4" w:space="0"/>
            </w:tcBorders>
            <w:noWrap w:val="0"/>
            <w:vAlign w:val="center"/>
          </w:tcPr>
          <w:p w14:paraId="045277C2">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62231444">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0.5</w:t>
            </w:r>
          </w:p>
        </w:tc>
        <w:tc>
          <w:tcPr>
            <w:tcW w:w="1098" w:type="dxa"/>
            <w:tcBorders>
              <w:top w:val="single" w:color="auto" w:sz="4" w:space="0"/>
              <w:bottom w:val="single" w:color="auto" w:sz="4" w:space="0"/>
              <w:right w:val="single" w:color="auto" w:sz="12" w:space="0"/>
            </w:tcBorders>
            <w:noWrap w:val="0"/>
            <w:vAlign w:val="center"/>
          </w:tcPr>
          <w:p w14:paraId="10A105B3">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+0.5</w:t>
            </w:r>
          </w:p>
        </w:tc>
      </w:tr>
      <w:tr w14:paraId="703D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17" w:type="pct"/>
            <w:vMerge w:val="continue"/>
            <w:tcBorders>
              <w:left w:val="single" w:color="auto" w:sz="12" w:space="0"/>
            </w:tcBorders>
            <w:noWrap w:val="0"/>
            <w:vAlign w:val="center"/>
          </w:tcPr>
          <w:p w14:paraId="3F9BD91E">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17425E7A">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废液</w:t>
            </w:r>
          </w:p>
        </w:tc>
        <w:tc>
          <w:tcPr>
            <w:tcW w:w="613" w:type="pct"/>
            <w:tcBorders>
              <w:top w:val="single" w:color="auto" w:sz="4" w:space="0"/>
              <w:bottom w:val="single" w:color="auto" w:sz="4" w:space="0"/>
            </w:tcBorders>
            <w:noWrap w:val="0"/>
            <w:vAlign w:val="center"/>
          </w:tcPr>
          <w:p w14:paraId="103D483F">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1CC11BF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6A9A1A1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4434B2CC">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10.9</w:t>
            </w:r>
          </w:p>
        </w:tc>
        <w:tc>
          <w:tcPr>
            <w:tcW w:w="636" w:type="pct"/>
            <w:tcBorders>
              <w:top w:val="single" w:color="auto" w:sz="4" w:space="0"/>
              <w:bottom w:val="single" w:color="auto" w:sz="4" w:space="0"/>
            </w:tcBorders>
            <w:noWrap w:val="0"/>
            <w:vAlign w:val="center"/>
          </w:tcPr>
          <w:p w14:paraId="3609F23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51E93AB8">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10.9</w:t>
            </w:r>
          </w:p>
        </w:tc>
        <w:tc>
          <w:tcPr>
            <w:tcW w:w="1098" w:type="dxa"/>
            <w:tcBorders>
              <w:top w:val="single" w:color="auto" w:sz="4" w:space="0"/>
              <w:bottom w:val="single" w:color="auto" w:sz="4" w:space="0"/>
              <w:right w:val="single" w:color="auto" w:sz="12" w:space="0"/>
            </w:tcBorders>
            <w:noWrap w:val="0"/>
            <w:vAlign w:val="center"/>
          </w:tcPr>
          <w:p w14:paraId="5EA68DFC">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+10.9</w:t>
            </w:r>
          </w:p>
        </w:tc>
      </w:tr>
      <w:tr w14:paraId="4D59F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17" w:type="pct"/>
            <w:vMerge w:val="continue"/>
            <w:tcBorders>
              <w:left w:val="single" w:color="auto" w:sz="12" w:space="0"/>
            </w:tcBorders>
            <w:noWrap w:val="0"/>
            <w:vAlign w:val="center"/>
          </w:tcPr>
          <w:p w14:paraId="7D5A8688">
            <w:pPr>
              <w:pStyle w:val="41"/>
              <w:spacing w:beforeLines="0" w:afterLines="0" w:line="240" w:lineRule="auto"/>
              <w:rPr>
                <w:rFonts w:hint="default" w:ascii="Times New Roman" w:hAnsi="Times New Roman" w:cs="Times New Roman"/>
                <w:b w:val="0"/>
                <w:bCs/>
                <w:snapToGrid w:val="0"/>
                <w:color w:val="auto"/>
                <w:kern w:val="21"/>
                <w:szCs w:val="21"/>
              </w:rPr>
            </w:pPr>
          </w:p>
        </w:tc>
        <w:tc>
          <w:tcPr>
            <w:tcW w:w="762" w:type="pct"/>
            <w:gridSpan w:val="2"/>
            <w:tcBorders>
              <w:top w:val="single" w:color="auto" w:sz="4" w:space="0"/>
              <w:bottom w:val="single" w:color="auto" w:sz="4" w:space="0"/>
            </w:tcBorders>
            <w:noWrap w:val="0"/>
            <w:vAlign w:val="center"/>
          </w:tcPr>
          <w:p w14:paraId="5C386A29">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废切削液</w:t>
            </w:r>
          </w:p>
        </w:tc>
        <w:tc>
          <w:tcPr>
            <w:tcW w:w="613" w:type="pct"/>
            <w:tcBorders>
              <w:top w:val="single" w:color="auto" w:sz="4" w:space="0"/>
              <w:bottom w:val="single" w:color="auto" w:sz="4" w:space="0"/>
            </w:tcBorders>
            <w:noWrap w:val="0"/>
            <w:vAlign w:val="center"/>
          </w:tcPr>
          <w:p w14:paraId="7E284A9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459" w:type="pct"/>
            <w:tcBorders>
              <w:top w:val="single" w:color="auto" w:sz="4" w:space="0"/>
              <w:bottom w:val="single" w:color="auto" w:sz="4" w:space="0"/>
            </w:tcBorders>
            <w:noWrap w:val="0"/>
            <w:vAlign w:val="center"/>
          </w:tcPr>
          <w:p w14:paraId="1A311140">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613" w:type="pct"/>
            <w:tcBorders>
              <w:top w:val="single" w:color="auto" w:sz="4" w:space="0"/>
              <w:bottom w:val="single" w:color="auto" w:sz="4" w:space="0"/>
            </w:tcBorders>
            <w:noWrap w:val="0"/>
            <w:vAlign w:val="center"/>
          </w:tcPr>
          <w:p w14:paraId="6488745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563" w:type="pct"/>
            <w:tcBorders>
              <w:top w:val="single" w:color="auto" w:sz="4" w:space="0"/>
              <w:bottom w:val="single" w:color="auto" w:sz="4" w:space="0"/>
            </w:tcBorders>
            <w:noWrap w:val="0"/>
            <w:vAlign w:val="center"/>
          </w:tcPr>
          <w:p w14:paraId="6FF5BB35">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1.5</w:t>
            </w:r>
          </w:p>
        </w:tc>
        <w:tc>
          <w:tcPr>
            <w:tcW w:w="636" w:type="pct"/>
            <w:tcBorders>
              <w:top w:val="single" w:color="auto" w:sz="4" w:space="0"/>
              <w:bottom w:val="single" w:color="auto" w:sz="4" w:space="0"/>
            </w:tcBorders>
            <w:noWrap w:val="0"/>
            <w:vAlign w:val="center"/>
          </w:tcPr>
          <w:p w14:paraId="6989F154">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807" w:type="dxa"/>
            <w:tcBorders>
              <w:top w:val="single" w:color="auto" w:sz="4" w:space="0"/>
              <w:bottom w:val="single" w:color="auto" w:sz="4" w:space="0"/>
            </w:tcBorders>
            <w:noWrap w:val="0"/>
            <w:vAlign w:val="center"/>
          </w:tcPr>
          <w:p w14:paraId="253FC1E1">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1.5</w:t>
            </w:r>
          </w:p>
        </w:tc>
        <w:tc>
          <w:tcPr>
            <w:tcW w:w="1098" w:type="dxa"/>
            <w:tcBorders>
              <w:top w:val="single" w:color="auto" w:sz="4" w:space="0"/>
              <w:bottom w:val="single" w:color="auto" w:sz="4" w:space="0"/>
              <w:right w:val="single" w:color="auto" w:sz="12" w:space="0"/>
            </w:tcBorders>
            <w:noWrap w:val="0"/>
            <w:vAlign w:val="center"/>
          </w:tcPr>
          <w:p w14:paraId="42F978ED">
            <w:pPr>
              <w:autoSpaceDE w:val="0"/>
              <w:autoSpaceDN w:val="0"/>
              <w:adjustRightInd w:val="0"/>
              <w:snapToGrid w:val="0"/>
              <w:jc w:val="center"/>
              <w:rPr>
                <w:rFonts w:hint="eastAsia"/>
                <w:color w:val="auto"/>
                <w:szCs w:val="21"/>
                <w:lang w:val="en-US" w:eastAsia="zh-CN"/>
              </w:rPr>
            </w:pPr>
            <w:r>
              <w:rPr>
                <w:rFonts w:hint="eastAsia"/>
                <w:color w:val="auto"/>
                <w:szCs w:val="21"/>
                <w:lang w:val="en-US" w:eastAsia="zh-CN"/>
              </w:rPr>
              <w:t>+1.5</w:t>
            </w:r>
          </w:p>
        </w:tc>
      </w:tr>
      <w:tr w14:paraId="53D6A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17" w:type="pct"/>
            <w:tcBorders>
              <w:left w:val="single" w:color="auto" w:sz="12" w:space="0"/>
              <w:right w:val="single" w:color="auto" w:sz="4" w:space="0"/>
            </w:tcBorders>
            <w:noWrap w:val="0"/>
            <w:vAlign w:val="center"/>
          </w:tcPr>
          <w:p w14:paraId="39E0655D">
            <w:pPr>
              <w:jc w:val="center"/>
              <w:rPr>
                <w:rFonts w:hint="default"/>
                <w:b w:val="0"/>
                <w:bCs/>
                <w:color w:val="auto"/>
                <w:szCs w:val="21"/>
                <w:lang w:val="en-US" w:eastAsia="zh-CN"/>
              </w:rPr>
            </w:pPr>
            <w:r>
              <w:rPr>
                <w:rFonts w:hint="eastAsia"/>
                <w:b w:val="0"/>
                <w:bCs/>
                <w:color w:val="auto"/>
                <w:szCs w:val="21"/>
                <w:lang w:val="en-US" w:eastAsia="zh-CN"/>
              </w:rPr>
              <w:t>/</w:t>
            </w:r>
          </w:p>
        </w:tc>
        <w:tc>
          <w:tcPr>
            <w:tcW w:w="762" w:type="pct"/>
            <w:gridSpan w:val="2"/>
            <w:tcBorders>
              <w:left w:val="single" w:color="auto" w:sz="4" w:space="0"/>
            </w:tcBorders>
            <w:noWrap w:val="0"/>
            <w:vAlign w:val="center"/>
          </w:tcPr>
          <w:p w14:paraId="56A7E779">
            <w:pPr>
              <w:jc w:val="center"/>
              <w:rPr>
                <w:rFonts w:hint="default"/>
                <w:color w:val="auto"/>
                <w:szCs w:val="21"/>
                <w:lang w:val="en-US" w:eastAsia="zh-CN"/>
              </w:rPr>
            </w:pPr>
            <w:r>
              <w:rPr>
                <w:rFonts w:hint="eastAsia"/>
                <w:color w:val="auto"/>
                <w:szCs w:val="21"/>
                <w:lang w:val="en-US" w:eastAsia="zh-CN"/>
              </w:rPr>
              <w:t>生活垃圾</w:t>
            </w:r>
          </w:p>
        </w:tc>
        <w:tc>
          <w:tcPr>
            <w:tcW w:w="613" w:type="pct"/>
            <w:tcBorders>
              <w:top w:val="single" w:color="auto" w:sz="4" w:space="0"/>
              <w:bottom w:val="single" w:color="auto" w:sz="4" w:space="0"/>
            </w:tcBorders>
            <w:noWrap w:val="0"/>
            <w:vAlign w:val="center"/>
          </w:tcPr>
          <w:p w14:paraId="6A5C61D0">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59" w:type="pct"/>
            <w:tcBorders>
              <w:top w:val="single" w:color="auto" w:sz="4" w:space="0"/>
              <w:bottom w:val="single" w:color="auto" w:sz="4" w:space="0"/>
            </w:tcBorders>
            <w:noWrap w:val="0"/>
            <w:vAlign w:val="center"/>
          </w:tcPr>
          <w:p w14:paraId="1251F0B6">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13" w:type="pct"/>
            <w:tcBorders>
              <w:top w:val="single" w:color="auto" w:sz="4" w:space="0"/>
              <w:bottom w:val="single" w:color="auto" w:sz="4" w:space="0"/>
            </w:tcBorders>
            <w:noWrap w:val="0"/>
            <w:vAlign w:val="center"/>
          </w:tcPr>
          <w:p w14:paraId="5DA0C11C">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63" w:type="pct"/>
            <w:tcBorders>
              <w:top w:val="single" w:color="auto" w:sz="4" w:space="0"/>
              <w:bottom w:val="single" w:color="auto" w:sz="4" w:space="0"/>
            </w:tcBorders>
            <w:noWrap w:val="0"/>
            <w:vAlign w:val="center"/>
          </w:tcPr>
          <w:p w14:paraId="6C70C0DF">
            <w:pPr>
              <w:jc w:val="center"/>
              <w:rPr>
                <w:rFonts w:hint="default"/>
                <w:color w:val="auto"/>
                <w:szCs w:val="21"/>
                <w:lang w:val="en-US" w:eastAsia="zh-CN"/>
              </w:rPr>
            </w:pPr>
            <w:r>
              <w:rPr>
                <w:rFonts w:hint="eastAsia"/>
                <w:color w:val="auto"/>
                <w:szCs w:val="21"/>
                <w:lang w:val="en-US" w:eastAsia="zh-CN"/>
              </w:rPr>
              <w:t>3</w:t>
            </w:r>
          </w:p>
        </w:tc>
        <w:tc>
          <w:tcPr>
            <w:tcW w:w="636" w:type="pct"/>
            <w:tcBorders>
              <w:top w:val="single" w:color="auto" w:sz="4" w:space="0"/>
              <w:bottom w:val="single" w:color="auto" w:sz="4" w:space="0"/>
            </w:tcBorders>
            <w:noWrap w:val="0"/>
            <w:vAlign w:val="center"/>
          </w:tcPr>
          <w:p w14:paraId="26B13843">
            <w:pPr>
              <w:pStyle w:val="4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807" w:type="dxa"/>
            <w:tcBorders>
              <w:top w:val="single" w:color="auto" w:sz="4" w:space="0"/>
              <w:bottom w:val="single" w:color="auto" w:sz="4" w:space="0"/>
            </w:tcBorders>
            <w:noWrap w:val="0"/>
            <w:vAlign w:val="center"/>
          </w:tcPr>
          <w:p w14:paraId="01E2CB3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1098" w:type="dxa"/>
            <w:tcBorders>
              <w:top w:val="single" w:color="auto" w:sz="4" w:space="0"/>
              <w:bottom w:val="single" w:color="auto" w:sz="4" w:space="0"/>
              <w:right w:val="single" w:color="auto" w:sz="12" w:space="0"/>
            </w:tcBorders>
            <w:noWrap w:val="0"/>
            <w:vAlign w:val="center"/>
          </w:tcPr>
          <w:p w14:paraId="1194B10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r>
    </w:tbl>
    <w:p w14:paraId="7551C803">
      <w:pPr>
        <w:pStyle w:val="41"/>
        <w:spacing w:before="192" w:beforeLines="80" w:after="24"/>
        <w:jc w:val="left"/>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注：</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6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⑥</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1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①</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3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③</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4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④</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5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⑤</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7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⑦</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6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⑥</w:t>
      </w:r>
      <w:r>
        <w:rPr>
          <w:rFonts w:ascii="Times New Roman" w:hAnsi="Times New Roman" w:eastAsia="宋体" w:cs="Times New Roman"/>
          <w:snapToGrid w:val="0"/>
          <w:color w:val="auto"/>
          <w:kern w:val="21"/>
          <w:szCs w:val="21"/>
        </w:rPr>
        <w:fldChar w:fldCharType="end"/>
      </w:r>
      <w:r>
        <w:rPr>
          <w:rFonts w:ascii="Times New Roman" w:hAnsi="Times New Roman" w:eastAsia="宋体" w:cs="Times New Roman"/>
          <w:snapToGrid w:val="0"/>
          <w:color w:val="auto"/>
          <w:kern w:val="21"/>
          <w:szCs w:val="21"/>
        </w:rPr>
        <w:t>-</w:t>
      </w:r>
      <w:r>
        <w:rPr>
          <w:rFonts w:ascii="Times New Roman" w:hAnsi="Times New Roman" w:eastAsia="宋体" w:cs="Times New Roman"/>
          <w:snapToGrid w:val="0"/>
          <w:color w:val="auto"/>
          <w:kern w:val="21"/>
          <w:szCs w:val="21"/>
        </w:rPr>
        <w:fldChar w:fldCharType="begin"/>
      </w:r>
      <w:r>
        <w:rPr>
          <w:rFonts w:ascii="Times New Roman" w:hAnsi="Times New Roman" w:eastAsia="宋体" w:cs="Times New Roman"/>
          <w:snapToGrid w:val="0"/>
          <w:color w:val="auto"/>
          <w:kern w:val="21"/>
          <w:szCs w:val="21"/>
        </w:rPr>
        <w:instrText xml:space="preserve"> = 1 \* GB3 \* MERGEFORMAT </w:instrText>
      </w:r>
      <w:r>
        <w:rPr>
          <w:rFonts w:ascii="Times New Roman" w:hAnsi="Times New Roman" w:eastAsia="宋体" w:cs="Times New Roman"/>
          <w:snapToGrid w:val="0"/>
          <w:color w:val="auto"/>
          <w:kern w:val="21"/>
          <w:szCs w:val="21"/>
        </w:rPr>
        <w:fldChar w:fldCharType="separate"/>
      </w:r>
      <w:r>
        <w:rPr>
          <w:rFonts w:hint="eastAsia" w:ascii="Times New Roman" w:hAnsi="Times New Roman" w:eastAsia="宋体" w:cs="Times New Roman"/>
          <w:snapToGrid w:val="0"/>
          <w:color w:val="auto"/>
          <w:kern w:val="21"/>
          <w:szCs w:val="21"/>
        </w:rPr>
        <w:t>①</w:t>
      </w:r>
      <w:r>
        <w:rPr>
          <w:rFonts w:ascii="Times New Roman" w:hAnsi="Times New Roman" w:eastAsia="宋体" w:cs="Times New Roman"/>
          <w:snapToGrid w:val="0"/>
          <w:color w:val="auto"/>
          <w:kern w:val="21"/>
          <w:szCs w:val="21"/>
        </w:rPr>
        <w:fldChar w:fldCharType="end"/>
      </w:r>
      <w:r>
        <w:rPr>
          <w:rFonts w:hint="eastAsia" w:ascii="Times New Roman" w:hAnsi="Times New Roman" w:eastAsia="宋体" w:cs="Times New Roman"/>
          <w:snapToGrid w:val="0"/>
          <w:color w:val="auto"/>
          <w:kern w:val="21"/>
          <w:szCs w:val="21"/>
        </w:rPr>
        <w:t>。</w:t>
      </w:r>
    </w:p>
    <w:sectPr>
      <w:footerReference r:id="rId10" w:type="default"/>
      <w:pgSz w:w="16838" w:h="11906" w:orient="landscape"/>
      <w:pgMar w:top="1417" w:right="1417" w:bottom="1417" w:left="1417"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锦绣宋体">
    <w:altName w:val="宋体"/>
    <w:panose1 w:val="02000503000000000000"/>
    <w:charset w:val="86"/>
    <w:family w:val="auto"/>
    <w:pitch w:val="default"/>
    <w:sig w:usb0="00000000" w:usb1="00000000" w:usb2="00000012" w:usb3="00000000" w:csb0="00040001"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FangSong_GB2312">
    <w:altName w:val="仿宋"/>
    <w:panose1 w:val="02010609060101010101"/>
    <w:charset w:val="86"/>
    <w:family w:val="modern"/>
    <w:pitch w:val="default"/>
    <w:sig w:usb0="00000000" w:usb1="00000000"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Arial Unicode MS"/>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98AF1">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A7CE5">
    <w:pPr>
      <w:pStyle w:val="15"/>
      <w:framePr w:wrap="around" w:vAnchor="text" w:hAnchor="margin" w:xAlign="center" w:y="1"/>
      <w:rPr>
        <w:rStyle w:val="29"/>
      </w:rPr>
    </w:pPr>
    <w:r>
      <w:fldChar w:fldCharType="begin"/>
    </w:r>
    <w:r>
      <w:rPr>
        <w:rStyle w:val="29"/>
      </w:rPr>
      <w:instrText xml:space="preserve">PAGE  </w:instrText>
    </w:r>
    <w:r>
      <w:fldChar w:fldCharType="end"/>
    </w:r>
  </w:p>
  <w:p w14:paraId="4C62483D">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E22B5">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415DD">
    <w:pPr>
      <w:pStyle w:val="15"/>
      <w:ind w:right="360" w:firstLine="360"/>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F57CA">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6AF57CA">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46DE">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BED4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240BED4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7ACA">
    <w:pPr>
      <w:pStyle w:val="1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F0DA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B6F0DA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6906">
    <w:pPr>
      <w:pStyle w:val="15"/>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B2AD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079B2AD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F8EE">
    <w:pPr>
      <w:pStyle w:val="15"/>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04202">
                          <w:pPr>
                            <w:pStyle w:val="1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24604202">
                    <w:pPr>
                      <w:pStyle w:val="1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7BD86"/>
    <w:multiLevelType w:val="singleLevel"/>
    <w:tmpl w:val="8147BD86"/>
    <w:lvl w:ilvl="0" w:tentative="0">
      <w:start w:val="5"/>
      <w:numFmt w:val="decimal"/>
      <w:suff w:val="nothing"/>
      <w:lvlText w:val="（%1）"/>
      <w:lvlJc w:val="left"/>
    </w:lvl>
  </w:abstractNum>
  <w:abstractNum w:abstractNumId="1">
    <w:nsid w:val="B71BD6BF"/>
    <w:multiLevelType w:val="singleLevel"/>
    <w:tmpl w:val="B71BD6BF"/>
    <w:lvl w:ilvl="0" w:tentative="0">
      <w:start w:val="1"/>
      <w:numFmt w:val="decimal"/>
      <w:suff w:val="nothing"/>
      <w:lvlText w:val="%1、"/>
      <w:lvlJc w:val="left"/>
    </w:lvl>
  </w:abstractNum>
  <w:abstractNum w:abstractNumId="2">
    <w:nsid w:val="EEDB2C0D"/>
    <w:multiLevelType w:val="singleLevel"/>
    <w:tmpl w:val="EEDB2C0D"/>
    <w:lvl w:ilvl="0" w:tentative="0">
      <w:start w:val="1"/>
      <w:numFmt w:val="decimal"/>
      <w:suff w:val="nothing"/>
      <w:lvlText w:val="%1）"/>
      <w:lvlJc w:val="left"/>
    </w:lvl>
  </w:abstractNum>
  <w:abstractNum w:abstractNumId="3">
    <w:nsid w:val="FDD2F0ED"/>
    <w:multiLevelType w:val="singleLevel"/>
    <w:tmpl w:val="FDD2F0ED"/>
    <w:lvl w:ilvl="0" w:tentative="0">
      <w:start w:val="1"/>
      <w:numFmt w:val="decimal"/>
      <w:suff w:val="nothing"/>
      <w:lvlText w:val="%1）"/>
      <w:lvlJc w:val="left"/>
    </w:lvl>
  </w:abstractNum>
  <w:abstractNum w:abstractNumId="4">
    <w:nsid w:val="2389B4A1"/>
    <w:multiLevelType w:val="singleLevel"/>
    <w:tmpl w:val="2389B4A1"/>
    <w:lvl w:ilvl="0" w:tentative="0">
      <w:start w:val="5"/>
      <w:numFmt w:val="decimal"/>
      <w:suff w:val="nothing"/>
      <w:lvlText w:val="（%1）"/>
      <w:lvlJc w:val="left"/>
    </w:lvl>
  </w:abstractNum>
  <w:abstractNum w:abstractNumId="5">
    <w:nsid w:val="28097282"/>
    <w:multiLevelType w:val="singleLevel"/>
    <w:tmpl w:val="28097282"/>
    <w:lvl w:ilvl="0" w:tentative="0">
      <w:start w:val="2"/>
      <w:numFmt w:val="decimal"/>
      <w:suff w:val="nothing"/>
      <w:lvlText w:val="%1、"/>
      <w:lvlJc w:val="left"/>
    </w:lvl>
  </w:abstractNum>
  <w:abstractNum w:abstractNumId="6">
    <w:nsid w:val="2884B507"/>
    <w:multiLevelType w:val="singleLevel"/>
    <w:tmpl w:val="2884B507"/>
    <w:lvl w:ilvl="0" w:tentative="0">
      <w:start w:val="2"/>
      <w:numFmt w:val="decimal"/>
      <w:suff w:val="nothing"/>
      <w:lvlText w:val="%1、"/>
      <w:lvlJc w:val="left"/>
    </w:lvl>
  </w:abstractNum>
  <w:abstractNum w:abstractNumId="7">
    <w:nsid w:val="3380370E"/>
    <w:multiLevelType w:val="singleLevel"/>
    <w:tmpl w:val="3380370E"/>
    <w:lvl w:ilvl="0" w:tentative="0">
      <w:start w:val="4"/>
      <w:numFmt w:val="decimal"/>
      <w:suff w:val="nothing"/>
      <w:lvlText w:val="%1、"/>
      <w:lvlJc w:val="left"/>
    </w:lvl>
  </w:abstractNum>
  <w:abstractNum w:abstractNumId="8">
    <w:nsid w:val="682B486F"/>
    <w:multiLevelType w:val="singleLevel"/>
    <w:tmpl w:val="682B486F"/>
    <w:lvl w:ilvl="0" w:tentative="0">
      <w:start w:val="1"/>
      <w:numFmt w:val="decimal"/>
      <w:lvlText w:val="%1."/>
      <w:lvlJc w:val="left"/>
      <w:pPr>
        <w:tabs>
          <w:tab w:val="left" w:pos="312"/>
        </w:tabs>
      </w:pPr>
    </w:lvl>
  </w:abstractNum>
  <w:abstractNum w:abstractNumId="9">
    <w:nsid w:val="772A1FE0"/>
    <w:multiLevelType w:val="singleLevel"/>
    <w:tmpl w:val="772A1FE0"/>
    <w:lvl w:ilvl="0" w:tentative="0">
      <w:start w:val="1"/>
      <w:numFmt w:val="decimal"/>
      <w:lvlText w:val="%1."/>
      <w:lvlJc w:val="left"/>
      <w:pPr>
        <w:tabs>
          <w:tab w:val="left" w:pos="312"/>
        </w:tabs>
      </w:pPr>
    </w:lvl>
  </w:abstractNum>
  <w:num w:numId="1">
    <w:abstractNumId w:val="1"/>
  </w:num>
  <w:num w:numId="2">
    <w:abstractNumId w:val="9"/>
  </w:num>
  <w:num w:numId="3">
    <w:abstractNumId w:val="8"/>
  </w:num>
  <w:num w:numId="4">
    <w:abstractNumId w:val="3"/>
  </w:num>
  <w:num w:numId="5">
    <w:abstractNumId w:val="0"/>
  </w:num>
  <w:num w:numId="6">
    <w:abstractNumId w:val="2"/>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hZWRiNzY5MDJiNjk4MDBjNDdhZjlhZWY2MmRmZjUifQ=="/>
  </w:docVars>
  <w:rsids>
    <w:rsidRoot w:val="00172A27"/>
    <w:rsid w:val="000C26C8"/>
    <w:rsid w:val="00164C26"/>
    <w:rsid w:val="0018099E"/>
    <w:rsid w:val="001A2968"/>
    <w:rsid w:val="00225EBA"/>
    <w:rsid w:val="002410F1"/>
    <w:rsid w:val="0024736B"/>
    <w:rsid w:val="002731F5"/>
    <w:rsid w:val="002B06D1"/>
    <w:rsid w:val="002B1F2C"/>
    <w:rsid w:val="003C55B4"/>
    <w:rsid w:val="004672B9"/>
    <w:rsid w:val="00496DA9"/>
    <w:rsid w:val="004B0D73"/>
    <w:rsid w:val="004B48CF"/>
    <w:rsid w:val="005214EA"/>
    <w:rsid w:val="006026C1"/>
    <w:rsid w:val="0065409C"/>
    <w:rsid w:val="006E05BE"/>
    <w:rsid w:val="00712A2F"/>
    <w:rsid w:val="007937B0"/>
    <w:rsid w:val="007F0A1D"/>
    <w:rsid w:val="008E5287"/>
    <w:rsid w:val="00977B14"/>
    <w:rsid w:val="009A7605"/>
    <w:rsid w:val="009E0D18"/>
    <w:rsid w:val="009F3F5F"/>
    <w:rsid w:val="00A139CE"/>
    <w:rsid w:val="00AB1812"/>
    <w:rsid w:val="00AB35C0"/>
    <w:rsid w:val="00AE30B0"/>
    <w:rsid w:val="00CD1788"/>
    <w:rsid w:val="00DF7788"/>
    <w:rsid w:val="00E0770D"/>
    <w:rsid w:val="00E645F8"/>
    <w:rsid w:val="00E952EC"/>
    <w:rsid w:val="00EE408B"/>
    <w:rsid w:val="00EE4160"/>
    <w:rsid w:val="00FE0429"/>
    <w:rsid w:val="01044658"/>
    <w:rsid w:val="0107551F"/>
    <w:rsid w:val="010D7DD7"/>
    <w:rsid w:val="01213882"/>
    <w:rsid w:val="01251E99"/>
    <w:rsid w:val="01255120"/>
    <w:rsid w:val="012A0989"/>
    <w:rsid w:val="01374E54"/>
    <w:rsid w:val="01416B04"/>
    <w:rsid w:val="014916F6"/>
    <w:rsid w:val="014925F1"/>
    <w:rsid w:val="014E2256"/>
    <w:rsid w:val="01510DA4"/>
    <w:rsid w:val="01536654"/>
    <w:rsid w:val="015B2551"/>
    <w:rsid w:val="01794CF3"/>
    <w:rsid w:val="017F5714"/>
    <w:rsid w:val="01810E54"/>
    <w:rsid w:val="019B61DE"/>
    <w:rsid w:val="01A22C15"/>
    <w:rsid w:val="01AD2E1B"/>
    <w:rsid w:val="01B70956"/>
    <w:rsid w:val="01C622AF"/>
    <w:rsid w:val="01C963F3"/>
    <w:rsid w:val="01DA5E9C"/>
    <w:rsid w:val="01DE468D"/>
    <w:rsid w:val="01E1546E"/>
    <w:rsid w:val="01E4388F"/>
    <w:rsid w:val="01E44FDB"/>
    <w:rsid w:val="01EC3E90"/>
    <w:rsid w:val="01EE19B6"/>
    <w:rsid w:val="02030D37"/>
    <w:rsid w:val="020B4CCA"/>
    <w:rsid w:val="02146199"/>
    <w:rsid w:val="021C29C7"/>
    <w:rsid w:val="021F4265"/>
    <w:rsid w:val="02274EC8"/>
    <w:rsid w:val="02311EFB"/>
    <w:rsid w:val="024A0BB7"/>
    <w:rsid w:val="024E0175"/>
    <w:rsid w:val="02555670"/>
    <w:rsid w:val="02572DDA"/>
    <w:rsid w:val="025811AF"/>
    <w:rsid w:val="025D78EC"/>
    <w:rsid w:val="025E09ED"/>
    <w:rsid w:val="026E4B58"/>
    <w:rsid w:val="026E6F9B"/>
    <w:rsid w:val="02783976"/>
    <w:rsid w:val="027A149C"/>
    <w:rsid w:val="0281282A"/>
    <w:rsid w:val="028B18FB"/>
    <w:rsid w:val="028D5673"/>
    <w:rsid w:val="028D7421"/>
    <w:rsid w:val="02906F11"/>
    <w:rsid w:val="029C7664"/>
    <w:rsid w:val="029F53A6"/>
    <w:rsid w:val="02B013E2"/>
    <w:rsid w:val="02B26E88"/>
    <w:rsid w:val="02B32C00"/>
    <w:rsid w:val="02B41188"/>
    <w:rsid w:val="02B8498E"/>
    <w:rsid w:val="02D05560"/>
    <w:rsid w:val="02D212D8"/>
    <w:rsid w:val="02D432A2"/>
    <w:rsid w:val="02DB5ED1"/>
    <w:rsid w:val="02DD2D8B"/>
    <w:rsid w:val="02E1151B"/>
    <w:rsid w:val="02E90BCF"/>
    <w:rsid w:val="02EB4148"/>
    <w:rsid w:val="02ED1C6E"/>
    <w:rsid w:val="02EF1DD4"/>
    <w:rsid w:val="02FF797D"/>
    <w:rsid w:val="03013A68"/>
    <w:rsid w:val="03030BB2"/>
    <w:rsid w:val="0313544C"/>
    <w:rsid w:val="031575B9"/>
    <w:rsid w:val="03195159"/>
    <w:rsid w:val="0331568B"/>
    <w:rsid w:val="03316FA1"/>
    <w:rsid w:val="033220A6"/>
    <w:rsid w:val="03367AB9"/>
    <w:rsid w:val="033811D1"/>
    <w:rsid w:val="033813E9"/>
    <w:rsid w:val="0338470D"/>
    <w:rsid w:val="033F4190"/>
    <w:rsid w:val="03463A74"/>
    <w:rsid w:val="03595555"/>
    <w:rsid w:val="035A33BD"/>
    <w:rsid w:val="0365214C"/>
    <w:rsid w:val="03724869"/>
    <w:rsid w:val="03761410"/>
    <w:rsid w:val="03782724"/>
    <w:rsid w:val="037C7FE0"/>
    <w:rsid w:val="037D56E7"/>
    <w:rsid w:val="0382122E"/>
    <w:rsid w:val="038C76D9"/>
    <w:rsid w:val="03993BA4"/>
    <w:rsid w:val="039B3DC0"/>
    <w:rsid w:val="03AD58A1"/>
    <w:rsid w:val="03AF33C7"/>
    <w:rsid w:val="03B510E0"/>
    <w:rsid w:val="03BF299A"/>
    <w:rsid w:val="03CA1FAF"/>
    <w:rsid w:val="03D874DC"/>
    <w:rsid w:val="03FA6D38"/>
    <w:rsid w:val="040A12B6"/>
    <w:rsid w:val="04114082"/>
    <w:rsid w:val="041651F4"/>
    <w:rsid w:val="04194CE4"/>
    <w:rsid w:val="041B6CAE"/>
    <w:rsid w:val="042F1187"/>
    <w:rsid w:val="042F54BC"/>
    <w:rsid w:val="0442138C"/>
    <w:rsid w:val="04477AA3"/>
    <w:rsid w:val="044E2BE0"/>
    <w:rsid w:val="0455536E"/>
    <w:rsid w:val="04581CB1"/>
    <w:rsid w:val="045F10C4"/>
    <w:rsid w:val="046441B2"/>
    <w:rsid w:val="046B5540"/>
    <w:rsid w:val="046C3066"/>
    <w:rsid w:val="046E5160"/>
    <w:rsid w:val="04722D72"/>
    <w:rsid w:val="04787BD2"/>
    <w:rsid w:val="04875B1C"/>
    <w:rsid w:val="049251C3"/>
    <w:rsid w:val="049367C7"/>
    <w:rsid w:val="04A405FB"/>
    <w:rsid w:val="04A66578"/>
    <w:rsid w:val="04BB7326"/>
    <w:rsid w:val="04BD7D66"/>
    <w:rsid w:val="04BE6315"/>
    <w:rsid w:val="04CC1D57"/>
    <w:rsid w:val="04CD7FA9"/>
    <w:rsid w:val="04D706D5"/>
    <w:rsid w:val="04FC7ABE"/>
    <w:rsid w:val="050051AF"/>
    <w:rsid w:val="05006EC3"/>
    <w:rsid w:val="05015EA4"/>
    <w:rsid w:val="050704DC"/>
    <w:rsid w:val="050921C0"/>
    <w:rsid w:val="050E411D"/>
    <w:rsid w:val="05120CA5"/>
    <w:rsid w:val="051C683A"/>
    <w:rsid w:val="051F05CD"/>
    <w:rsid w:val="051F577C"/>
    <w:rsid w:val="052971A9"/>
    <w:rsid w:val="052F5F7E"/>
    <w:rsid w:val="0530678A"/>
    <w:rsid w:val="05377B18"/>
    <w:rsid w:val="05381FA9"/>
    <w:rsid w:val="053C139F"/>
    <w:rsid w:val="053E0EA6"/>
    <w:rsid w:val="0547634E"/>
    <w:rsid w:val="0552522D"/>
    <w:rsid w:val="055A7363"/>
    <w:rsid w:val="056703FD"/>
    <w:rsid w:val="057A17B3"/>
    <w:rsid w:val="05834B0B"/>
    <w:rsid w:val="058624A1"/>
    <w:rsid w:val="058770E8"/>
    <w:rsid w:val="058F1D80"/>
    <w:rsid w:val="05941AB2"/>
    <w:rsid w:val="059C31DE"/>
    <w:rsid w:val="059D0625"/>
    <w:rsid w:val="05A675C7"/>
    <w:rsid w:val="05AB7BBE"/>
    <w:rsid w:val="05AD4401"/>
    <w:rsid w:val="05B04764"/>
    <w:rsid w:val="05B11678"/>
    <w:rsid w:val="05B20F4D"/>
    <w:rsid w:val="05B22460"/>
    <w:rsid w:val="05C82BFA"/>
    <w:rsid w:val="05D2339D"/>
    <w:rsid w:val="05D53323"/>
    <w:rsid w:val="05DE0DC7"/>
    <w:rsid w:val="05EE467B"/>
    <w:rsid w:val="06074566"/>
    <w:rsid w:val="06125347"/>
    <w:rsid w:val="06135F66"/>
    <w:rsid w:val="06147E59"/>
    <w:rsid w:val="06180C01"/>
    <w:rsid w:val="061D6D0E"/>
    <w:rsid w:val="062277B0"/>
    <w:rsid w:val="06293905"/>
    <w:rsid w:val="06345E06"/>
    <w:rsid w:val="064946DD"/>
    <w:rsid w:val="064C2175"/>
    <w:rsid w:val="064E336B"/>
    <w:rsid w:val="06585F98"/>
    <w:rsid w:val="06606BFB"/>
    <w:rsid w:val="06677F89"/>
    <w:rsid w:val="066E070B"/>
    <w:rsid w:val="066F5090"/>
    <w:rsid w:val="06734B80"/>
    <w:rsid w:val="067803E8"/>
    <w:rsid w:val="067A5F0E"/>
    <w:rsid w:val="06835EC3"/>
    <w:rsid w:val="06894711"/>
    <w:rsid w:val="068D6FBF"/>
    <w:rsid w:val="068F3F76"/>
    <w:rsid w:val="069331B4"/>
    <w:rsid w:val="06A071E8"/>
    <w:rsid w:val="06AB256C"/>
    <w:rsid w:val="06AD62E4"/>
    <w:rsid w:val="06BA3CB2"/>
    <w:rsid w:val="06BD5DFB"/>
    <w:rsid w:val="06C47189"/>
    <w:rsid w:val="06D04A35"/>
    <w:rsid w:val="06D53145"/>
    <w:rsid w:val="06DC2725"/>
    <w:rsid w:val="06E45A7E"/>
    <w:rsid w:val="06EB2968"/>
    <w:rsid w:val="06EC048E"/>
    <w:rsid w:val="06EE4206"/>
    <w:rsid w:val="0708699F"/>
    <w:rsid w:val="070E6657"/>
    <w:rsid w:val="07106510"/>
    <w:rsid w:val="07124399"/>
    <w:rsid w:val="07280341"/>
    <w:rsid w:val="072B0FB7"/>
    <w:rsid w:val="072E58CA"/>
    <w:rsid w:val="072F4F4B"/>
    <w:rsid w:val="07316475"/>
    <w:rsid w:val="073C31C4"/>
    <w:rsid w:val="074402CA"/>
    <w:rsid w:val="07442078"/>
    <w:rsid w:val="074811D5"/>
    <w:rsid w:val="074849DB"/>
    <w:rsid w:val="074D1EF7"/>
    <w:rsid w:val="07506C6F"/>
    <w:rsid w:val="07510C0B"/>
    <w:rsid w:val="07524795"/>
    <w:rsid w:val="075524D7"/>
    <w:rsid w:val="07564CBC"/>
    <w:rsid w:val="07585B24"/>
    <w:rsid w:val="075E6BFD"/>
    <w:rsid w:val="07610E7C"/>
    <w:rsid w:val="07634D60"/>
    <w:rsid w:val="07687E8F"/>
    <w:rsid w:val="077000CA"/>
    <w:rsid w:val="077C7A64"/>
    <w:rsid w:val="078408F3"/>
    <w:rsid w:val="07840B91"/>
    <w:rsid w:val="07967C3D"/>
    <w:rsid w:val="07972AF0"/>
    <w:rsid w:val="07A25A8C"/>
    <w:rsid w:val="07AA0863"/>
    <w:rsid w:val="07AA2823"/>
    <w:rsid w:val="07AD3016"/>
    <w:rsid w:val="07B30001"/>
    <w:rsid w:val="07C733D5"/>
    <w:rsid w:val="07CA1271"/>
    <w:rsid w:val="07DE427B"/>
    <w:rsid w:val="07DE5EF1"/>
    <w:rsid w:val="07E01DA1"/>
    <w:rsid w:val="07E86197"/>
    <w:rsid w:val="07E927DE"/>
    <w:rsid w:val="07EA70C4"/>
    <w:rsid w:val="07EF745B"/>
    <w:rsid w:val="07F97307"/>
    <w:rsid w:val="08011170"/>
    <w:rsid w:val="08031F33"/>
    <w:rsid w:val="08036419"/>
    <w:rsid w:val="0808754A"/>
    <w:rsid w:val="08167EB9"/>
    <w:rsid w:val="081C271B"/>
    <w:rsid w:val="08206641"/>
    <w:rsid w:val="08220B22"/>
    <w:rsid w:val="0822685D"/>
    <w:rsid w:val="082C5668"/>
    <w:rsid w:val="082E5202"/>
    <w:rsid w:val="08316AA1"/>
    <w:rsid w:val="08346748"/>
    <w:rsid w:val="08397703"/>
    <w:rsid w:val="08493DEA"/>
    <w:rsid w:val="084B79DF"/>
    <w:rsid w:val="08502504"/>
    <w:rsid w:val="08566507"/>
    <w:rsid w:val="085F360E"/>
    <w:rsid w:val="0870581B"/>
    <w:rsid w:val="087150EF"/>
    <w:rsid w:val="087E461F"/>
    <w:rsid w:val="0882008E"/>
    <w:rsid w:val="088272FC"/>
    <w:rsid w:val="089278A5"/>
    <w:rsid w:val="0895702F"/>
    <w:rsid w:val="08986B20"/>
    <w:rsid w:val="08A13C26"/>
    <w:rsid w:val="08AE1830"/>
    <w:rsid w:val="08B464F2"/>
    <w:rsid w:val="08BF5E5A"/>
    <w:rsid w:val="08C2594B"/>
    <w:rsid w:val="08C30964"/>
    <w:rsid w:val="08C3497B"/>
    <w:rsid w:val="08C6543B"/>
    <w:rsid w:val="08CE1B6C"/>
    <w:rsid w:val="08D12032"/>
    <w:rsid w:val="08EA787E"/>
    <w:rsid w:val="08EF3D5E"/>
    <w:rsid w:val="08F57ACE"/>
    <w:rsid w:val="09055806"/>
    <w:rsid w:val="09287EA3"/>
    <w:rsid w:val="0934251E"/>
    <w:rsid w:val="09371E95"/>
    <w:rsid w:val="0937305E"/>
    <w:rsid w:val="09385C0D"/>
    <w:rsid w:val="09440A55"/>
    <w:rsid w:val="09474203"/>
    <w:rsid w:val="0949606C"/>
    <w:rsid w:val="094972FA"/>
    <w:rsid w:val="094C7AC0"/>
    <w:rsid w:val="095078CC"/>
    <w:rsid w:val="096A00FE"/>
    <w:rsid w:val="096F28CC"/>
    <w:rsid w:val="0970184A"/>
    <w:rsid w:val="09776735"/>
    <w:rsid w:val="097A0BC6"/>
    <w:rsid w:val="097B739A"/>
    <w:rsid w:val="098E1A6C"/>
    <w:rsid w:val="098E3788"/>
    <w:rsid w:val="09946486"/>
    <w:rsid w:val="09A80FE4"/>
    <w:rsid w:val="09AD6CEE"/>
    <w:rsid w:val="09B073B0"/>
    <w:rsid w:val="09B434E5"/>
    <w:rsid w:val="09B70DE6"/>
    <w:rsid w:val="09B72FD5"/>
    <w:rsid w:val="09C82713"/>
    <w:rsid w:val="09CF031F"/>
    <w:rsid w:val="09D04097"/>
    <w:rsid w:val="09E518F1"/>
    <w:rsid w:val="09E65669"/>
    <w:rsid w:val="09F01CB4"/>
    <w:rsid w:val="09F735E9"/>
    <w:rsid w:val="0A083831"/>
    <w:rsid w:val="0A090137"/>
    <w:rsid w:val="0A0C75CE"/>
    <w:rsid w:val="0A165F4E"/>
    <w:rsid w:val="0A1E12A6"/>
    <w:rsid w:val="0A23066B"/>
    <w:rsid w:val="0A2A1764"/>
    <w:rsid w:val="0A2A19F9"/>
    <w:rsid w:val="0A2D14EA"/>
    <w:rsid w:val="0A355BF7"/>
    <w:rsid w:val="0A3D4E9E"/>
    <w:rsid w:val="0A434869"/>
    <w:rsid w:val="0A4C1970"/>
    <w:rsid w:val="0A5F67C4"/>
    <w:rsid w:val="0A60366D"/>
    <w:rsid w:val="0A634F0B"/>
    <w:rsid w:val="0A7B12A8"/>
    <w:rsid w:val="0A8A459E"/>
    <w:rsid w:val="0A8F226A"/>
    <w:rsid w:val="0A93759F"/>
    <w:rsid w:val="0A95202C"/>
    <w:rsid w:val="0A9F4195"/>
    <w:rsid w:val="0AA23C86"/>
    <w:rsid w:val="0AB279DC"/>
    <w:rsid w:val="0AB81C23"/>
    <w:rsid w:val="0AB85257"/>
    <w:rsid w:val="0AC77CDC"/>
    <w:rsid w:val="0AC92C1F"/>
    <w:rsid w:val="0ACA0AE6"/>
    <w:rsid w:val="0AD135B5"/>
    <w:rsid w:val="0AD7387D"/>
    <w:rsid w:val="0ADF4592"/>
    <w:rsid w:val="0AE3727E"/>
    <w:rsid w:val="0AF02C43"/>
    <w:rsid w:val="0AF3003D"/>
    <w:rsid w:val="0AFD710E"/>
    <w:rsid w:val="0B0264D2"/>
    <w:rsid w:val="0B092A8A"/>
    <w:rsid w:val="0B114967"/>
    <w:rsid w:val="0B136CF4"/>
    <w:rsid w:val="0B1701D0"/>
    <w:rsid w:val="0B1775DA"/>
    <w:rsid w:val="0B1A381C"/>
    <w:rsid w:val="0B1A7CC0"/>
    <w:rsid w:val="0B3930BF"/>
    <w:rsid w:val="0B3A5C6C"/>
    <w:rsid w:val="0B3C11A9"/>
    <w:rsid w:val="0B406046"/>
    <w:rsid w:val="0B492353"/>
    <w:rsid w:val="0B52474C"/>
    <w:rsid w:val="0B660F2D"/>
    <w:rsid w:val="0B662F05"/>
    <w:rsid w:val="0B6E638C"/>
    <w:rsid w:val="0B745622"/>
    <w:rsid w:val="0B7C44D7"/>
    <w:rsid w:val="0B8169C9"/>
    <w:rsid w:val="0B9C3825"/>
    <w:rsid w:val="0B9F1F73"/>
    <w:rsid w:val="0BA8707A"/>
    <w:rsid w:val="0BAF6137"/>
    <w:rsid w:val="0BCE492F"/>
    <w:rsid w:val="0BD065D0"/>
    <w:rsid w:val="0BE107DE"/>
    <w:rsid w:val="0BEB51B8"/>
    <w:rsid w:val="0BEE4317"/>
    <w:rsid w:val="0BEF455D"/>
    <w:rsid w:val="0BF26547"/>
    <w:rsid w:val="0BFF137E"/>
    <w:rsid w:val="0BFF2A12"/>
    <w:rsid w:val="0C0B13B7"/>
    <w:rsid w:val="0C144DE8"/>
    <w:rsid w:val="0C213182"/>
    <w:rsid w:val="0C277824"/>
    <w:rsid w:val="0C2D757F"/>
    <w:rsid w:val="0C30706F"/>
    <w:rsid w:val="0C3502F0"/>
    <w:rsid w:val="0C351AA8"/>
    <w:rsid w:val="0C360B29"/>
    <w:rsid w:val="0C3E353A"/>
    <w:rsid w:val="0C40090B"/>
    <w:rsid w:val="0C40339E"/>
    <w:rsid w:val="0C450D6C"/>
    <w:rsid w:val="0C525237"/>
    <w:rsid w:val="0C605BA6"/>
    <w:rsid w:val="0C655C90"/>
    <w:rsid w:val="0C767BF7"/>
    <w:rsid w:val="0C7E65A6"/>
    <w:rsid w:val="0C83197D"/>
    <w:rsid w:val="0C853374"/>
    <w:rsid w:val="0C8E5F3E"/>
    <w:rsid w:val="0C93244B"/>
    <w:rsid w:val="0C9B098C"/>
    <w:rsid w:val="0CA27F6D"/>
    <w:rsid w:val="0CA37841"/>
    <w:rsid w:val="0CA85CE7"/>
    <w:rsid w:val="0CAB755A"/>
    <w:rsid w:val="0CAC6918"/>
    <w:rsid w:val="0CAF051D"/>
    <w:rsid w:val="0CB8153E"/>
    <w:rsid w:val="0CBF4A67"/>
    <w:rsid w:val="0CC2416B"/>
    <w:rsid w:val="0CC9374C"/>
    <w:rsid w:val="0CCA74C4"/>
    <w:rsid w:val="0CD5294A"/>
    <w:rsid w:val="0CD65E68"/>
    <w:rsid w:val="0CDB3B1E"/>
    <w:rsid w:val="0CDD0FA5"/>
    <w:rsid w:val="0CF85DDF"/>
    <w:rsid w:val="0CFC4303"/>
    <w:rsid w:val="0D021AEE"/>
    <w:rsid w:val="0D026A0C"/>
    <w:rsid w:val="0D13436C"/>
    <w:rsid w:val="0D1906A7"/>
    <w:rsid w:val="0D196656"/>
    <w:rsid w:val="0D1C70A0"/>
    <w:rsid w:val="0D2A4946"/>
    <w:rsid w:val="0D2B41ED"/>
    <w:rsid w:val="0D450D3B"/>
    <w:rsid w:val="0D476841"/>
    <w:rsid w:val="0D4A4AC2"/>
    <w:rsid w:val="0D643940"/>
    <w:rsid w:val="0D660F9A"/>
    <w:rsid w:val="0D6B65B1"/>
    <w:rsid w:val="0D6E42F3"/>
    <w:rsid w:val="0D786F20"/>
    <w:rsid w:val="0D7A1104"/>
    <w:rsid w:val="0D920049"/>
    <w:rsid w:val="0D953752"/>
    <w:rsid w:val="0D98311E"/>
    <w:rsid w:val="0DA73361"/>
    <w:rsid w:val="0DA8327A"/>
    <w:rsid w:val="0DB77A48"/>
    <w:rsid w:val="0DC82F97"/>
    <w:rsid w:val="0DCA2689"/>
    <w:rsid w:val="0DDA7292"/>
    <w:rsid w:val="0DDC5724"/>
    <w:rsid w:val="0DED3F7D"/>
    <w:rsid w:val="0DF5231E"/>
    <w:rsid w:val="0DFA5B87"/>
    <w:rsid w:val="0DFC2E7D"/>
    <w:rsid w:val="0DFE49A3"/>
    <w:rsid w:val="0DFF4482"/>
    <w:rsid w:val="0E1C10F3"/>
    <w:rsid w:val="0E2D4821"/>
    <w:rsid w:val="0E414583"/>
    <w:rsid w:val="0E465EE5"/>
    <w:rsid w:val="0E4868F2"/>
    <w:rsid w:val="0E4A266A"/>
    <w:rsid w:val="0E542CFC"/>
    <w:rsid w:val="0E654E89"/>
    <w:rsid w:val="0E67321C"/>
    <w:rsid w:val="0E693644"/>
    <w:rsid w:val="0E6A6868"/>
    <w:rsid w:val="0E6C0832"/>
    <w:rsid w:val="0E735BDC"/>
    <w:rsid w:val="0E960DA4"/>
    <w:rsid w:val="0E981627"/>
    <w:rsid w:val="0E987EF6"/>
    <w:rsid w:val="0E9919B5"/>
    <w:rsid w:val="0E99714E"/>
    <w:rsid w:val="0E9E7F41"/>
    <w:rsid w:val="0EA0672E"/>
    <w:rsid w:val="0EAA7549"/>
    <w:rsid w:val="0EAE4729"/>
    <w:rsid w:val="0EAF2129"/>
    <w:rsid w:val="0EAF4BC3"/>
    <w:rsid w:val="0EB577E3"/>
    <w:rsid w:val="0EC04EA7"/>
    <w:rsid w:val="0EC266A4"/>
    <w:rsid w:val="0ECB5FF5"/>
    <w:rsid w:val="0ECC307F"/>
    <w:rsid w:val="0ED939EE"/>
    <w:rsid w:val="0EF820C6"/>
    <w:rsid w:val="0F032819"/>
    <w:rsid w:val="0F0A7DF6"/>
    <w:rsid w:val="0F0F11BE"/>
    <w:rsid w:val="0F1902A2"/>
    <w:rsid w:val="0F1A68D5"/>
    <w:rsid w:val="0F1B1254"/>
    <w:rsid w:val="0F1B6BFB"/>
    <w:rsid w:val="0F1C7EC7"/>
    <w:rsid w:val="0F2079D0"/>
    <w:rsid w:val="0F227E0A"/>
    <w:rsid w:val="0F2E3D3A"/>
    <w:rsid w:val="0F2F2079"/>
    <w:rsid w:val="0F3550C8"/>
    <w:rsid w:val="0F3D3AB4"/>
    <w:rsid w:val="0F451DFB"/>
    <w:rsid w:val="0F4C2412"/>
    <w:rsid w:val="0F5372FC"/>
    <w:rsid w:val="0F5B4A89"/>
    <w:rsid w:val="0F5C4047"/>
    <w:rsid w:val="0F5C47D0"/>
    <w:rsid w:val="0F5F2145"/>
    <w:rsid w:val="0F6239E3"/>
    <w:rsid w:val="0F661244"/>
    <w:rsid w:val="0F661726"/>
    <w:rsid w:val="0F68089E"/>
    <w:rsid w:val="0F690CF3"/>
    <w:rsid w:val="0F696B20"/>
    <w:rsid w:val="0F6A2898"/>
    <w:rsid w:val="0F7554C5"/>
    <w:rsid w:val="0F814668"/>
    <w:rsid w:val="0F8C5DD4"/>
    <w:rsid w:val="0F972756"/>
    <w:rsid w:val="0F987405"/>
    <w:rsid w:val="0FA02F39"/>
    <w:rsid w:val="0FA933C0"/>
    <w:rsid w:val="0FBE7527"/>
    <w:rsid w:val="0FC52DAE"/>
    <w:rsid w:val="0FC81448"/>
    <w:rsid w:val="0FC91CB4"/>
    <w:rsid w:val="0FCA7ED1"/>
    <w:rsid w:val="0FD83CA6"/>
    <w:rsid w:val="0FDA2383"/>
    <w:rsid w:val="0FDA5C70"/>
    <w:rsid w:val="0FDC19E8"/>
    <w:rsid w:val="0FDC3304"/>
    <w:rsid w:val="0FE8038D"/>
    <w:rsid w:val="0FF07241"/>
    <w:rsid w:val="0FF454C3"/>
    <w:rsid w:val="0FFF7484"/>
    <w:rsid w:val="10120F66"/>
    <w:rsid w:val="101D790A"/>
    <w:rsid w:val="10233173"/>
    <w:rsid w:val="10280789"/>
    <w:rsid w:val="1034147F"/>
    <w:rsid w:val="10525806"/>
    <w:rsid w:val="10533EA5"/>
    <w:rsid w:val="10572BB3"/>
    <w:rsid w:val="10615A49"/>
    <w:rsid w:val="1077526D"/>
    <w:rsid w:val="107B4D5D"/>
    <w:rsid w:val="107C6D27"/>
    <w:rsid w:val="1088747A"/>
    <w:rsid w:val="108A4FA0"/>
    <w:rsid w:val="108F631E"/>
    <w:rsid w:val="1092654A"/>
    <w:rsid w:val="10991687"/>
    <w:rsid w:val="10AD0C8E"/>
    <w:rsid w:val="10B22749"/>
    <w:rsid w:val="10B23EF3"/>
    <w:rsid w:val="10B472C3"/>
    <w:rsid w:val="10B56E81"/>
    <w:rsid w:val="10B652B8"/>
    <w:rsid w:val="10B97633"/>
    <w:rsid w:val="10C803AD"/>
    <w:rsid w:val="10D64689"/>
    <w:rsid w:val="10D743DD"/>
    <w:rsid w:val="10D92B96"/>
    <w:rsid w:val="10DB3E47"/>
    <w:rsid w:val="10E548CC"/>
    <w:rsid w:val="10EC17B7"/>
    <w:rsid w:val="10EF1D36"/>
    <w:rsid w:val="10F21E39"/>
    <w:rsid w:val="10F259CB"/>
    <w:rsid w:val="110034B4"/>
    <w:rsid w:val="110765F0"/>
    <w:rsid w:val="11140372"/>
    <w:rsid w:val="11146F5F"/>
    <w:rsid w:val="11295CD8"/>
    <w:rsid w:val="112E6273"/>
    <w:rsid w:val="11472D0F"/>
    <w:rsid w:val="115D26B4"/>
    <w:rsid w:val="115F2023"/>
    <w:rsid w:val="11652140"/>
    <w:rsid w:val="116A6B7F"/>
    <w:rsid w:val="116C0B49"/>
    <w:rsid w:val="117233EF"/>
    <w:rsid w:val="11743CDE"/>
    <w:rsid w:val="11760AD4"/>
    <w:rsid w:val="117F6ACF"/>
    <w:rsid w:val="11826BC5"/>
    <w:rsid w:val="118B5473"/>
    <w:rsid w:val="11944435"/>
    <w:rsid w:val="119B2F05"/>
    <w:rsid w:val="11A227BD"/>
    <w:rsid w:val="11A26319"/>
    <w:rsid w:val="11B52B72"/>
    <w:rsid w:val="11B5429E"/>
    <w:rsid w:val="11BA7AC1"/>
    <w:rsid w:val="11BC387F"/>
    <w:rsid w:val="11BD13A5"/>
    <w:rsid w:val="11E327BE"/>
    <w:rsid w:val="11F254F3"/>
    <w:rsid w:val="11F56D91"/>
    <w:rsid w:val="11F8418B"/>
    <w:rsid w:val="11FA43A7"/>
    <w:rsid w:val="11FF376C"/>
    <w:rsid w:val="12080872"/>
    <w:rsid w:val="121865DB"/>
    <w:rsid w:val="121B7AA5"/>
    <w:rsid w:val="121C60CC"/>
    <w:rsid w:val="121F796A"/>
    <w:rsid w:val="12325B08"/>
    <w:rsid w:val="12347BB2"/>
    <w:rsid w:val="12353631"/>
    <w:rsid w:val="12394ECF"/>
    <w:rsid w:val="124675EC"/>
    <w:rsid w:val="124E5235"/>
    <w:rsid w:val="12512093"/>
    <w:rsid w:val="12566569"/>
    <w:rsid w:val="125A4E46"/>
    <w:rsid w:val="126C49FB"/>
    <w:rsid w:val="126C5526"/>
    <w:rsid w:val="12706417"/>
    <w:rsid w:val="12767ED2"/>
    <w:rsid w:val="127800C7"/>
    <w:rsid w:val="1279351E"/>
    <w:rsid w:val="127C6474"/>
    <w:rsid w:val="127D5AD6"/>
    <w:rsid w:val="12877423"/>
    <w:rsid w:val="128B4FFF"/>
    <w:rsid w:val="12955E7E"/>
    <w:rsid w:val="129E11D6"/>
    <w:rsid w:val="12A06CFD"/>
    <w:rsid w:val="12AD1311"/>
    <w:rsid w:val="12B502CE"/>
    <w:rsid w:val="12BD6CF7"/>
    <w:rsid w:val="12C03182"/>
    <w:rsid w:val="12C150AC"/>
    <w:rsid w:val="12DE5A77"/>
    <w:rsid w:val="130D32C4"/>
    <w:rsid w:val="13141499"/>
    <w:rsid w:val="13144FF5"/>
    <w:rsid w:val="131E3CD2"/>
    <w:rsid w:val="131E7C21"/>
    <w:rsid w:val="13230020"/>
    <w:rsid w:val="13274D28"/>
    <w:rsid w:val="1331204B"/>
    <w:rsid w:val="134354D8"/>
    <w:rsid w:val="134A6C68"/>
    <w:rsid w:val="13704CE4"/>
    <w:rsid w:val="13722AF6"/>
    <w:rsid w:val="137D2B9A"/>
    <w:rsid w:val="13894516"/>
    <w:rsid w:val="138F6886"/>
    <w:rsid w:val="13946135"/>
    <w:rsid w:val="139A7BF0"/>
    <w:rsid w:val="13A0487E"/>
    <w:rsid w:val="13A75BB2"/>
    <w:rsid w:val="13AC582C"/>
    <w:rsid w:val="13B33FF2"/>
    <w:rsid w:val="13B66003"/>
    <w:rsid w:val="13BF7656"/>
    <w:rsid w:val="13C133CE"/>
    <w:rsid w:val="13C720F2"/>
    <w:rsid w:val="13ED5AD5"/>
    <w:rsid w:val="13ED60CF"/>
    <w:rsid w:val="13F05A62"/>
    <w:rsid w:val="13F511D1"/>
    <w:rsid w:val="14045069"/>
    <w:rsid w:val="14107EB2"/>
    <w:rsid w:val="141C15BA"/>
    <w:rsid w:val="14263231"/>
    <w:rsid w:val="14264FE0"/>
    <w:rsid w:val="1433594E"/>
    <w:rsid w:val="143A0A8B"/>
    <w:rsid w:val="143D057B"/>
    <w:rsid w:val="143E4A1F"/>
    <w:rsid w:val="14447B5C"/>
    <w:rsid w:val="14495C31"/>
    <w:rsid w:val="14542808"/>
    <w:rsid w:val="145A2D81"/>
    <w:rsid w:val="145E08C7"/>
    <w:rsid w:val="14627FE2"/>
    <w:rsid w:val="1466600F"/>
    <w:rsid w:val="14681A9C"/>
    <w:rsid w:val="14757D15"/>
    <w:rsid w:val="147A357D"/>
    <w:rsid w:val="148368D6"/>
    <w:rsid w:val="14867895"/>
    <w:rsid w:val="148C0851"/>
    <w:rsid w:val="14942891"/>
    <w:rsid w:val="149F1820"/>
    <w:rsid w:val="14A20091"/>
    <w:rsid w:val="14AB7BDB"/>
    <w:rsid w:val="14BC5944"/>
    <w:rsid w:val="14BE655A"/>
    <w:rsid w:val="14D7277E"/>
    <w:rsid w:val="14E153AA"/>
    <w:rsid w:val="14E7655D"/>
    <w:rsid w:val="14EB6229"/>
    <w:rsid w:val="14F055ED"/>
    <w:rsid w:val="14F21366"/>
    <w:rsid w:val="14F450DE"/>
    <w:rsid w:val="14F7697C"/>
    <w:rsid w:val="14F9184B"/>
    <w:rsid w:val="14FA6627"/>
    <w:rsid w:val="150135F2"/>
    <w:rsid w:val="150505A4"/>
    <w:rsid w:val="151E65FF"/>
    <w:rsid w:val="152139F9"/>
    <w:rsid w:val="152B4E90"/>
    <w:rsid w:val="152D44F7"/>
    <w:rsid w:val="15317204"/>
    <w:rsid w:val="15355F42"/>
    <w:rsid w:val="153C4CD0"/>
    <w:rsid w:val="153E27FD"/>
    <w:rsid w:val="154020D1"/>
    <w:rsid w:val="15610299"/>
    <w:rsid w:val="156E30E2"/>
    <w:rsid w:val="15794DFB"/>
    <w:rsid w:val="157E0E4B"/>
    <w:rsid w:val="1583245D"/>
    <w:rsid w:val="158E72E0"/>
    <w:rsid w:val="159266A5"/>
    <w:rsid w:val="159E49E6"/>
    <w:rsid w:val="159F14ED"/>
    <w:rsid w:val="15A24A9D"/>
    <w:rsid w:val="15AA64D6"/>
    <w:rsid w:val="15AF54A9"/>
    <w:rsid w:val="15B0361A"/>
    <w:rsid w:val="15B91E83"/>
    <w:rsid w:val="15BF56ED"/>
    <w:rsid w:val="15C813FF"/>
    <w:rsid w:val="15C9656A"/>
    <w:rsid w:val="15D62A35"/>
    <w:rsid w:val="15E21EFF"/>
    <w:rsid w:val="15E2762C"/>
    <w:rsid w:val="15F139D5"/>
    <w:rsid w:val="15F31CC5"/>
    <w:rsid w:val="15F335E7"/>
    <w:rsid w:val="15FE40E3"/>
    <w:rsid w:val="16037773"/>
    <w:rsid w:val="16041350"/>
    <w:rsid w:val="160475A2"/>
    <w:rsid w:val="16061B9B"/>
    <w:rsid w:val="1610675F"/>
    <w:rsid w:val="16287735"/>
    <w:rsid w:val="16375766"/>
    <w:rsid w:val="163A7E23"/>
    <w:rsid w:val="163C4F8E"/>
    <w:rsid w:val="163D2AB4"/>
    <w:rsid w:val="16421E79"/>
    <w:rsid w:val="164B06BC"/>
    <w:rsid w:val="1662251B"/>
    <w:rsid w:val="16660DE6"/>
    <w:rsid w:val="16664C4C"/>
    <w:rsid w:val="166D0DD2"/>
    <w:rsid w:val="167069E6"/>
    <w:rsid w:val="167D7355"/>
    <w:rsid w:val="169052DA"/>
    <w:rsid w:val="169C3C7F"/>
    <w:rsid w:val="169F1729"/>
    <w:rsid w:val="16A9014A"/>
    <w:rsid w:val="16AE3694"/>
    <w:rsid w:val="16B207CA"/>
    <w:rsid w:val="16CA189C"/>
    <w:rsid w:val="16CA669B"/>
    <w:rsid w:val="16CB66B2"/>
    <w:rsid w:val="16CF5ACB"/>
    <w:rsid w:val="16D45ADD"/>
    <w:rsid w:val="16E02158"/>
    <w:rsid w:val="16ED44DA"/>
    <w:rsid w:val="16F7509C"/>
    <w:rsid w:val="16F94C2D"/>
    <w:rsid w:val="17023AC3"/>
    <w:rsid w:val="17190E2C"/>
    <w:rsid w:val="171A4BA4"/>
    <w:rsid w:val="172427CA"/>
    <w:rsid w:val="17316275"/>
    <w:rsid w:val="1735378C"/>
    <w:rsid w:val="173619DD"/>
    <w:rsid w:val="17367C2F"/>
    <w:rsid w:val="173E2BCB"/>
    <w:rsid w:val="1740089C"/>
    <w:rsid w:val="174A5489"/>
    <w:rsid w:val="174E2EB7"/>
    <w:rsid w:val="1752433D"/>
    <w:rsid w:val="17544559"/>
    <w:rsid w:val="17575DF8"/>
    <w:rsid w:val="175E7186"/>
    <w:rsid w:val="175F7544"/>
    <w:rsid w:val="17615F65"/>
    <w:rsid w:val="17682197"/>
    <w:rsid w:val="176A78D9"/>
    <w:rsid w:val="1776627E"/>
    <w:rsid w:val="17777B16"/>
    <w:rsid w:val="178E7A6B"/>
    <w:rsid w:val="178F5592"/>
    <w:rsid w:val="17932364"/>
    <w:rsid w:val="17984446"/>
    <w:rsid w:val="17A513B0"/>
    <w:rsid w:val="17B17A1E"/>
    <w:rsid w:val="17B43822"/>
    <w:rsid w:val="17B67907"/>
    <w:rsid w:val="17D15BAA"/>
    <w:rsid w:val="17D2722C"/>
    <w:rsid w:val="17DD454F"/>
    <w:rsid w:val="17E23006"/>
    <w:rsid w:val="17E85A1B"/>
    <w:rsid w:val="17F77D8F"/>
    <w:rsid w:val="17FC336F"/>
    <w:rsid w:val="18016BC3"/>
    <w:rsid w:val="180A2E6A"/>
    <w:rsid w:val="181F0070"/>
    <w:rsid w:val="1824582B"/>
    <w:rsid w:val="18252843"/>
    <w:rsid w:val="18283E16"/>
    <w:rsid w:val="183D6D9C"/>
    <w:rsid w:val="183F2B14"/>
    <w:rsid w:val="18512847"/>
    <w:rsid w:val="185145F5"/>
    <w:rsid w:val="18534811"/>
    <w:rsid w:val="186018D7"/>
    <w:rsid w:val="18615571"/>
    <w:rsid w:val="18622F00"/>
    <w:rsid w:val="18673E19"/>
    <w:rsid w:val="18766D6B"/>
    <w:rsid w:val="18891FE1"/>
    <w:rsid w:val="188D75FC"/>
    <w:rsid w:val="1890336F"/>
    <w:rsid w:val="18980476"/>
    <w:rsid w:val="189A1CEB"/>
    <w:rsid w:val="189C07CD"/>
    <w:rsid w:val="189C1D14"/>
    <w:rsid w:val="18A1732B"/>
    <w:rsid w:val="18A92683"/>
    <w:rsid w:val="18AB01A9"/>
    <w:rsid w:val="18B51028"/>
    <w:rsid w:val="18B72FDA"/>
    <w:rsid w:val="18BA4890"/>
    <w:rsid w:val="18CB43A7"/>
    <w:rsid w:val="18CE063E"/>
    <w:rsid w:val="18E40DE0"/>
    <w:rsid w:val="18E73CC5"/>
    <w:rsid w:val="18EA775D"/>
    <w:rsid w:val="18ED2570"/>
    <w:rsid w:val="18F558C8"/>
    <w:rsid w:val="18F64569"/>
    <w:rsid w:val="18F845CE"/>
    <w:rsid w:val="19094ED0"/>
    <w:rsid w:val="190B0C48"/>
    <w:rsid w:val="191D7040"/>
    <w:rsid w:val="19212219"/>
    <w:rsid w:val="19313C06"/>
    <w:rsid w:val="19340696"/>
    <w:rsid w:val="19383BFA"/>
    <w:rsid w:val="193C6F41"/>
    <w:rsid w:val="194D300E"/>
    <w:rsid w:val="195919B3"/>
    <w:rsid w:val="195A487D"/>
    <w:rsid w:val="195C14A3"/>
    <w:rsid w:val="196A3BC0"/>
    <w:rsid w:val="19771B7E"/>
    <w:rsid w:val="197D7D98"/>
    <w:rsid w:val="19A77654"/>
    <w:rsid w:val="19A8293B"/>
    <w:rsid w:val="19C13891"/>
    <w:rsid w:val="19CA28B1"/>
    <w:rsid w:val="19CF41E5"/>
    <w:rsid w:val="19D07AE3"/>
    <w:rsid w:val="19DC2530"/>
    <w:rsid w:val="19EE2A43"/>
    <w:rsid w:val="19F33BB6"/>
    <w:rsid w:val="1A051B3B"/>
    <w:rsid w:val="1A0A0CAA"/>
    <w:rsid w:val="1A141D7E"/>
    <w:rsid w:val="1A17279F"/>
    <w:rsid w:val="1A18186E"/>
    <w:rsid w:val="1A1C3150"/>
    <w:rsid w:val="1A3D1F3A"/>
    <w:rsid w:val="1A475CB0"/>
    <w:rsid w:val="1A495ECC"/>
    <w:rsid w:val="1A4A57A0"/>
    <w:rsid w:val="1A5E474A"/>
    <w:rsid w:val="1A615D75"/>
    <w:rsid w:val="1A6C5716"/>
    <w:rsid w:val="1A6D0C94"/>
    <w:rsid w:val="1A725422"/>
    <w:rsid w:val="1A7B03BD"/>
    <w:rsid w:val="1A8213DE"/>
    <w:rsid w:val="1A827396"/>
    <w:rsid w:val="1A864A2A"/>
    <w:rsid w:val="1AA138FB"/>
    <w:rsid w:val="1AAE5D2F"/>
    <w:rsid w:val="1AAF4624"/>
    <w:rsid w:val="1AC2040E"/>
    <w:rsid w:val="1AD3554C"/>
    <w:rsid w:val="1AD37D98"/>
    <w:rsid w:val="1AD70929"/>
    <w:rsid w:val="1AEF482E"/>
    <w:rsid w:val="1AF30541"/>
    <w:rsid w:val="1AF5570C"/>
    <w:rsid w:val="1AF776D6"/>
    <w:rsid w:val="1B037421"/>
    <w:rsid w:val="1B043698"/>
    <w:rsid w:val="1B0E67CD"/>
    <w:rsid w:val="1B1C4D29"/>
    <w:rsid w:val="1B1E6274"/>
    <w:rsid w:val="1B1F4E7E"/>
    <w:rsid w:val="1B267FBB"/>
    <w:rsid w:val="1B2961E9"/>
    <w:rsid w:val="1B3171D1"/>
    <w:rsid w:val="1B466AA1"/>
    <w:rsid w:val="1B5468D6"/>
    <w:rsid w:val="1B590390"/>
    <w:rsid w:val="1B60171F"/>
    <w:rsid w:val="1B634D6B"/>
    <w:rsid w:val="1B6A60FA"/>
    <w:rsid w:val="1B6A7668"/>
    <w:rsid w:val="1B723B1C"/>
    <w:rsid w:val="1B733863"/>
    <w:rsid w:val="1B74422F"/>
    <w:rsid w:val="1B7B5E85"/>
    <w:rsid w:val="1B7E1BA5"/>
    <w:rsid w:val="1B813443"/>
    <w:rsid w:val="1B83540D"/>
    <w:rsid w:val="1B8847D2"/>
    <w:rsid w:val="1B8A1F05"/>
    <w:rsid w:val="1B8A679C"/>
    <w:rsid w:val="1B8E7775"/>
    <w:rsid w:val="1B9C3C37"/>
    <w:rsid w:val="1BA34E9E"/>
    <w:rsid w:val="1BA35DF8"/>
    <w:rsid w:val="1BA50A97"/>
    <w:rsid w:val="1BA50EE0"/>
    <w:rsid w:val="1BA65CAA"/>
    <w:rsid w:val="1BAA0BEC"/>
    <w:rsid w:val="1BAA299A"/>
    <w:rsid w:val="1BB13D28"/>
    <w:rsid w:val="1BBC5D0B"/>
    <w:rsid w:val="1BC31CAE"/>
    <w:rsid w:val="1BC73DA0"/>
    <w:rsid w:val="1BCB709E"/>
    <w:rsid w:val="1BCC16EF"/>
    <w:rsid w:val="1BCE4F88"/>
    <w:rsid w:val="1BD42F01"/>
    <w:rsid w:val="1BD65B80"/>
    <w:rsid w:val="1BDB04EE"/>
    <w:rsid w:val="1BED4AC6"/>
    <w:rsid w:val="1BEF1AC5"/>
    <w:rsid w:val="1BF41273"/>
    <w:rsid w:val="1C0969EF"/>
    <w:rsid w:val="1C0B071C"/>
    <w:rsid w:val="1C0F4EF3"/>
    <w:rsid w:val="1C0F6CA1"/>
    <w:rsid w:val="1C1B2F7B"/>
    <w:rsid w:val="1C1D13BE"/>
    <w:rsid w:val="1C24719B"/>
    <w:rsid w:val="1C295FB5"/>
    <w:rsid w:val="1C297D63"/>
    <w:rsid w:val="1C334521"/>
    <w:rsid w:val="1C370440"/>
    <w:rsid w:val="1C3778A2"/>
    <w:rsid w:val="1C474FE4"/>
    <w:rsid w:val="1C491214"/>
    <w:rsid w:val="1C536B8E"/>
    <w:rsid w:val="1C5D0F59"/>
    <w:rsid w:val="1C631C21"/>
    <w:rsid w:val="1C6C7C4F"/>
    <w:rsid w:val="1C761938"/>
    <w:rsid w:val="1C7842B1"/>
    <w:rsid w:val="1C7A05BE"/>
    <w:rsid w:val="1C7B7E93"/>
    <w:rsid w:val="1C847038"/>
    <w:rsid w:val="1C8C20A0"/>
    <w:rsid w:val="1C8C4C46"/>
    <w:rsid w:val="1C8D752E"/>
    <w:rsid w:val="1C951B74"/>
    <w:rsid w:val="1C9816DF"/>
    <w:rsid w:val="1C9E174E"/>
    <w:rsid w:val="1CAE3636"/>
    <w:rsid w:val="1CB02232"/>
    <w:rsid w:val="1CCC06EE"/>
    <w:rsid w:val="1CDA72AF"/>
    <w:rsid w:val="1CDD62FE"/>
    <w:rsid w:val="1CE04199"/>
    <w:rsid w:val="1CE50F42"/>
    <w:rsid w:val="1CE727AE"/>
    <w:rsid w:val="1CEB6DC6"/>
    <w:rsid w:val="1CF06AD2"/>
    <w:rsid w:val="1CF40995"/>
    <w:rsid w:val="1CF77E61"/>
    <w:rsid w:val="1CFD0D6F"/>
    <w:rsid w:val="1D04257E"/>
    <w:rsid w:val="1D095A91"/>
    <w:rsid w:val="1D171E50"/>
    <w:rsid w:val="1D220B9C"/>
    <w:rsid w:val="1D2D3883"/>
    <w:rsid w:val="1D3F5364"/>
    <w:rsid w:val="1D4B5481"/>
    <w:rsid w:val="1D554B87"/>
    <w:rsid w:val="1D61177E"/>
    <w:rsid w:val="1D621831"/>
    <w:rsid w:val="1D686669"/>
    <w:rsid w:val="1D6D1ED1"/>
    <w:rsid w:val="1D6D3C7F"/>
    <w:rsid w:val="1D6D6504"/>
    <w:rsid w:val="1D7414B2"/>
    <w:rsid w:val="1D784664"/>
    <w:rsid w:val="1D80069C"/>
    <w:rsid w:val="1D81772B"/>
    <w:rsid w:val="1D882867"/>
    <w:rsid w:val="1D894591"/>
    <w:rsid w:val="1D921938"/>
    <w:rsid w:val="1DA00E14"/>
    <w:rsid w:val="1DA13929"/>
    <w:rsid w:val="1DAA6C81"/>
    <w:rsid w:val="1DB21FDA"/>
    <w:rsid w:val="1DBA1CA0"/>
    <w:rsid w:val="1DBC0763"/>
    <w:rsid w:val="1DC67833"/>
    <w:rsid w:val="1DCC309C"/>
    <w:rsid w:val="1DD243C0"/>
    <w:rsid w:val="1DD45AAC"/>
    <w:rsid w:val="1DD86F8C"/>
    <w:rsid w:val="1DE06B47"/>
    <w:rsid w:val="1DEC706D"/>
    <w:rsid w:val="1DF3331F"/>
    <w:rsid w:val="1DF63C75"/>
    <w:rsid w:val="1DF919B7"/>
    <w:rsid w:val="1E032872"/>
    <w:rsid w:val="1E104084"/>
    <w:rsid w:val="1E1B7B7F"/>
    <w:rsid w:val="1E223A84"/>
    <w:rsid w:val="1E2E373A"/>
    <w:rsid w:val="1E340C41"/>
    <w:rsid w:val="1E465846"/>
    <w:rsid w:val="1E5B3387"/>
    <w:rsid w:val="1E641526"/>
    <w:rsid w:val="1E675F3A"/>
    <w:rsid w:val="1E695FED"/>
    <w:rsid w:val="1E6D0E25"/>
    <w:rsid w:val="1E7532F1"/>
    <w:rsid w:val="1E7828DC"/>
    <w:rsid w:val="1E785B76"/>
    <w:rsid w:val="1E791917"/>
    <w:rsid w:val="1E7F010E"/>
    <w:rsid w:val="1E802B32"/>
    <w:rsid w:val="1E8164DE"/>
    <w:rsid w:val="1E8474D2"/>
    <w:rsid w:val="1E875215"/>
    <w:rsid w:val="1E895406"/>
    <w:rsid w:val="1E8A260F"/>
    <w:rsid w:val="1E9020A9"/>
    <w:rsid w:val="1E972AF5"/>
    <w:rsid w:val="1E980356"/>
    <w:rsid w:val="1E9D0594"/>
    <w:rsid w:val="1EA00084"/>
    <w:rsid w:val="1EA31A71"/>
    <w:rsid w:val="1EA96BD4"/>
    <w:rsid w:val="1EB8222E"/>
    <w:rsid w:val="1EC12AD3"/>
    <w:rsid w:val="1EC21DA9"/>
    <w:rsid w:val="1EC84D41"/>
    <w:rsid w:val="1ECB3353"/>
    <w:rsid w:val="1ECC0E79"/>
    <w:rsid w:val="1ECE4BF1"/>
    <w:rsid w:val="1ED929D4"/>
    <w:rsid w:val="1EE37047"/>
    <w:rsid w:val="1EF22E97"/>
    <w:rsid w:val="1EFF3AD1"/>
    <w:rsid w:val="1F026649"/>
    <w:rsid w:val="1F093238"/>
    <w:rsid w:val="1F09789C"/>
    <w:rsid w:val="1F1620F4"/>
    <w:rsid w:val="1F1A7E37"/>
    <w:rsid w:val="1F211DAD"/>
    <w:rsid w:val="1F240CB5"/>
    <w:rsid w:val="1F2D3FC7"/>
    <w:rsid w:val="1F363B45"/>
    <w:rsid w:val="1F3802BD"/>
    <w:rsid w:val="1F38650F"/>
    <w:rsid w:val="1F4E188E"/>
    <w:rsid w:val="1F521020"/>
    <w:rsid w:val="1F566EB8"/>
    <w:rsid w:val="1F60301D"/>
    <w:rsid w:val="1F6B68E4"/>
    <w:rsid w:val="1F866F29"/>
    <w:rsid w:val="1F881244"/>
    <w:rsid w:val="1F90657F"/>
    <w:rsid w:val="1FA228EE"/>
    <w:rsid w:val="1FA63478"/>
    <w:rsid w:val="1FA70D96"/>
    <w:rsid w:val="1FAB4F33"/>
    <w:rsid w:val="1FB73684"/>
    <w:rsid w:val="1FC67EAC"/>
    <w:rsid w:val="1FC97167"/>
    <w:rsid w:val="1FCF6E73"/>
    <w:rsid w:val="1FD11A8A"/>
    <w:rsid w:val="1FD47FE6"/>
    <w:rsid w:val="1FDC333E"/>
    <w:rsid w:val="1FDD6A82"/>
    <w:rsid w:val="1FDF698A"/>
    <w:rsid w:val="1FF1768E"/>
    <w:rsid w:val="1FF50B01"/>
    <w:rsid w:val="1FFC753C"/>
    <w:rsid w:val="20005F1A"/>
    <w:rsid w:val="2000702C"/>
    <w:rsid w:val="200547B4"/>
    <w:rsid w:val="200D799B"/>
    <w:rsid w:val="2014147A"/>
    <w:rsid w:val="20145F81"/>
    <w:rsid w:val="201E5705"/>
    <w:rsid w:val="20237F55"/>
    <w:rsid w:val="20254B96"/>
    <w:rsid w:val="20390790"/>
    <w:rsid w:val="203E7B55"/>
    <w:rsid w:val="20407429"/>
    <w:rsid w:val="20421620"/>
    <w:rsid w:val="20487CF9"/>
    <w:rsid w:val="205360FA"/>
    <w:rsid w:val="206770AC"/>
    <w:rsid w:val="20692E24"/>
    <w:rsid w:val="206B4DE1"/>
    <w:rsid w:val="20713A86"/>
    <w:rsid w:val="207374B6"/>
    <w:rsid w:val="207D68CF"/>
    <w:rsid w:val="207E543D"/>
    <w:rsid w:val="2086219E"/>
    <w:rsid w:val="209061C6"/>
    <w:rsid w:val="20915419"/>
    <w:rsid w:val="20941E5C"/>
    <w:rsid w:val="209D0D1F"/>
    <w:rsid w:val="209D487B"/>
    <w:rsid w:val="20A151A3"/>
    <w:rsid w:val="20AA437D"/>
    <w:rsid w:val="20AA70CE"/>
    <w:rsid w:val="20AE6A88"/>
    <w:rsid w:val="20B87442"/>
    <w:rsid w:val="20BE2CEC"/>
    <w:rsid w:val="20D02EA3"/>
    <w:rsid w:val="20D924E2"/>
    <w:rsid w:val="20DA5368"/>
    <w:rsid w:val="20DA53AA"/>
    <w:rsid w:val="20DD2ECA"/>
    <w:rsid w:val="20E22BD6"/>
    <w:rsid w:val="20E276C8"/>
    <w:rsid w:val="20F14AC1"/>
    <w:rsid w:val="20F6042F"/>
    <w:rsid w:val="210E39CB"/>
    <w:rsid w:val="210E5779"/>
    <w:rsid w:val="21111EDC"/>
    <w:rsid w:val="211A411E"/>
    <w:rsid w:val="211F34E2"/>
    <w:rsid w:val="2120662F"/>
    <w:rsid w:val="21222FD3"/>
    <w:rsid w:val="21246D4B"/>
    <w:rsid w:val="212C128C"/>
    <w:rsid w:val="212C7CD7"/>
    <w:rsid w:val="212E5E1B"/>
    <w:rsid w:val="2136082C"/>
    <w:rsid w:val="213C193C"/>
    <w:rsid w:val="214B49D9"/>
    <w:rsid w:val="21501B14"/>
    <w:rsid w:val="21535113"/>
    <w:rsid w:val="215A6C10"/>
    <w:rsid w:val="215F1345"/>
    <w:rsid w:val="21617F9F"/>
    <w:rsid w:val="216929AF"/>
    <w:rsid w:val="217B47DD"/>
    <w:rsid w:val="21881CE4"/>
    <w:rsid w:val="218912A4"/>
    <w:rsid w:val="2197751D"/>
    <w:rsid w:val="219979C0"/>
    <w:rsid w:val="219C4B33"/>
    <w:rsid w:val="21A12149"/>
    <w:rsid w:val="21A4259C"/>
    <w:rsid w:val="21A460DD"/>
    <w:rsid w:val="21B31E7D"/>
    <w:rsid w:val="21C24618"/>
    <w:rsid w:val="21C35049"/>
    <w:rsid w:val="21C45BE8"/>
    <w:rsid w:val="21C66F9D"/>
    <w:rsid w:val="21D00F87"/>
    <w:rsid w:val="21D02A2F"/>
    <w:rsid w:val="21D249F9"/>
    <w:rsid w:val="21DC473F"/>
    <w:rsid w:val="21DE15EF"/>
    <w:rsid w:val="21DF3764"/>
    <w:rsid w:val="21E52424"/>
    <w:rsid w:val="21E97C4B"/>
    <w:rsid w:val="21F77BC7"/>
    <w:rsid w:val="21F91F85"/>
    <w:rsid w:val="220426D8"/>
    <w:rsid w:val="22056B7C"/>
    <w:rsid w:val="220646A2"/>
    <w:rsid w:val="22096112"/>
    <w:rsid w:val="2217240B"/>
    <w:rsid w:val="22196184"/>
    <w:rsid w:val="221A39C9"/>
    <w:rsid w:val="22252D7A"/>
    <w:rsid w:val="2226421E"/>
    <w:rsid w:val="22377F42"/>
    <w:rsid w:val="22387500"/>
    <w:rsid w:val="223C00C4"/>
    <w:rsid w:val="223E3E3C"/>
    <w:rsid w:val="22416B0A"/>
    <w:rsid w:val="22433EBD"/>
    <w:rsid w:val="2243557A"/>
    <w:rsid w:val="22443D57"/>
    <w:rsid w:val="22463ED4"/>
    <w:rsid w:val="224A27E1"/>
    <w:rsid w:val="224C394F"/>
    <w:rsid w:val="22596EC8"/>
    <w:rsid w:val="225F5D68"/>
    <w:rsid w:val="22682DF8"/>
    <w:rsid w:val="22686DB9"/>
    <w:rsid w:val="22821456"/>
    <w:rsid w:val="228C2DF9"/>
    <w:rsid w:val="22916662"/>
    <w:rsid w:val="22A726C7"/>
    <w:rsid w:val="22A77659"/>
    <w:rsid w:val="22B01F2E"/>
    <w:rsid w:val="22B365D8"/>
    <w:rsid w:val="22B67E76"/>
    <w:rsid w:val="22BD7B2C"/>
    <w:rsid w:val="22C41D8D"/>
    <w:rsid w:val="22C53076"/>
    <w:rsid w:val="22CF1D97"/>
    <w:rsid w:val="22DB2BCF"/>
    <w:rsid w:val="22DF610B"/>
    <w:rsid w:val="22DF73CD"/>
    <w:rsid w:val="22EC1AEA"/>
    <w:rsid w:val="22F56BF1"/>
    <w:rsid w:val="22F917D2"/>
    <w:rsid w:val="23052E4A"/>
    <w:rsid w:val="230E0951"/>
    <w:rsid w:val="231D1CA3"/>
    <w:rsid w:val="23205AE3"/>
    <w:rsid w:val="232F19D7"/>
    <w:rsid w:val="23384D2F"/>
    <w:rsid w:val="233A4603"/>
    <w:rsid w:val="23487038"/>
    <w:rsid w:val="234D0770"/>
    <w:rsid w:val="234D4CE0"/>
    <w:rsid w:val="235651B5"/>
    <w:rsid w:val="235C6C70"/>
    <w:rsid w:val="235E0E40"/>
    <w:rsid w:val="23611AE3"/>
    <w:rsid w:val="236773C3"/>
    <w:rsid w:val="23863CED"/>
    <w:rsid w:val="238735C1"/>
    <w:rsid w:val="238B1303"/>
    <w:rsid w:val="238D16F8"/>
    <w:rsid w:val="238E494F"/>
    <w:rsid w:val="239006C7"/>
    <w:rsid w:val="239161EE"/>
    <w:rsid w:val="239A1546"/>
    <w:rsid w:val="239A2322"/>
    <w:rsid w:val="239D5EF5"/>
    <w:rsid w:val="23AD1279"/>
    <w:rsid w:val="23B107E7"/>
    <w:rsid w:val="23B243EB"/>
    <w:rsid w:val="23BE7B11"/>
    <w:rsid w:val="23C860B3"/>
    <w:rsid w:val="23CD4F7A"/>
    <w:rsid w:val="23D61F72"/>
    <w:rsid w:val="23D73E2E"/>
    <w:rsid w:val="23DF164F"/>
    <w:rsid w:val="23E17175"/>
    <w:rsid w:val="23E45A06"/>
    <w:rsid w:val="23EA2A0A"/>
    <w:rsid w:val="240115C5"/>
    <w:rsid w:val="24086D56"/>
    <w:rsid w:val="241412F8"/>
    <w:rsid w:val="24155071"/>
    <w:rsid w:val="2425011E"/>
    <w:rsid w:val="242A28CA"/>
    <w:rsid w:val="243454F7"/>
    <w:rsid w:val="243C41C5"/>
    <w:rsid w:val="24430826"/>
    <w:rsid w:val="2443398C"/>
    <w:rsid w:val="244F40DF"/>
    <w:rsid w:val="24505374"/>
    <w:rsid w:val="24507E57"/>
    <w:rsid w:val="24651B54"/>
    <w:rsid w:val="246758CC"/>
    <w:rsid w:val="246F4781"/>
    <w:rsid w:val="24704055"/>
    <w:rsid w:val="24727DCD"/>
    <w:rsid w:val="24732E3B"/>
    <w:rsid w:val="24763D61"/>
    <w:rsid w:val="2480698E"/>
    <w:rsid w:val="24853FA4"/>
    <w:rsid w:val="24967F5F"/>
    <w:rsid w:val="24AA3A0B"/>
    <w:rsid w:val="24B52569"/>
    <w:rsid w:val="24B8590D"/>
    <w:rsid w:val="24B93C4E"/>
    <w:rsid w:val="24BB3FBB"/>
    <w:rsid w:val="24C26FA6"/>
    <w:rsid w:val="24DB5427"/>
    <w:rsid w:val="24DB7315"/>
    <w:rsid w:val="24E7404F"/>
    <w:rsid w:val="24EC4023"/>
    <w:rsid w:val="24EE7D9B"/>
    <w:rsid w:val="24FB14B4"/>
    <w:rsid w:val="250023CA"/>
    <w:rsid w:val="2503311B"/>
    <w:rsid w:val="25050C49"/>
    <w:rsid w:val="25056E93"/>
    <w:rsid w:val="2516749D"/>
    <w:rsid w:val="251F61A7"/>
    <w:rsid w:val="252738F3"/>
    <w:rsid w:val="25461985"/>
    <w:rsid w:val="2548391D"/>
    <w:rsid w:val="25502F27"/>
    <w:rsid w:val="25537BFE"/>
    <w:rsid w:val="255816B9"/>
    <w:rsid w:val="25592D3B"/>
    <w:rsid w:val="255A0F8D"/>
    <w:rsid w:val="255A71DF"/>
    <w:rsid w:val="255C1A93"/>
    <w:rsid w:val="255F2A47"/>
    <w:rsid w:val="25743A87"/>
    <w:rsid w:val="25761B3F"/>
    <w:rsid w:val="257A093C"/>
    <w:rsid w:val="257D4C7B"/>
    <w:rsid w:val="2582575C"/>
    <w:rsid w:val="258370EC"/>
    <w:rsid w:val="25867FD4"/>
    <w:rsid w:val="25873D4C"/>
    <w:rsid w:val="259F2E44"/>
    <w:rsid w:val="259F3929"/>
    <w:rsid w:val="25A93CC2"/>
    <w:rsid w:val="25B60C44"/>
    <w:rsid w:val="25B61F3B"/>
    <w:rsid w:val="25BC1216"/>
    <w:rsid w:val="25BD32CA"/>
    <w:rsid w:val="25C26B32"/>
    <w:rsid w:val="25D52D09"/>
    <w:rsid w:val="25E104B8"/>
    <w:rsid w:val="25E246C2"/>
    <w:rsid w:val="25E37E05"/>
    <w:rsid w:val="25EB7E37"/>
    <w:rsid w:val="25EE5B79"/>
    <w:rsid w:val="25EE610A"/>
    <w:rsid w:val="25F0301A"/>
    <w:rsid w:val="25FA449B"/>
    <w:rsid w:val="25FC1564"/>
    <w:rsid w:val="2601369C"/>
    <w:rsid w:val="261254F2"/>
    <w:rsid w:val="261367C5"/>
    <w:rsid w:val="262A0E9B"/>
    <w:rsid w:val="26427543"/>
    <w:rsid w:val="2656526B"/>
    <w:rsid w:val="265A320F"/>
    <w:rsid w:val="266C0E2A"/>
    <w:rsid w:val="26733121"/>
    <w:rsid w:val="267C13D7"/>
    <w:rsid w:val="268607A8"/>
    <w:rsid w:val="26865DB2"/>
    <w:rsid w:val="26890340"/>
    <w:rsid w:val="268A3AF4"/>
    <w:rsid w:val="269167A6"/>
    <w:rsid w:val="269404CF"/>
    <w:rsid w:val="26955FF5"/>
    <w:rsid w:val="26A650A8"/>
    <w:rsid w:val="26AD77E2"/>
    <w:rsid w:val="26AE0D9A"/>
    <w:rsid w:val="26B97F35"/>
    <w:rsid w:val="26BB708D"/>
    <w:rsid w:val="26CB409F"/>
    <w:rsid w:val="26D66D39"/>
    <w:rsid w:val="26D7660D"/>
    <w:rsid w:val="26D7726C"/>
    <w:rsid w:val="26DC0102"/>
    <w:rsid w:val="26E50D2A"/>
    <w:rsid w:val="26EF1BA9"/>
    <w:rsid w:val="26F126FF"/>
    <w:rsid w:val="27005B64"/>
    <w:rsid w:val="27037402"/>
    <w:rsid w:val="2705317A"/>
    <w:rsid w:val="270F224B"/>
    <w:rsid w:val="271A640C"/>
    <w:rsid w:val="272F71A1"/>
    <w:rsid w:val="273F6164"/>
    <w:rsid w:val="27457610"/>
    <w:rsid w:val="27541A0C"/>
    <w:rsid w:val="275C2742"/>
    <w:rsid w:val="275D2FB6"/>
    <w:rsid w:val="276962BA"/>
    <w:rsid w:val="276C144B"/>
    <w:rsid w:val="277208E4"/>
    <w:rsid w:val="27767BD4"/>
    <w:rsid w:val="277D5407"/>
    <w:rsid w:val="278C389C"/>
    <w:rsid w:val="278D3841"/>
    <w:rsid w:val="2790053E"/>
    <w:rsid w:val="27930786"/>
    <w:rsid w:val="27976201"/>
    <w:rsid w:val="27990724"/>
    <w:rsid w:val="279A7D67"/>
    <w:rsid w:val="27C54FD8"/>
    <w:rsid w:val="27CC3C98"/>
    <w:rsid w:val="27D03788"/>
    <w:rsid w:val="27D97829"/>
    <w:rsid w:val="27DD40F7"/>
    <w:rsid w:val="27E02539"/>
    <w:rsid w:val="27E15995"/>
    <w:rsid w:val="27E2526A"/>
    <w:rsid w:val="27E56B08"/>
    <w:rsid w:val="27E92A9C"/>
    <w:rsid w:val="27F27DF2"/>
    <w:rsid w:val="27F735CE"/>
    <w:rsid w:val="28136894"/>
    <w:rsid w:val="2821352A"/>
    <w:rsid w:val="282E6701"/>
    <w:rsid w:val="28355CE1"/>
    <w:rsid w:val="283C2BCC"/>
    <w:rsid w:val="28480BD5"/>
    <w:rsid w:val="284B2CED"/>
    <w:rsid w:val="285223EF"/>
    <w:rsid w:val="285C0231"/>
    <w:rsid w:val="288307FB"/>
    <w:rsid w:val="28904CC6"/>
    <w:rsid w:val="28984501"/>
    <w:rsid w:val="289C7B40"/>
    <w:rsid w:val="289E3886"/>
    <w:rsid w:val="28A610AE"/>
    <w:rsid w:val="28A7005F"/>
    <w:rsid w:val="28AC2FDB"/>
    <w:rsid w:val="28BB61E6"/>
    <w:rsid w:val="28C055AB"/>
    <w:rsid w:val="28C50E13"/>
    <w:rsid w:val="28D26420"/>
    <w:rsid w:val="28DB0637"/>
    <w:rsid w:val="28E24AD8"/>
    <w:rsid w:val="28E25AB5"/>
    <w:rsid w:val="28ED3EC6"/>
    <w:rsid w:val="28FA4FEC"/>
    <w:rsid w:val="29015BC3"/>
    <w:rsid w:val="290556B4"/>
    <w:rsid w:val="290D24E8"/>
    <w:rsid w:val="29121B7F"/>
    <w:rsid w:val="291853E7"/>
    <w:rsid w:val="291857B7"/>
    <w:rsid w:val="292343CC"/>
    <w:rsid w:val="29262DDF"/>
    <w:rsid w:val="2927562A"/>
    <w:rsid w:val="294A30C6"/>
    <w:rsid w:val="294E0E09"/>
    <w:rsid w:val="294F2CF1"/>
    <w:rsid w:val="29581C87"/>
    <w:rsid w:val="295A4A42"/>
    <w:rsid w:val="29606D8E"/>
    <w:rsid w:val="298C7B83"/>
    <w:rsid w:val="29947356"/>
    <w:rsid w:val="29965AD3"/>
    <w:rsid w:val="29AA1833"/>
    <w:rsid w:val="29B52048"/>
    <w:rsid w:val="29B833B7"/>
    <w:rsid w:val="29BB2216"/>
    <w:rsid w:val="29C31E3E"/>
    <w:rsid w:val="29C410CB"/>
    <w:rsid w:val="29C94933"/>
    <w:rsid w:val="29CD4FBE"/>
    <w:rsid w:val="29CE5AA6"/>
    <w:rsid w:val="29D03279"/>
    <w:rsid w:val="29D62BAC"/>
    <w:rsid w:val="29D82DC8"/>
    <w:rsid w:val="29DB00A1"/>
    <w:rsid w:val="29DD6710"/>
    <w:rsid w:val="29FD63BB"/>
    <w:rsid w:val="2A110088"/>
    <w:rsid w:val="2A282186"/>
    <w:rsid w:val="2A314286"/>
    <w:rsid w:val="2A4B1F72"/>
    <w:rsid w:val="2A4D7312"/>
    <w:rsid w:val="2A581876"/>
    <w:rsid w:val="2A5F72E6"/>
    <w:rsid w:val="2A612DBE"/>
    <w:rsid w:val="2A68414C"/>
    <w:rsid w:val="2A73489F"/>
    <w:rsid w:val="2A7506E8"/>
    <w:rsid w:val="2A7A7305"/>
    <w:rsid w:val="2A7E571E"/>
    <w:rsid w:val="2A834AE2"/>
    <w:rsid w:val="2A856BE0"/>
    <w:rsid w:val="2A862824"/>
    <w:rsid w:val="2A8B7E3A"/>
    <w:rsid w:val="2A8E16D9"/>
    <w:rsid w:val="2A905CB1"/>
    <w:rsid w:val="2A9071FF"/>
    <w:rsid w:val="2A9760D6"/>
    <w:rsid w:val="2A992557"/>
    <w:rsid w:val="2AAF1F86"/>
    <w:rsid w:val="2AAF58B8"/>
    <w:rsid w:val="2ABE4C3D"/>
    <w:rsid w:val="2ACA0963"/>
    <w:rsid w:val="2AD03A9F"/>
    <w:rsid w:val="2AD25A69"/>
    <w:rsid w:val="2AE92DE3"/>
    <w:rsid w:val="2B035373"/>
    <w:rsid w:val="2B050EB5"/>
    <w:rsid w:val="2B146082"/>
    <w:rsid w:val="2B171500"/>
    <w:rsid w:val="2B1E2A5D"/>
    <w:rsid w:val="2B2318AC"/>
    <w:rsid w:val="2B2333E5"/>
    <w:rsid w:val="2B332BE8"/>
    <w:rsid w:val="2B3B0289"/>
    <w:rsid w:val="2B3B360F"/>
    <w:rsid w:val="2B3C2EE3"/>
    <w:rsid w:val="2B454B76"/>
    <w:rsid w:val="2B4A631A"/>
    <w:rsid w:val="2B627A21"/>
    <w:rsid w:val="2B632B65"/>
    <w:rsid w:val="2B7E52A9"/>
    <w:rsid w:val="2B91322F"/>
    <w:rsid w:val="2B97636B"/>
    <w:rsid w:val="2B9770E6"/>
    <w:rsid w:val="2B98280F"/>
    <w:rsid w:val="2BA52305"/>
    <w:rsid w:val="2BAB0E99"/>
    <w:rsid w:val="2BB07C1E"/>
    <w:rsid w:val="2BB313F7"/>
    <w:rsid w:val="2BBC25D5"/>
    <w:rsid w:val="2BBD4024"/>
    <w:rsid w:val="2BCA03E1"/>
    <w:rsid w:val="2BD575BF"/>
    <w:rsid w:val="2BDE3F9A"/>
    <w:rsid w:val="2BE23A8A"/>
    <w:rsid w:val="2BE36B66"/>
    <w:rsid w:val="2BE551F3"/>
    <w:rsid w:val="2BEB6DE3"/>
    <w:rsid w:val="2BF15ABE"/>
    <w:rsid w:val="2BF2000A"/>
    <w:rsid w:val="2BFD21BF"/>
    <w:rsid w:val="2C056CD3"/>
    <w:rsid w:val="2C103591"/>
    <w:rsid w:val="2C1B33C6"/>
    <w:rsid w:val="2C3B13EC"/>
    <w:rsid w:val="2C4209CD"/>
    <w:rsid w:val="2C444745"/>
    <w:rsid w:val="2C4C1A4E"/>
    <w:rsid w:val="2C58072E"/>
    <w:rsid w:val="2C5A5D16"/>
    <w:rsid w:val="2C5D1363"/>
    <w:rsid w:val="2C602A8C"/>
    <w:rsid w:val="2C6D3C9C"/>
    <w:rsid w:val="2C7D4C2E"/>
    <w:rsid w:val="2C820DC9"/>
    <w:rsid w:val="2C886012"/>
    <w:rsid w:val="2C8C39F6"/>
    <w:rsid w:val="2C901738"/>
    <w:rsid w:val="2C90318B"/>
    <w:rsid w:val="2C916A7A"/>
    <w:rsid w:val="2C931228"/>
    <w:rsid w:val="2C9A7102"/>
    <w:rsid w:val="2CA37CF9"/>
    <w:rsid w:val="2CB35427"/>
    <w:rsid w:val="2CB422EC"/>
    <w:rsid w:val="2CBD2FBE"/>
    <w:rsid w:val="2CD05FD9"/>
    <w:rsid w:val="2CE55431"/>
    <w:rsid w:val="2CE675AA"/>
    <w:rsid w:val="2D0068BE"/>
    <w:rsid w:val="2D027B59"/>
    <w:rsid w:val="2D095047"/>
    <w:rsid w:val="2D12039F"/>
    <w:rsid w:val="2D1B36F8"/>
    <w:rsid w:val="2D24494D"/>
    <w:rsid w:val="2D2B320F"/>
    <w:rsid w:val="2D2D48BD"/>
    <w:rsid w:val="2D316F91"/>
    <w:rsid w:val="2D355E3C"/>
    <w:rsid w:val="2D3B78F6"/>
    <w:rsid w:val="2D485B6F"/>
    <w:rsid w:val="2D4C7220"/>
    <w:rsid w:val="2D5E6727"/>
    <w:rsid w:val="2D6333A1"/>
    <w:rsid w:val="2D6706EB"/>
    <w:rsid w:val="2D6E75B9"/>
    <w:rsid w:val="2D713318"/>
    <w:rsid w:val="2D7E15B6"/>
    <w:rsid w:val="2D9818DA"/>
    <w:rsid w:val="2DA52FC1"/>
    <w:rsid w:val="2DA90CDD"/>
    <w:rsid w:val="2DAE631A"/>
    <w:rsid w:val="2DAF3E40"/>
    <w:rsid w:val="2DB31F8B"/>
    <w:rsid w:val="2DB3452D"/>
    <w:rsid w:val="2DB87198"/>
    <w:rsid w:val="2DBA338E"/>
    <w:rsid w:val="2DBD030B"/>
    <w:rsid w:val="2DBE4083"/>
    <w:rsid w:val="2DBE5C85"/>
    <w:rsid w:val="2DC53663"/>
    <w:rsid w:val="2DC93014"/>
    <w:rsid w:val="2DD41AF8"/>
    <w:rsid w:val="2DD92C6B"/>
    <w:rsid w:val="2DDB2E87"/>
    <w:rsid w:val="2DE23036"/>
    <w:rsid w:val="2DEA0472"/>
    <w:rsid w:val="2DF25FA1"/>
    <w:rsid w:val="2DF6381D"/>
    <w:rsid w:val="2DFB52D7"/>
    <w:rsid w:val="2E0028ED"/>
    <w:rsid w:val="2E04418C"/>
    <w:rsid w:val="2E045F3A"/>
    <w:rsid w:val="2E053A60"/>
    <w:rsid w:val="2E0A1DB4"/>
    <w:rsid w:val="2E0A5E8E"/>
    <w:rsid w:val="2E0C1292"/>
    <w:rsid w:val="2E155331"/>
    <w:rsid w:val="2E163EBF"/>
    <w:rsid w:val="2E1B14D5"/>
    <w:rsid w:val="2E1E4B22"/>
    <w:rsid w:val="2E271783"/>
    <w:rsid w:val="2E2E1209"/>
    <w:rsid w:val="2E3D31FA"/>
    <w:rsid w:val="2E40312D"/>
    <w:rsid w:val="2E497DF1"/>
    <w:rsid w:val="2E52227E"/>
    <w:rsid w:val="2E5A1FFE"/>
    <w:rsid w:val="2E730E9D"/>
    <w:rsid w:val="2E7F234F"/>
    <w:rsid w:val="2E840E29"/>
    <w:rsid w:val="2E8D23D3"/>
    <w:rsid w:val="2E993178"/>
    <w:rsid w:val="2E9949CA"/>
    <w:rsid w:val="2E9A28EC"/>
    <w:rsid w:val="2E9E012C"/>
    <w:rsid w:val="2EA65243"/>
    <w:rsid w:val="2EB01C1E"/>
    <w:rsid w:val="2EC41B6D"/>
    <w:rsid w:val="2EC76F67"/>
    <w:rsid w:val="2EC97183"/>
    <w:rsid w:val="2ED3341D"/>
    <w:rsid w:val="2ED33B5E"/>
    <w:rsid w:val="2EED10C4"/>
    <w:rsid w:val="2EED2E72"/>
    <w:rsid w:val="2EF53AD4"/>
    <w:rsid w:val="2EF67C47"/>
    <w:rsid w:val="2EFA10EB"/>
    <w:rsid w:val="2EFE2123"/>
    <w:rsid w:val="2F0106CB"/>
    <w:rsid w:val="2F032695"/>
    <w:rsid w:val="2F093783"/>
    <w:rsid w:val="2F0B32F8"/>
    <w:rsid w:val="2F0C39CC"/>
    <w:rsid w:val="2F0D5F48"/>
    <w:rsid w:val="2F0F103A"/>
    <w:rsid w:val="2F0F2DE8"/>
    <w:rsid w:val="2F1228D8"/>
    <w:rsid w:val="2F146650"/>
    <w:rsid w:val="2F183560"/>
    <w:rsid w:val="2F184319"/>
    <w:rsid w:val="2F1A178D"/>
    <w:rsid w:val="2F1A79DF"/>
    <w:rsid w:val="2F3B4EEB"/>
    <w:rsid w:val="2F4405B8"/>
    <w:rsid w:val="2F453CF0"/>
    <w:rsid w:val="2F4F1437"/>
    <w:rsid w:val="2F544C9F"/>
    <w:rsid w:val="2F5D51A6"/>
    <w:rsid w:val="2F6F7D2B"/>
    <w:rsid w:val="2F7075FF"/>
    <w:rsid w:val="2F882B9B"/>
    <w:rsid w:val="2F9C6646"/>
    <w:rsid w:val="2F9F469B"/>
    <w:rsid w:val="2FAA2B11"/>
    <w:rsid w:val="2FAC6E5D"/>
    <w:rsid w:val="2FAF45CB"/>
    <w:rsid w:val="2FBA7C5C"/>
    <w:rsid w:val="2FBF61F6"/>
    <w:rsid w:val="2FC811E9"/>
    <w:rsid w:val="2FC83F2C"/>
    <w:rsid w:val="2FCD67FF"/>
    <w:rsid w:val="2FDB4E21"/>
    <w:rsid w:val="2FE87E8A"/>
    <w:rsid w:val="2FF16992"/>
    <w:rsid w:val="2FF244A1"/>
    <w:rsid w:val="2FF331F0"/>
    <w:rsid w:val="2FF92956"/>
    <w:rsid w:val="30030473"/>
    <w:rsid w:val="300C557A"/>
    <w:rsid w:val="301349D9"/>
    <w:rsid w:val="3016044B"/>
    <w:rsid w:val="30207EA1"/>
    <w:rsid w:val="30221DFE"/>
    <w:rsid w:val="30247BCE"/>
    <w:rsid w:val="30294C3B"/>
    <w:rsid w:val="302C79CA"/>
    <w:rsid w:val="30313CA3"/>
    <w:rsid w:val="303643A5"/>
    <w:rsid w:val="30376D52"/>
    <w:rsid w:val="303F594F"/>
    <w:rsid w:val="30463E38"/>
    <w:rsid w:val="30473135"/>
    <w:rsid w:val="3049232A"/>
    <w:rsid w:val="304A7E50"/>
    <w:rsid w:val="304E0112"/>
    <w:rsid w:val="30550CCF"/>
    <w:rsid w:val="305B02AF"/>
    <w:rsid w:val="30804306"/>
    <w:rsid w:val="30805DED"/>
    <w:rsid w:val="308535B8"/>
    <w:rsid w:val="30A12166"/>
    <w:rsid w:val="30A20450"/>
    <w:rsid w:val="30A36EA5"/>
    <w:rsid w:val="30B50C39"/>
    <w:rsid w:val="30B71989"/>
    <w:rsid w:val="30B8125D"/>
    <w:rsid w:val="30BA6D84"/>
    <w:rsid w:val="30BE4EFC"/>
    <w:rsid w:val="30C65728"/>
    <w:rsid w:val="30D618C3"/>
    <w:rsid w:val="30D77936"/>
    <w:rsid w:val="30DC4F4C"/>
    <w:rsid w:val="30F45071"/>
    <w:rsid w:val="30F74B66"/>
    <w:rsid w:val="30FC3D8C"/>
    <w:rsid w:val="30FF50DE"/>
    <w:rsid w:val="31181CFC"/>
    <w:rsid w:val="311B21D9"/>
    <w:rsid w:val="311B77D4"/>
    <w:rsid w:val="31215055"/>
    <w:rsid w:val="31215F32"/>
    <w:rsid w:val="31271F3F"/>
    <w:rsid w:val="3128368C"/>
    <w:rsid w:val="312F5F78"/>
    <w:rsid w:val="313905F0"/>
    <w:rsid w:val="313C2D0A"/>
    <w:rsid w:val="313F6392"/>
    <w:rsid w:val="314174A5"/>
    <w:rsid w:val="31501496"/>
    <w:rsid w:val="31503206"/>
    <w:rsid w:val="31546600"/>
    <w:rsid w:val="31570A76"/>
    <w:rsid w:val="31572E9D"/>
    <w:rsid w:val="315F16D9"/>
    <w:rsid w:val="31615451"/>
    <w:rsid w:val="316B4522"/>
    <w:rsid w:val="3179279B"/>
    <w:rsid w:val="317B29B7"/>
    <w:rsid w:val="31821B16"/>
    <w:rsid w:val="318C5775"/>
    <w:rsid w:val="31901DBB"/>
    <w:rsid w:val="31903F88"/>
    <w:rsid w:val="31943A79"/>
    <w:rsid w:val="31A0421A"/>
    <w:rsid w:val="31A127A9"/>
    <w:rsid w:val="31A1406B"/>
    <w:rsid w:val="31A812D2"/>
    <w:rsid w:val="31AB08CF"/>
    <w:rsid w:val="31AB2B70"/>
    <w:rsid w:val="31B05B13"/>
    <w:rsid w:val="31C53C32"/>
    <w:rsid w:val="31D2634F"/>
    <w:rsid w:val="31E970A4"/>
    <w:rsid w:val="31EB7860"/>
    <w:rsid w:val="31FC517A"/>
    <w:rsid w:val="32020ED9"/>
    <w:rsid w:val="320A3D3B"/>
    <w:rsid w:val="320C360F"/>
    <w:rsid w:val="32130E41"/>
    <w:rsid w:val="321D59C5"/>
    <w:rsid w:val="32262B71"/>
    <w:rsid w:val="322E7A29"/>
    <w:rsid w:val="3230285B"/>
    <w:rsid w:val="32313FA5"/>
    <w:rsid w:val="3236068C"/>
    <w:rsid w:val="32382656"/>
    <w:rsid w:val="323D1A1A"/>
    <w:rsid w:val="323D7C6C"/>
    <w:rsid w:val="3240150B"/>
    <w:rsid w:val="32430FFB"/>
    <w:rsid w:val="324B1648"/>
    <w:rsid w:val="32526852"/>
    <w:rsid w:val="32565712"/>
    <w:rsid w:val="326A6587"/>
    <w:rsid w:val="327B2543"/>
    <w:rsid w:val="328533C1"/>
    <w:rsid w:val="328B7412"/>
    <w:rsid w:val="32935A2E"/>
    <w:rsid w:val="329B2BE5"/>
    <w:rsid w:val="329D695D"/>
    <w:rsid w:val="329F2A54"/>
    <w:rsid w:val="329F4483"/>
    <w:rsid w:val="32AB72CC"/>
    <w:rsid w:val="32AF043E"/>
    <w:rsid w:val="32B37F2E"/>
    <w:rsid w:val="32B66336"/>
    <w:rsid w:val="32C97752"/>
    <w:rsid w:val="32D06D32"/>
    <w:rsid w:val="32D3412D"/>
    <w:rsid w:val="32D377FC"/>
    <w:rsid w:val="32D560F7"/>
    <w:rsid w:val="32DA54BB"/>
    <w:rsid w:val="32E94256"/>
    <w:rsid w:val="32E97DF4"/>
    <w:rsid w:val="32F10A57"/>
    <w:rsid w:val="32F50547"/>
    <w:rsid w:val="32FD11AA"/>
    <w:rsid w:val="32FD68A2"/>
    <w:rsid w:val="33072028"/>
    <w:rsid w:val="3308275B"/>
    <w:rsid w:val="33114C55"/>
    <w:rsid w:val="33180DAC"/>
    <w:rsid w:val="333406D1"/>
    <w:rsid w:val="33370E94"/>
    <w:rsid w:val="333746BE"/>
    <w:rsid w:val="333A0650"/>
    <w:rsid w:val="333E39C1"/>
    <w:rsid w:val="334C2227"/>
    <w:rsid w:val="335F464C"/>
    <w:rsid w:val="335F657E"/>
    <w:rsid w:val="336143E6"/>
    <w:rsid w:val="3369683F"/>
    <w:rsid w:val="33751688"/>
    <w:rsid w:val="33753436"/>
    <w:rsid w:val="337E7576"/>
    <w:rsid w:val="338B4A07"/>
    <w:rsid w:val="338B765B"/>
    <w:rsid w:val="338E62A6"/>
    <w:rsid w:val="338F6F5E"/>
    <w:rsid w:val="33A15F28"/>
    <w:rsid w:val="33A67A93"/>
    <w:rsid w:val="33A8380B"/>
    <w:rsid w:val="33AA215C"/>
    <w:rsid w:val="33AB50A9"/>
    <w:rsid w:val="33B8271D"/>
    <w:rsid w:val="33B95A18"/>
    <w:rsid w:val="33C341A1"/>
    <w:rsid w:val="33C70135"/>
    <w:rsid w:val="33CA5530"/>
    <w:rsid w:val="33CD6DCE"/>
    <w:rsid w:val="33D4047E"/>
    <w:rsid w:val="33D94674"/>
    <w:rsid w:val="33DF5ED2"/>
    <w:rsid w:val="33E31232"/>
    <w:rsid w:val="33E36A20"/>
    <w:rsid w:val="33E52E5D"/>
    <w:rsid w:val="33ED56C2"/>
    <w:rsid w:val="33EF2883"/>
    <w:rsid w:val="33FF7EE4"/>
    <w:rsid w:val="34026B03"/>
    <w:rsid w:val="340436D4"/>
    <w:rsid w:val="340824FC"/>
    <w:rsid w:val="340F73E6"/>
    <w:rsid w:val="34160775"/>
    <w:rsid w:val="341744ED"/>
    <w:rsid w:val="342C7F98"/>
    <w:rsid w:val="342E67E8"/>
    <w:rsid w:val="343155AF"/>
    <w:rsid w:val="34381F52"/>
    <w:rsid w:val="34384B8F"/>
    <w:rsid w:val="34395DFF"/>
    <w:rsid w:val="343B642D"/>
    <w:rsid w:val="344D6161"/>
    <w:rsid w:val="34545741"/>
    <w:rsid w:val="345C0C77"/>
    <w:rsid w:val="345F600E"/>
    <w:rsid w:val="34652D42"/>
    <w:rsid w:val="346F257B"/>
    <w:rsid w:val="34842602"/>
    <w:rsid w:val="3489006C"/>
    <w:rsid w:val="348D497D"/>
    <w:rsid w:val="34936269"/>
    <w:rsid w:val="34945B3E"/>
    <w:rsid w:val="34976214"/>
    <w:rsid w:val="34983880"/>
    <w:rsid w:val="34A522D6"/>
    <w:rsid w:val="34AE6BFF"/>
    <w:rsid w:val="34AF28E3"/>
    <w:rsid w:val="34B16142"/>
    <w:rsid w:val="34C5219B"/>
    <w:rsid w:val="34CA064D"/>
    <w:rsid w:val="34CF0F75"/>
    <w:rsid w:val="34D04068"/>
    <w:rsid w:val="34D50699"/>
    <w:rsid w:val="34D80120"/>
    <w:rsid w:val="34DF500B"/>
    <w:rsid w:val="34E72111"/>
    <w:rsid w:val="34EC597A"/>
    <w:rsid w:val="34F34F5A"/>
    <w:rsid w:val="34F724FA"/>
    <w:rsid w:val="34F8703A"/>
    <w:rsid w:val="35042CC3"/>
    <w:rsid w:val="35064255"/>
    <w:rsid w:val="35076310"/>
    <w:rsid w:val="35092088"/>
    <w:rsid w:val="352E38F2"/>
    <w:rsid w:val="353E4427"/>
    <w:rsid w:val="3541551D"/>
    <w:rsid w:val="35461627"/>
    <w:rsid w:val="35490BE6"/>
    <w:rsid w:val="354B6B44"/>
    <w:rsid w:val="354B73F1"/>
    <w:rsid w:val="35507CB7"/>
    <w:rsid w:val="35551771"/>
    <w:rsid w:val="3558300F"/>
    <w:rsid w:val="356358A2"/>
    <w:rsid w:val="356443B3"/>
    <w:rsid w:val="35700359"/>
    <w:rsid w:val="357330A6"/>
    <w:rsid w:val="358362DE"/>
    <w:rsid w:val="35944047"/>
    <w:rsid w:val="35956011"/>
    <w:rsid w:val="35986590"/>
    <w:rsid w:val="3599165E"/>
    <w:rsid w:val="359D0A22"/>
    <w:rsid w:val="359D2BE1"/>
    <w:rsid w:val="359D6D3A"/>
    <w:rsid w:val="359E2F54"/>
    <w:rsid w:val="35A3428A"/>
    <w:rsid w:val="35A76A14"/>
    <w:rsid w:val="35A95619"/>
    <w:rsid w:val="35C850CA"/>
    <w:rsid w:val="35DE3D75"/>
    <w:rsid w:val="35E0728C"/>
    <w:rsid w:val="35E62D30"/>
    <w:rsid w:val="35EB79DF"/>
    <w:rsid w:val="35FF186E"/>
    <w:rsid w:val="36086929"/>
    <w:rsid w:val="36143B93"/>
    <w:rsid w:val="361B02C4"/>
    <w:rsid w:val="361B3EDC"/>
    <w:rsid w:val="36257395"/>
    <w:rsid w:val="362F5B1E"/>
    <w:rsid w:val="363A40B0"/>
    <w:rsid w:val="364208E8"/>
    <w:rsid w:val="365355C7"/>
    <w:rsid w:val="365356DE"/>
    <w:rsid w:val="365732C7"/>
    <w:rsid w:val="365B4967"/>
    <w:rsid w:val="365C4D7F"/>
    <w:rsid w:val="367B5207"/>
    <w:rsid w:val="368F480F"/>
    <w:rsid w:val="369736C3"/>
    <w:rsid w:val="36A061EB"/>
    <w:rsid w:val="36A52284"/>
    <w:rsid w:val="36B13DBA"/>
    <w:rsid w:val="36B4459E"/>
    <w:rsid w:val="36B457C6"/>
    <w:rsid w:val="36B81FB7"/>
    <w:rsid w:val="36D13079"/>
    <w:rsid w:val="36D84407"/>
    <w:rsid w:val="36DB2127"/>
    <w:rsid w:val="36E40AF7"/>
    <w:rsid w:val="36EB68C6"/>
    <w:rsid w:val="36F03D7A"/>
    <w:rsid w:val="37004600"/>
    <w:rsid w:val="370074BA"/>
    <w:rsid w:val="37031C33"/>
    <w:rsid w:val="371B5A09"/>
    <w:rsid w:val="371E0226"/>
    <w:rsid w:val="373B6744"/>
    <w:rsid w:val="373D070E"/>
    <w:rsid w:val="374C41E5"/>
    <w:rsid w:val="374F60FC"/>
    <w:rsid w:val="37543B31"/>
    <w:rsid w:val="375717D0"/>
    <w:rsid w:val="37597386"/>
    <w:rsid w:val="375D2A64"/>
    <w:rsid w:val="37661A13"/>
    <w:rsid w:val="37732382"/>
    <w:rsid w:val="37777B26"/>
    <w:rsid w:val="37785469"/>
    <w:rsid w:val="377A6948"/>
    <w:rsid w:val="377D0B0B"/>
    <w:rsid w:val="37932249"/>
    <w:rsid w:val="379540A7"/>
    <w:rsid w:val="37A349AF"/>
    <w:rsid w:val="37AD13F0"/>
    <w:rsid w:val="37B42715"/>
    <w:rsid w:val="37BE35FD"/>
    <w:rsid w:val="37BF1123"/>
    <w:rsid w:val="37C36E66"/>
    <w:rsid w:val="37D06995"/>
    <w:rsid w:val="37D921E5"/>
    <w:rsid w:val="37E15D87"/>
    <w:rsid w:val="37E34E12"/>
    <w:rsid w:val="37E7295D"/>
    <w:rsid w:val="37F015B5"/>
    <w:rsid w:val="37F232A7"/>
    <w:rsid w:val="37F30DCD"/>
    <w:rsid w:val="37FC11F0"/>
    <w:rsid w:val="37FC4126"/>
    <w:rsid w:val="380A6843"/>
    <w:rsid w:val="3814321D"/>
    <w:rsid w:val="381B5E1E"/>
    <w:rsid w:val="38241748"/>
    <w:rsid w:val="382A2E84"/>
    <w:rsid w:val="383445DB"/>
    <w:rsid w:val="384440F5"/>
    <w:rsid w:val="3846345A"/>
    <w:rsid w:val="38507FCD"/>
    <w:rsid w:val="38521793"/>
    <w:rsid w:val="385E26EA"/>
    <w:rsid w:val="386341A5"/>
    <w:rsid w:val="388859B9"/>
    <w:rsid w:val="3894435E"/>
    <w:rsid w:val="38B4055C"/>
    <w:rsid w:val="38B60C47"/>
    <w:rsid w:val="38B72CB1"/>
    <w:rsid w:val="38BD1B07"/>
    <w:rsid w:val="38C31508"/>
    <w:rsid w:val="38C7435B"/>
    <w:rsid w:val="38C904AC"/>
    <w:rsid w:val="38E47094"/>
    <w:rsid w:val="38E74E71"/>
    <w:rsid w:val="38EE7F12"/>
    <w:rsid w:val="38F42DF5"/>
    <w:rsid w:val="38F7130C"/>
    <w:rsid w:val="38F90665"/>
    <w:rsid w:val="39094D4C"/>
    <w:rsid w:val="390F1C37"/>
    <w:rsid w:val="391735D6"/>
    <w:rsid w:val="391976DF"/>
    <w:rsid w:val="3922196A"/>
    <w:rsid w:val="392F6FBE"/>
    <w:rsid w:val="39344DA2"/>
    <w:rsid w:val="393735AF"/>
    <w:rsid w:val="3948655B"/>
    <w:rsid w:val="39556D30"/>
    <w:rsid w:val="39581830"/>
    <w:rsid w:val="395F07EE"/>
    <w:rsid w:val="39606DA0"/>
    <w:rsid w:val="39662ED0"/>
    <w:rsid w:val="39676D9F"/>
    <w:rsid w:val="396B1563"/>
    <w:rsid w:val="396B6B27"/>
    <w:rsid w:val="396C273A"/>
    <w:rsid w:val="397A3554"/>
    <w:rsid w:val="39842625"/>
    <w:rsid w:val="398B1798"/>
    <w:rsid w:val="398B750F"/>
    <w:rsid w:val="39A13B77"/>
    <w:rsid w:val="39A97DAF"/>
    <w:rsid w:val="39B5458C"/>
    <w:rsid w:val="39BE662A"/>
    <w:rsid w:val="39C80763"/>
    <w:rsid w:val="39D8471E"/>
    <w:rsid w:val="39E14289"/>
    <w:rsid w:val="39E15381"/>
    <w:rsid w:val="39F33F77"/>
    <w:rsid w:val="39FE4185"/>
    <w:rsid w:val="3A007358"/>
    <w:rsid w:val="3A1F5EA9"/>
    <w:rsid w:val="3A255EE2"/>
    <w:rsid w:val="3A2D6B9F"/>
    <w:rsid w:val="3A3C6A5B"/>
    <w:rsid w:val="3A3F7873"/>
    <w:rsid w:val="3A405A09"/>
    <w:rsid w:val="3A573895"/>
    <w:rsid w:val="3A5C70FE"/>
    <w:rsid w:val="3A663AD8"/>
    <w:rsid w:val="3A6C2245"/>
    <w:rsid w:val="3A7100AA"/>
    <w:rsid w:val="3A7206CF"/>
    <w:rsid w:val="3A775CE5"/>
    <w:rsid w:val="3A8B1791"/>
    <w:rsid w:val="3A9B7C26"/>
    <w:rsid w:val="3A9E6867"/>
    <w:rsid w:val="3AA362F7"/>
    <w:rsid w:val="3AA373CC"/>
    <w:rsid w:val="3ABD7ECF"/>
    <w:rsid w:val="3ACD3B57"/>
    <w:rsid w:val="3AD2116E"/>
    <w:rsid w:val="3AD818AF"/>
    <w:rsid w:val="3ADE5D64"/>
    <w:rsid w:val="3AE3337B"/>
    <w:rsid w:val="3AEA295B"/>
    <w:rsid w:val="3AFE1F63"/>
    <w:rsid w:val="3B023801"/>
    <w:rsid w:val="3B032ED0"/>
    <w:rsid w:val="3B07200E"/>
    <w:rsid w:val="3B077069"/>
    <w:rsid w:val="3B083F8B"/>
    <w:rsid w:val="3B1672AC"/>
    <w:rsid w:val="3B1A3DAF"/>
    <w:rsid w:val="3B1B6E04"/>
    <w:rsid w:val="3B20012B"/>
    <w:rsid w:val="3B215A78"/>
    <w:rsid w:val="3B2B6BC5"/>
    <w:rsid w:val="3B2F036E"/>
    <w:rsid w:val="3B301429"/>
    <w:rsid w:val="3B335AFE"/>
    <w:rsid w:val="3B375BD2"/>
    <w:rsid w:val="3B3B4F65"/>
    <w:rsid w:val="3B4E0626"/>
    <w:rsid w:val="3B4F27BE"/>
    <w:rsid w:val="3B561D9F"/>
    <w:rsid w:val="3B585B17"/>
    <w:rsid w:val="3B5E0972"/>
    <w:rsid w:val="3B5E2A01"/>
    <w:rsid w:val="3B697D24"/>
    <w:rsid w:val="3B6B3A9C"/>
    <w:rsid w:val="3B6E70E8"/>
    <w:rsid w:val="3B7A5A8D"/>
    <w:rsid w:val="3B826A16"/>
    <w:rsid w:val="3B842468"/>
    <w:rsid w:val="3B8A37F6"/>
    <w:rsid w:val="3B8B7C9A"/>
    <w:rsid w:val="3B933A7E"/>
    <w:rsid w:val="3B9603ED"/>
    <w:rsid w:val="3B9F54F4"/>
    <w:rsid w:val="3BA743A8"/>
    <w:rsid w:val="3BAF3466"/>
    <w:rsid w:val="3BB25971"/>
    <w:rsid w:val="3BB93856"/>
    <w:rsid w:val="3BC767F9"/>
    <w:rsid w:val="3BC907C3"/>
    <w:rsid w:val="3BC9431F"/>
    <w:rsid w:val="3BD31641"/>
    <w:rsid w:val="3BD539ED"/>
    <w:rsid w:val="3BD72EE0"/>
    <w:rsid w:val="3BD827B4"/>
    <w:rsid w:val="3BE75ACE"/>
    <w:rsid w:val="3BE9596A"/>
    <w:rsid w:val="3BF01F32"/>
    <w:rsid w:val="3BF07775"/>
    <w:rsid w:val="3BF346B2"/>
    <w:rsid w:val="3BF82E56"/>
    <w:rsid w:val="3BF9665A"/>
    <w:rsid w:val="3BFA4E20"/>
    <w:rsid w:val="3C0B19F1"/>
    <w:rsid w:val="3C153A08"/>
    <w:rsid w:val="3C187054"/>
    <w:rsid w:val="3C2020FE"/>
    <w:rsid w:val="3C2302D4"/>
    <w:rsid w:val="3C243C4B"/>
    <w:rsid w:val="3C261771"/>
    <w:rsid w:val="3C306904"/>
    <w:rsid w:val="3C342025"/>
    <w:rsid w:val="3C3420E0"/>
    <w:rsid w:val="3C363418"/>
    <w:rsid w:val="3C3C072D"/>
    <w:rsid w:val="3C430575"/>
    <w:rsid w:val="3C4A708C"/>
    <w:rsid w:val="3C4D5050"/>
    <w:rsid w:val="3C761E95"/>
    <w:rsid w:val="3C77021F"/>
    <w:rsid w:val="3C7854AF"/>
    <w:rsid w:val="3C7E335B"/>
    <w:rsid w:val="3C8666B4"/>
    <w:rsid w:val="3C9306B9"/>
    <w:rsid w:val="3C9F32D2"/>
    <w:rsid w:val="3CAA23A2"/>
    <w:rsid w:val="3CB7686D"/>
    <w:rsid w:val="3CBD0105"/>
    <w:rsid w:val="3CD04C4C"/>
    <w:rsid w:val="3CD1792F"/>
    <w:rsid w:val="3CDC4526"/>
    <w:rsid w:val="3CF22F2D"/>
    <w:rsid w:val="3CFA0B24"/>
    <w:rsid w:val="3CFB49AC"/>
    <w:rsid w:val="3D023F8C"/>
    <w:rsid w:val="3D0719EB"/>
    <w:rsid w:val="3D0958FF"/>
    <w:rsid w:val="3D0F3559"/>
    <w:rsid w:val="3D0F66A9"/>
    <w:rsid w:val="3D136199"/>
    <w:rsid w:val="3D166483"/>
    <w:rsid w:val="3D1E069A"/>
    <w:rsid w:val="3D1F5EBB"/>
    <w:rsid w:val="3D2F28A7"/>
    <w:rsid w:val="3D324146"/>
    <w:rsid w:val="3D34414A"/>
    <w:rsid w:val="3D3954D4"/>
    <w:rsid w:val="3D4574BF"/>
    <w:rsid w:val="3D492C2B"/>
    <w:rsid w:val="3D4A5933"/>
    <w:rsid w:val="3D4C16AB"/>
    <w:rsid w:val="3D562F18"/>
    <w:rsid w:val="3D586A29"/>
    <w:rsid w:val="3D5C1EF0"/>
    <w:rsid w:val="3D5F61C9"/>
    <w:rsid w:val="3D714C6E"/>
    <w:rsid w:val="3D7B5AED"/>
    <w:rsid w:val="3D890FCA"/>
    <w:rsid w:val="3D8C44DD"/>
    <w:rsid w:val="3D8E75CE"/>
    <w:rsid w:val="3D96397D"/>
    <w:rsid w:val="3DA52B6A"/>
    <w:rsid w:val="3DB01748"/>
    <w:rsid w:val="3DB1150E"/>
    <w:rsid w:val="3DB72FC9"/>
    <w:rsid w:val="3DB80AEF"/>
    <w:rsid w:val="3DB86D41"/>
    <w:rsid w:val="3DC267B0"/>
    <w:rsid w:val="3DC47569"/>
    <w:rsid w:val="3DD43653"/>
    <w:rsid w:val="3DD86A9B"/>
    <w:rsid w:val="3DDD67A7"/>
    <w:rsid w:val="3DDF42CD"/>
    <w:rsid w:val="3DE11F35"/>
    <w:rsid w:val="3DE732E4"/>
    <w:rsid w:val="3DED534A"/>
    <w:rsid w:val="3DEE2762"/>
    <w:rsid w:val="3DF77869"/>
    <w:rsid w:val="3E0166B6"/>
    <w:rsid w:val="3E1201FF"/>
    <w:rsid w:val="3E2716E8"/>
    <w:rsid w:val="3E287A22"/>
    <w:rsid w:val="3E300685"/>
    <w:rsid w:val="3E38578C"/>
    <w:rsid w:val="3E3A59A8"/>
    <w:rsid w:val="3E3E7246"/>
    <w:rsid w:val="3E46361E"/>
    <w:rsid w:val="3E5B11D2"/>
    <w:rsid w:val="3E5B57B7"/>
    <w:rsid w:val="3E5E3444"/>
    <w:rsid w:val="3E693B97"/>
    <w:rsid w:val="3E737538"/>
    <w:rsid w:val="3E743871"/>
    <w:rsid w:val="3E785CFB"/>
    <w:rsid w:val="3E810EE1"/>
    <w:rsid w:val="3E854E75"/>
    <w:rsid w:val="3E895D15"/>
    <w:rsid w:val="3E9055C8"/>
    <w:rsid w:val="3E907376"/>
    <w:rsid w:val="3E9E7CE5"/>
    <w:rsid w:val="3EA5009E"/>
    <w:rsid w:val="3EA6693C"/>
    <w:rsid w:val="3EA96CFC"/>
    <w:rsid w:val="3EB23790"/>
    <w:rsid w:val="3EB70DA6"/>
    <w:rsid w:val="3EB92353"/>
    <w:rsid w:val="3EB9344B"/>
    <w:rsid w:val="3EBC016B"/>
    <w:rsid w:val="3EBD4FE1"/>
    <w:rsid w:val="3ECF4342"/>
    <w:rsid w:val="3ED054B3"/>
    <w:rsid w:val="3ED92ACB"/>
    <w:rsid w:val="3EDE6333"/>
    <w:rsid w:val="3EF32C54"/>
    <w:rsid w:val="3EF37E0E"/>
    <w:rsid w:val="3EF913BF"/>
    <w:rsid w:val="3EF94F1B"/>
    <w:rsid w:val="3F02006D"/>
    <w:rsid w:val="3F081602"/>
    <w:rsid w:val="3F1C2503"/>
    <w:rsid w:val="3F2759C2"/>
    <w:rsid w:val="3F301AC1"/>
    <w:rsid w:val="3F305553"/>
    <w:rsid w:val="3F3256FF"/>
    <w:rsid w:val="3F36616F"/>
    <w:rsid w:val="3F3D5750"/>
    <w:rsid w:val="3F4343E8"/>
    <w:rsid w:val="3F4927A8"/>
    <w:rsid w:val="3F4A7E6C"/>
    <w:rsid w:val="3F4F7231"/>
    <w:rsid w:val="3F546C30"/>
    <w:rsid w:val="3F5B13EC"/>
    <w:rsid w:val="3F5B3453"/>
    <w:rsid w:val="3F5B3E28"/>
    <w:rsid w:val="3F5D7BA0"/>
    <w:rsid w:val="3F60143E"/>
    <w:rsid w:val="3F67427D"/>
    <w:rsid w:val="3F6F78D3"/>
    <w:rsid w:val="3F7C4A37"/>
    <w:rsid w:val="3F836EDA"/>
    <w:rsid w:val="3F8C727A"/>
    <w:rsid w:val="3F8E5FAB"/>
    <w:rsid w:val="3F8F10A7"/>
    <w:rsid w:val="3FA15A86"/>
    <w:rsid w:val="3FA23805"/>
    <w:rsid w:val="3FA615F6"/>
    <w:rsid w:val="3FA73C06"/>
    <w:rsid w:val="3FB83028"/>
    <w:rsid w:val="3FBB0422"/>
    <w:rsid w:val="3FC25C55"/>
    <w:rsid w:val="3FCE0156"/>
    <w:rsid w:val="3FD55988"/>
    <w:rsid w:val="3FDE2096"/>
    <w:rsid w:val="3FEC4A80"/>
    <w:rsid w:val="40050660"/>
    <w:rsid w:val="40086FBA"/>
    <w:rsid w:val="400D3374"/>
    <w:rsid w:val="40153FD6"/>
    <w:rsid w:val="401D732F"/>
    <w:rsid w:val="40262646"/>
    <w:rsid w:val="40267F92"/>
    <w:rsid w:val="402E43EB"/>
    <w:rsid w:val="40386FC8"/>
    <w:rsid w:val="404843AC"/>
    <w:rsid w:val="40582115"/>
    <w:rsid w:val="405F5252"/>
    <w:rsid w:val="40624D42"/>
    <w:rsid w:val="406B10D6"/>
    <w:rsid w:val="406B3BF6"/>
    <w:rsid w:val="40784565"/>
    <w:rsid w:val="407E6CF4"/>
    <w:rsid w:val="40866C82"/>
    <w:rsid w:val="408829FA"/>
    <w:rsid w:val="409B5DEE"/>
    <w:rsid w:val="409D105B"/>
    <w:rsid w:val="409F1AF2"/>
    <w:rsid w:val="40BC2D96"/>
    <w:rsid w:val="40C559FD"/>
    <w:rsid w:val="40C652D1"/>
    <w:rsid w:val="40CB28E7"/>
    <w:rsid w:val="40CE565B"/>
    <w:rsid w:val="40DE261A"/>
    <w:rsid w:val="40E56788"/>
    <w:rsid w:val="40E816EB"/>
    <w:rsid w:val="40EB4D37"/>
    <w:rsid w:val="40ED4F53"/>
    <w:rsid w:val="40EE4F40"/>
    <w:rsid w:val="40F260C6"/>
    <w:rsid w:val="40F40F69"/>
    <w:rsid w:val="40F7192E"/>
    <w:rsid w:val="40F72D63"/>
    <w:rsid w:val="40F867EB"/>
    <w:rsid w:val="40FC622F"/>
    <w:rsid w:val="41004AA8"/>
    <w:rsid w:val="410F4ECA"/>
    <w:rsid w:val="41197AF6"/>
    <w:rsid w:val="411B6481"/>
    <w:rsid w:val="41202C33"/>
    <w:rsid w:val="412A2779"/>
    <w:rsid w:val="41456493"/>
    <w:rsid w:val="414D1E51"/>
    <w:rsid w:val="415140C2"/>
    <w:rsid w:val="41596772"/>
    <w:rsid w:val="415A4D26"/>
    <w:rsid w:val="415C5F21"/>
    <w:rsid w:val="415E375B"/>
    <w:rsid w:val="41610197"/>
    <w:rsid w:val="41650F8E"/>
    <w:rsid w:val="416C231C"/>
    <w:rsid w:val="416F7716"/>
    <w:rsid w:val="4171423F"/>
    <w:rsid w:val="41735459"/>
    <w:rsid w:val="41792343"/>
    <w:rsid w:val="418B6BE2"/>
    <w:rsid w:val="41943621"/>
    <w:rsid w:val="4194717D"/>
    <w:rsid w:val="41967399"/>
    <w:rsid w:val="419D4283"/>
    <w:rsid w:val="41AD023F"/>
    <w:rsid w:val="41B00848"/>
    <w:rsid w:val="41B0748D"/>
    <w:rsid w:val="41B415CD"/>
    <w:rsid w:val="41BD0482"/>
    <w:rsid w:val="41C21F3C"/>
    <w:rsid w:val="41C55588"/>
    <w:rsid w:val="41CA61D6"/>
    <w:rsid w:val="41D13F2D"/>
    <w:rsid w:val="41E50A87"/>
    <w:rsid w:val="41E974C9"/>
    <w:rsid w:val="41EC0C13"/>
    <w:rsid w:val="41EE2D31"/>
    <w:rsid w:val="41FB71FC"/>
    <w:rsid w:val="41FC5DD6"/>
    <w:rsid w:val="42020C0F"/>
    <w:rsid w:val="4202196D"/>
    <w:rsid w:val="420A743F"/>
    <w:rsid w:val="420C3C3C"/>
    <w:rsid w:val="420F2CA7"/>
    <w:rsid w:val="42173F67"/>
    <w:rsid w:val="42185BBC"/>
    <w:rsid w:val="421877CE"/>
    <w:rsid w:val="421C20FC"/>
    <w:rsid w:val="42274495"/>
    <w:rsid w:val="422B5D33"/>
    <w:rsid w:val="423170C2"/>
    <w:rsid w:val="42330C65"/>
    <w:rsid w:val="42366486"/>
    <w:rsid w:val="423853DE"/>
    <w:rsid w:val="423A7D24"/>
    <w:rsid w:val="423B584A"/>
    <w:rsid w:val="423F17DF"/>
    <w:rsid w:val="42416CF7"/>
    <w:rsid w:val="424B1F31"/>
    <w:rsid w:val="425F29BA"/>
    <w:rsid w:val="42642FF3"/>
    <w:rsid w:val="426E0D43"/>
    <w:rsid w:val="42701998"/>
    <w:rsid w:val="42793F56"/>
    <w:rsid w:val="427C77E8"/>
    <w:rsid w:val="427F1849"/>
    <w:rsid w:val="428C57C4"/>
    <w:rsid w:val="429A6A15"/>
    <w:rsid w:val="42A95426"/>
    <w:rsid w:val="42B42520"/>
    <w:rsid w:val="42BA0E65"/>
    <w:rsid w:val="42C43A92"/>
    <w:rsid w:val="42C617E9"/>
    <w:rsid w:val="42CF3ED7"/>
    <w:rsid w:val="42D00689"/>
    <w:rsid w:val="42E2191B"/>
    <w:rsid w:val="42EF6D61"/>
    <w:rsid w:val="42FA01B2"/>
    <w:rsid w:val="42FF3E34"/>
    <w:rsid w:val="43040332"/>
    <w:rsid w:val="4304075F"/>
    <w:rsid w:val="430815C5"/>
    <w:rsid w:val="43106CD7"/>
    <w:rsid w:val="4313055E"/>
    <w:rsid w:val="4315253F"/>
    <w:rsid w:val="431A7B56"/>
    <w:rsid w:val="43255A95"/>
    <w:rsid w:val="43385AD2"/>
    <w:rsid w:val="433E3BA6"/>
    <w:rsid w:val="433F67BF"/>
    <w:rsid w:val="43505326"/>
    <w:rsid w:val="43560B8E"/>
    <w:rsid w:val="435D4C1C"/>
    <w:rsid w:val="436456F5"/>
    <w:rsid w:val="43653CF9"/>
    <w:rsid w:val="437E00E5"/>
    <w:rsid w:val="4382025C"/>
    <w:rsid w:val="439118D2"/>
    <w:rsid w:val="439671DC"/>
    <w:rsid w:val="439C4B3A"/>
    <w:rsid w:val="43A3589E"/>
    <w:rsid w:val="43AA3FB3"/>
    <w:rsid w:val="43B458B4"/>
    <w:rsid w:val="43C318BF"/>
    <w:rsid w:val="43C401ED"/>
    <w:rsid w:val="43CA332A"/>
    <w:rsid w:val="43D23F8D"/>
    <w:rsid w:val="43DE0B83"/>
    <w:rsid w:val="43EA6B05"/>
    <w:rsid w:val="43ED6EAB"/>
    <w:rsid w:val="43EF2D90"/>
    <w:rsid w:val="43EF4B3E"/>
    <w:rsid w:val="43F63C91"/>
    <w:rsid w:val="43F9776B"/>
    <w:rsid w:val="43FD36FF"/>
    <w:rsid w:val="4400619E"/>
    <w:rsid w:val="44110F59"/>
    <w:rsid w:val="44134CD1"/>
    <w:rsid w:val="441D0E65"/>
    <w:rsid w:val="44231564"/>
    <w:rsid w:val="4423171A"/>
    <w:rsid w:val="442E1B0B"/>
    <w:rsid w:val="44315157"/>
    <w:rsid w:val="44321DA4"/>
    <w:rsid w:val="443A1503"/>
    <w:rsid w:val="443C52C1"/>
    <w:rsid w:val="443D375D"/>
    <w:rsid w:val="44412169"/>
    <w:rsid w:val="444430DC"/>
    <w:rsid w:val="444A6219"/>
    <w:rsid w:val="444E7AE4"/>
    <w:rsid w:val="4450162C"/>
    <w:rsid w:val="445D5F4C"/>
    <w:rsid w:val="44626764"/>
    <w:rsid w:val="4473408E"/>
    <w:rsid w:val="44735770"/>
    <w:rsid w:val="44771CDC"/>
    <w:rsid w:val="4488746D"/>
    <w:rsid w:val="448D4A83"/>
    <w:rsid w:val="4492209A"/>
    <w:rsid w:val="44945701"/>
    <w:rsid w:val="44981F38"/>
    <w:rsid w:val="449C4CC6"/>
    <w:rsid w:val="44A21BB1"/>
    <w:rsid w:val="44AA2603"/>
    <w:rsid w:val="44AC2A30"/>
    <w:rsid w:val="44B106E9"/>
    <w:rsid w:val="44B60D42"/>
    <w:rsid w:val="44BF7A5F"/>
    <w:rsid w:val="44CC3306"/>
    <w:rsid w:val="44D501D8"/>
    <w:rsid w:val="44DF2E05"/>
    <w:rsid w:val="44E1092B"/>
    <w:rsid w:val="44E252A3"/>
    <w:rsid w:val="44E44DA0"/>
    <w:rsid w:val="44E56EC9"/>
    <w:rsid w:val="44E6339A"/>
    <w:rsid w:val="44EB17AA"/>
    <w:rsid w:val="45004FE0"/>
    <w:rsid w:val="450308A1"/>
    <w:rsid w:val="45047740"/>
    <w:rsid w:val="450D7972"/>
    <w:rsid w:val="4530540F"/>
    <w:rsid w:val="45322F35"/>
    <w:rsid w:val="45444E9C"/>
    <w:rsid w:val="45452CB5"/>
    <w:rsid w:val="45521E45"/>
    <w:rsid w:val="455832B8"/>
    <w:rsid w:val="45603F46"/>
    <w:rsid w:val="45630885"/>
    <w:rsid w:val="45645ED5"/>
    <w:rsid w:val="4576376F"/>
    <w:rsid w:val="4585533A"/>
    <w:rsid w:val="459534C4"/>
    <w:rsid w:val="459A3F8A"/>
    <w:rsid w:val="45A8769B"/>
    <w:rsid w:val="45AA3413"/>
    <w:rsid w:val="45AD2F03"/>
    <w:rsid w:val="45B20519"/>
    <w:rsid w:val="45B829C9"/>
    <w:rsid w:val="45C2075D"/>
    <w:rsid w:val="45CF7AFE"/>
    <w:rsid w:val="45DD5472"/>
    <w:rsid w:val="45E178E3"/>
    <w:rsid w:val="45EE1FD8"/>
    <w:rsid w:val="45F0198C"/>
    <w:rsid w:val="45F17DBA"/>
    <w:rsid w:val="45F379F6"/>
    <w:rsid w:val="45F43E60"/>
    <w:rsid w:val="45F709E5"/>
    <w:rsid w:val="460B7378"/>
    <w:rsid w:val="460C7C2A"/>
    <w:rsid w:val="4612476D"/>
    <w:rsid w:val="4614672F"/>
    <w:rsid w:val="46164604"/>
    <w:rsid w:val="461F3847"/>
    <w:rsid w:val="462A00B0"/>
    <w:rsid w:val="462D194E"/>
    <w:rsid w:val="463320F3"/>
    <w:rsid w:val="4635721D"/>
    <w:rsid w:val="464263BF"/>
    <w:rsid w:val="464A1C59"/>
    <w:rsid w:val="465864BA"/>
    <w:rsid w:val="46626B9E"/>
    <w:rsid w:val="46676A7A"/>
    <w:rsid w:val="466B6796"/>
    <w:rsid w:val="46761EE9"/>
    <w:rsid w:val="467632F5"/>
    <w:rsid w:val="46821C9A"/>
    <w:rsid w:val="468462CB"/>
    <w:rsid w:val="468A06D3"/>
    <w:rsid w:val="468D7067"/>
    <w:rsid w:val="469C7200"/>
    <w:rsid w:val="46A165C4"/>
    <w:rsid w:val="46AC31BB"/>
    <w:rsid w:val="46AE0CE1"/>
    <w:rsid w:val="46C702A6"/>
    <w:rsid w:val="46CF7A29"/>
    <w:rsid w:val="46D64942"/>
    <w:rsid w:val="46DC3AA0"/>
    <w:rsid w:val="46E54D6E"/>
    <w:rsid w:val="46E841F3"/>
    <w:rsid w:val="46F431BC"/>
    <w:rsid w:val="46F801AE"/>
    <w:rsid w:val="46FB55D2"/>
    <w:rsid w:val="470225B2"/>
    <w:rsid w:val="47071909"/>
    <w:rsid w:val="470923BB"/>
    <w:rsid w:val="470E670C"/>
    <w:rsid w:val="47132A24"/>
    <w:rsid w:val="47222B39"/>
    <w:rsid w:val="4723347D"/>
    <w:rsid w:val="472529AB"/>
    <w:rsid w:val="47321912"/>
    <w:rsid w:val="47326665"/>
    <w:rsid w:val="473F7B8B"/>
    <w:rsid w:val="47407557"/>
    <w:rsid w:val="474433F3"/>
    <w:rsid w:val="47456698"/>
    <w:rsid w:val="474A51D8"/>
    <w:rsid w:val="47534622"/>
    <w:rsid w:val="475C24EB"/>
    <w:rsid w:val="475E44B5"/>
    <w:rsid w:val="476615BC"/>
    <w:rsid w:val="477F51F1"/>
    <w:rsid w:val="478329E8"/>
    <w:rsid w:val="47953C4F"/>
    <w:rsid w:val="47990211"/>
    <w:rsid w:val="47A520E4"/>
    <w:rsid w:val="47B95727"/>
    <w:rsid w:val="47BB36B5"/>
    <w:rsid w:val="47BB477B"/>
    <w:rsid w:val="47C661BA"/>
    <w:rsid w:val="47CF7161"/>
    <w:rsid w:val="47EF0A21"/>
    <w:rsid w:val="47EF3CC9"/>
    <w:rsid w:val="47F646ED"/>
    <w:rsid w:val="480466A4"/>
    <w:rsid w:val="480542FE"/>
    <w:rsid w:val="480A63EB"/>
    <w:rsid w:val="480E0A3C"/>
    <w:rsid w:val="48100CC3"/>
    <w:rsid w:val="48114597"/>
    <w:rsid w:val="48153F2E"/>
    <w:rsid w:val="481C7BD3"/>
    <w:rsid w:val="481D7ECC"/>
    <w:rsid w:val="481E5F6E"/>
    <w:rsid w:val="48253F63"/>
    <w:rsid w:val="482C45B3"/>
    <w:rsid w:val="482C6361"/>
    <w:rsid w:val="483237A1"/>
    <w:rsid w:val="483D554C"/>
    <w:rsid w:val="484746CA"/>
    <w:rsid w:val="484867F1"/>
    <w:rsid w:val="485671BC"/>
    <w:rsid w:val="486A053D"/>
    <w:rsid w:val="486F120B"/>
    <w:rsid w:val="487033E6"/>
    <w:rsid w:val="487B2E45"/>
    <w:rsid w:val="487D6E9C"/>
    <w:rsid w:val="48834CC2"/>
    <w:rsid w:val="48843AAB"/>
    <w:rsid w:val="48967131"/>
    <w:rsid w:val="48991F9B"/>
    <w:rsid w:val="489D725F"/>
    <w:rsid w:val="48A31E18"/>
    <w:rsid w:val="48A541A6"/>
    <w:rsid w:val="48A91760"/>
    <w:rsid w:val="48B16866"/>
    <w:rsid w:val="48B26A27"/>
    <w:rsid w:val="48B63E7D"/>
    <w:rsid w:val="48C1518A"/>
    <w:rsid w:val="48C5256D"/>
    <w:rsid w:val="48D10CB7"/>
    <w:rsid w:val="48D569F9"/>
    <w:rsid w:val="48D82045"/>
    <w:rsid w:val="48E11D5B"/>
    <w:rsid w:val="48E22EC4"/>
    <w:rsid w:val="48E374F8"/>
    <w:rsid w:val="48E9432B"/>
    <w:rsid w:val="48EE48DB"/>
    <w:rsid w:val="48FD385A"/>
    <w:rsid w:val="48FF7FCB"/>
    <w:rsid w:val="49042E3A"/>
    <w:rsid w:val="49054405"/>
    <w:rsid w:val="4907292A"/>
    <w:rsid w:val="492E435B"/>
    <w:rsid w:val="492F64E0"/>
    <w:rsid w:val="493279A7"/>
    <w:rsid w:val="493C0826"/>
    <w:rsid w:val="493F1574"/>
    <w:rsid w:val="49402663"/>
    <w:rsid w:val="494808C3"/>
    <w:rsid w:val="49494CF1"/>
    <w:rsid w:val="494E0559"/>
    <w:rsid w:val="49527BA9"/>
    <w:rsid w:val="49553696"/>
    <w:rsid w:val="495A0CAC"/>
    <w:rsid w:val="49697141"/>
    <w:rsid w:val="496E6CA3"/>
    <w:rsid w:val="497F6965"/>
    <w:rsid w:val="498F4DFA"/>
    <w:rsid w:val="49940662"/>
    <w:rsid w:val="49A753FA"/>
    <w:rsid w:val="49A800A8"/>
    <w:rsid w:val="49AB2B55"/>
    <w:rsid w:val="49B410A5"/>
    <w:rsid w:val="49B93987"/>
    <w:rsid w:val="49BB5BEF"/>
    <w:rsid w:val="49BE353F"/>
    <w:rsid w:val="49BE7406"/>
    <w:rsid w:val="49C600F0"/>
    <w:rsid w:val="49CD36F0"/>
    <w:rsid w:val="49D4280C"/>
    <w:rsid w:val="49DB1DED"/>
    <w:rsid w:val="49EA0BB5"/>
    <w:rsid w:val="49EE6CD1"/>
    <w:rsid w:val="49F7474D"/>
    <w:rsid w:val="49FC7FB5"/>
    <w:rsid w:val="49FE1F7F"/>
    <w:rsid w:val="49FE3381"/>
    <w:rsid w:val="4A093ADF"/>
    <w:rsid w:val="4A1913A8"/>
    <w:rsid w:val="4A201EF6"/>
    <w:rsid w:val="4A2A68D0"/>
    <w:rsid w:val="4A3414FD"/>
    <w:rsid w:val="4A3E05CE"/>
    <w:rsid w:val="4A4462D6"/>
    <w:rsid w:val="4A4A0D21"/>
    <w:rsid w:val="4A4B7E49"/>
    <w:rsid w:val="4A510971"/>
    <w:rsid w:val="4A534BDB"/>
    <w:rsid w:val="4A53602D"/>
    <w:rsid w:val="4A5676C5"/>
    <w:rsid w:val="4A5C2802"/>
    <w:rsid w:val="4A6B0B6F"/>
    <w:rsid w:val="4A6C4913"/>
    <w:rsid w:val="4A6C6EE9"/>
    <w:rsid w:val="4A714DCF"/>
    <w:rsid w:val="4A7362D5"/>
    <w:rsid w:val="4A7933B4"/>
    <w:rsid w:val="4A8A62E2"/>
    <w:rsid w:val="4A946440"/>
    <w:rsid w:val="4A957C62"/>
    <w:rsid w:val="4A9621B8"/>
    <w:rsid w:val="4A973436"/>
    <w:rsid w:val="4A9B77CE"/>
    <w:rsid w:val="4AA735BF"/>
    <w:rsid w:val="4AA767D1"/>
    <w:rsid w:val="4AAD305D"/>
    <w:rsid w:val="4AAD4BDB"/>
    <w:rsid w:val="4AB32D6A"/>
    <w:rsid w:val="4AB80EF1"/>
    <w:rsid w:val="4AB97C54"/>
    <w:rsid w:val="4AC15D58"/>
    <w:rsid w:val="4AC35325"/>
    <w:rsid w:val="4AC5189E"/>
    <w:rsid w:val="4ACC59CC"/>
    <w:rsid w:val="4AD131F0"/>
    <w:rsid w:val="4AE47571"/>
    <w:rsid w:val="4AE56E9A"/>
    <w:rsid w:val="4AEE78FE"/>
    <w:rsid w:val="4AF07B1A"/>
    <w:rsid w:val="4AF314C2"/>
    <w:rsid w:val="4AF3760A"/>
    <w:rsid w:val="4AF64A04"/>
    <w:rsid w:val="4AF76864"/>
    <w:rsid w:val="4AFD5D93"/>
    <w:rsid w:val="4B0215FB"/>
    <w:rsid w:val="4B0D6EC7"/>
    <w:rsid w:val="4B102BAE"/>
    <w:rsid w:val="4B1B6EE6"/>
    <w:rsid w:val="4B217CD3"/>
    <w:rsid w:val="4B272E10"/>
    <w:rsid w:val="4B307F16"/>
    <w:rsid w:val="4B41796F"/>
    <w:rsid w:val="4B447E66"/>
    <w:rsid w:val="4B656DAC"/>
    <w:rsid w:val="4B700C5B"/>
    <w:rsid w:val="4B7B327C"/>
    <w:rsid w:val="4B7B3C27"/>
    <w:rsid w:val="4B7C0DDC"/>
    <w:rsid w:val="4B7D0C82"/>
    <w:rsid w:val="4B8244EA"/>
    <w:rsid w:val="4B840262"/>
    <w:rsid w:val="4B887D52"/>
    <w:rsid w:val="4B893ACB"/>
    <w:rsid w:val="4B8D5369"/>
    <w:rsid w:val="4B92297F"/>
    <w:rsid w:val="4BA35E69"/>
    <w:rsid w:val="4BAD5A0B"/>
    <w:rsid w:val="4BAF7BAE"/>
    <w:rsid w:val="4BB33E8F"/>
    <w:rsid w:val="4BB42D57"/>
    <w:rsid w:val="4BB46D99"/>
    <w:rsid w:val="4BB5666E"/>
    <w:rsid w:val="4BBA58E8"/>
    <w:rsid w:val="4BD25472"/>
    <w:rsid w:val="4BDA40BF"/>
    <w:rsid w:val="4BDC009E"/>
    <w:rsid w:val="4BDC67D7"/>
    <w:rsid w:val="4BEF7DD1"/>
    <w:rsid w:val="4BF54CBC"/>
    <w:rsid w:val="4BFB1A82"/>
    <w:rsid w:val="4C02499E"/>
    <w:rsid w:val="4C0A69B9"/>
    <w:rsid w:val="4C11357F"/>
    <w:rsid w:val="4C147838"/>
    <w:rsid w:val="4C166945"/>
    <w:rsid w:val="4C196BFC"/>
    <w:rsid w:val="4C1B0BC7"/>
    <w:rsid w:val="4C1E06B7"/>
    <w:rsid w:val="4C235CCD"/>
    <w:rsid w:val="4C2A762B"/>
    <w:rsid w:val="4C2F003F"/>
    <w:rsid w:val="4C3103EA"/>
    <w:rsid w:val="4C3752D5"/>
    <w:rsid w:val="4C3E2B07"/>
    <w:rsid w:val="4C431ECB"/>
    <w:rsid w:val="4C48746A"/>
    <w:rsid w:val="4C4F0870"/>
    <w:rsid w:val="4C545E87"/>
    <w:rsid w:val="4C560CC5"/>
    <w:rsid w:val="4C5E66D1"/>
    <w:rsid w:val="4C60482B"/>
    <w:rsid w:val="4C6065D9"/>
    <w:rsid w:val="4C624F86"/>
    <w:rsid w:val="4C6D25D8"/>
    <w:rsid w:val="4C714C8A"/>
    <w:rsid w:val="4C734286"/>
    <w:rsid w:val="4C786019"/>
    <w:rsid w:val="4C7E0910"/>
    <w:rsid w:val="4C8147A2"/>
    <w:rsid w:val="4C8D1398"/>
    <w:rsid w:val="4C8E5B43"/>
    <w:rsid w:val="4C96649F"/>
    <w:rsid w:val="4CA65CD4"/>
    <w:rsid w:val="4CA85360"/>
    <w:rsid w:val="4CA961D2"/>
    <w:rsid w:val="4CAA2A61"/>
    <w:rsid w:val="4CB06E3F"/>
    <w:rsid w:val="4CB1440A"/>
    <w:rsid w:val="4CB52B5F"/>
    <w:rsid w:val="4CB52CD4"/>
    <w:rsid w:val="4CB93F3C"/>
    <w:rsid w:val="4CB94D3D"/>
    <w:rsid w:val="4CBB378D"/>
    <w:rsid w:val="4CC33818"/>
    <w:rsid w:val="4CC87159"/>
    <w:rsid w:val="4CCC0113"/>
    <w:rsid w:val="4CCE5C39"/>
    <w:rsid w:val="4CE114E8"/>
    <w:rsid w:val="4D017260"/>
    <w:rsid w:val="4D0413E0"/>
    <w:rsid w:val="4D096B90"/>
    <w:rsid w:val="4D0A4797"/>
    <w:rsid w:val="4D164284"/>
    <w:rsid w:val="4D186CC4"/>
    <w:rsid w:val="4D1B4BF6"/>
    <w:rsid w:val="4D21045F"/>
    <w:rsid w:val="4D2105CD"/>
    <w:rsid w:val="4D246103"/>
    <w:rsid w:val="4D297313"/>
    <w:rsid w:val="4D2B308B"/>
    <w:rsid w:val="4D2F41FE"/>
    <w:rsid w:val="4D3D1CC9"/>
    <w:rsid w:val="4D44459F"/>
    <w:rsid w:val="4D557BB2"/>
    <w:rsid w:val="4D644D3A"/>
    <w:rsid w:val="4D650311"/>
    <w:rsid w:val="4D79373C"/>
    <w:rsid w:val="4D814A59"/>
    <w:rsid w:val="4D8409ED"/>
    <w:rsid w:val="4D8F6A66"/>
    <w:rsid w:val="4D941508"/>
    <w:rsid w:val="4D994499"/>
    <w:rsid w:val="4D9F1383"/>
    <w:rsid w:val="4D9F30F3"/>
    <w:rsid w:val="4DA1744F"/>
    <w:rsid w:val="4DA5297E"/>
    <w:rsid w:val="4DAA0962"/>
    <w:rsid w:val="4DBC2D53"/>
    <w:rsid w:val="4DC112FA"/>
    <w:rsid w:val="4DCE3C16"/>
    <w:rsid w:val="4DD92AE7"/>
    <w:rsid w:val="4DE72231"/>
    <w:rsid w:val="4DE84861"/>
    <w:rsid w:val="4DE93D72"/>
    <w:rsid w:val="4DF06083"/>
    <w:rsid w:val="4DF2785D"/>
    <w:rsid w:val="4DF439FC"/>
    <w:rsid w:val="4DFC384C"/>
    <w:rsid w:val="4DFE254E"/>
    <w:rsid w:val="4E013DEC"/>
    <w:rsid w:val="4E052422"/>
    <w:rsid w:val="4E05569D"/>
    <w:rsid w:val="4E094A4F"/>
    <w:rsid w:val="4E2A280A"/>
    <w:rsid w:val="4E35193A"/>
    <w:rsid w:val="4E361CE8"/>
    <w:rsid w:val="4E3C3076"/>
    <w:rsid w:val="4E3E51EE"/>
    <w:rsid w:val="4E404914"/>
    <w:rsid w:val="4E42742A"/>
    <w:rsid w:val="4E4E2408"/>
    <w:rsid w:val="4E573A0C"/>
    <w:rsid w:val="4E5C1022"/>
    <w:rsid w:val="4E606D65"/>
    <w:rsid w:val="4E685C19"/>
    <w:rsid w:val="4E6B7D3D"/>
    <w:rsid w:val="4E84615C"/>
    <w:rsid w:val="4E880069"/>
    <w:rsid w:val="4E8C7B5A"/>
    <w:rsid w:val="4E902FDA"/>
    <w:rsid w:val="4E986301"/>
    <w:rsid w:val="4E9E5ADF"/>
    <w:rsid w:val="4EA76741"/>
    <w:rsid w:val="4EB8094F"/>
    <w:rsid w:val="4EB946C7"/>
    <w:rsid w:val="4EC46B6C"/>
    <w:rsid w:val="4ECB7240"/>
    <w:rsid w:val="4ECC61A8"/>
    <w:rsid w:val="4ECF3EEA"/>
    <w:rsid w:val="4ED26012"/>
    <w:rsid w:val="4ED35788"/>
    <w:rsid w:val="4EDE412D"/>
    <w:rsid w:val="4EE96D5A"/>
    <w:rsid w:val="4F0A0A7E"/>
    <w:rsid w:val="4F0C47F7"/>
    <w:rsid w:val="4F193510"/>
    <w:rsid w:val="4F1A1ED7"/>
    <w:rsid w:val="4F2265A8"/>
    <w:rsid w:val="4F2626BD"/>
    <w:rsid w:val="4F2F45BD"/>
    <w:rsid w:val="4F363F69"/>
    <w:rsid w:val="4F391364"/>
    <w:rsid w:val="4F3D2C02"/>
    <w:rsid w:val="4F3F510F"/>
    <w:rsid w:val="4F4026F2"/>
    <w:rsid w:val="4F4246BC"/>
    <w:rsid w:val="4F5435BF"/>
    <w:rsid w:val="4F587A3C"/>
    <w:rsid w:val="4F5C2919"/>
    <w:rsid w:val="4F5F0DCA"/>
    <w:rsid w:val="4F6665FD"/>
    <w:rsid w:val="4F6F1F1D"/>
    <w:rsid w:val="4F7725B8"/>
    <w:rsid w:val="4F7A598F"/>
    <w:rsid w:val="4F7F7914"/>
    <w:rsid w:val="4F826F9A"/>
    <w:rsid w:val="4F895E47"/>
    <w:rsid w:val="4F8B1BBF"/>
    <w:rsid w:val="4F8C340B"/>
    <w:rsid w:val="4F8C5937"/>
    <w:rsid w:val="4F8D5BC1"/>
    <w:rsid w:val="4F9547EC"/>
    <w:rsid w:val="4F97670E"/>
    <w:rsid w:val="4F9A44F8"/>
    <w:rsid w:val="4F9A62A6"/>
    <w:rsid w:val="4F9B0C76"/>
    <w:rsid w:val="4FAD6032"/>
    <w:rsid w:val="4FAF6F08"/>
    <w:rsid w:val="4FB64CC7"/>
    <w:rsid w:val="4FBF48DA"/>
    <w:rsid w:val="4FCE7CFE"/>
    <w:rsid w:val="4FDF65CD"/>
    <w:rsid w:val="4FF736F9"/>
    <w:rsid w:val="50016325"/>
    <w:rsid w:val="500440BE"/>
    <w:rsid w:val="500B0F52"/>
    <w:rsid w:val="501C4F0D"/>
    <w:rsid w:val="501E2A33"/>
    <w:rsid w:val="50221084"/>
    <w:rsid w:val="502C2772"/>
    <w:rsid w:val="502D2C76"/>
    <w:rsid w:val="503321DB"/>
    <w:rsid w:val="50360C4D"/>
    <w:rsid w:val="503E4D0C"/>
    <w:rsid w:val="50485F71"/>
    <w:rsid w:val="5050523F"/>
    <w:rsid w:val="50521F46"/>
    <w:rsid w:val="50523909"/>
    <w:rsid w:val="505D5C75"/>
    <w:rsid w:val="50616DC4"/>
    <w:rsid w:val="506444A8"/>
    <w:rsid w:val="50715259"/>
    <w:rsid w:val="50724B2D"/>
    <w:rsid w:val="507E7856"/>
    <w:rsid w:val="50832E29"/>
    <w:rsid w:val="508B3689"/>
    <w:rsid w:val="508B5FA6"/>
    <w:rsid w:val="50912B62"/>
    <w:rsid w:val="50933DA2"/>
    <w:rsid w:val="5095081C"/>
    <w:rsid w:val="509F386A"/>
    <w:rsid w:val="50CC248F"/>
    <w:rsid w:val="50CC6933"/>
    <w:rsid w:val="50E72A30"/>
    <w:rsid w:val="50F83046"/>
    <w:rsid w:val="51021216"/>
    <w:rsid w:val="512D6CA6"/>
    <w:rsid w:val="51304E67"/>
    <w:rsid w:val="51330760"/>
    <w:rsid w:val="51337B03"/>
    <w:rsid w:val="514C35D0"/>
    <w:rsid w:val="51710FE9"/>
    <w:rsid w:val="517C746F"/>
    <w:rsid w:val="517F676C"/>
    <w:rsid w:val="51844B18"/>
    <w:rsid w:val="51880C4A"/>
    <w:rsid w:val="518855B5"/>
    <w:rsid w:val="518B6028"/>
    <w:rsid w:val="51915487"/>
    <w:rsid w:val="51996E05"/>
    <w:rsid w:val="51A03C63"/>
    <w:rsid w:val="51A76A58"/>
    <w:rsid w:val="51AB479B"/>
    <w:rsid w:val="51B01DB1"/>
    <w:rsid w:val="51B11685"/>
    <w:rsid w:val="51B353FD"/>
    <w:rsid w:val="51BF0246"/>
    <w:rsid w:val="51C825BF"/>
    <w:rsid w:val="51DA0BDC"/>
    <w:rsid w:val="51DB0B9F"/>
    <w:rsid w:val="51DD247A"/>
    <w:rsid w:val="51E607DE"/>
    <w:rsid w:val="51E657D3"/>
    <w:rsid w:val="51E732F9"/>
    <w:rsid w:val="51F31C9E"/>
    <w:rsid w:val="51F37EF0"/>
    <w:rsid w:val="51F577C4"/>
    <w:rsid w:val="52090ACB"/>
    <w:rsid w:val="5210692D"/>
    <w:rsid w:val="521A722A"/>
    <w:rsid w:val="52224F02"/>
    <w:rsid w:val="5226105C"/>
    <w:rsid w:val="523A78CD"/>
    <w:rsid w:val="52426781"/>
    <w:rsid w:val="5244074B"/>
    <w:rsid w:val="524C5999"/>
    <w:rsid w:val="52512077"/>
    <w:rsid w:val="525A7F6F"/>
    <w:rsid w:val="525C31DF"/>
    <w:rsid w:val="525C33C1"/>
    <w:rsid w:val="525F10E1"/>
    <w:rsid w:val="526A369A"/>
    <w:rsid w:val="528172AA"/>
    <w:rsid w:val="52851486"/>
    <w:rsid w:val="52860D64"/>
    <w:rsid w:val="52915B93"/>
    <w:rsid w:val="52A5743C"/>
    <w:rsid w:val="52B3751A"/>
    <w:rsid w:val="52BB4769"/>
    <w:rsid w:val="52BD6456"/>
    <w:rsid w:val="52C11E03"/>
    <w:rsid w:val="52C865BF"/>
    <w:rsid w:val="52CB0C33"/>
    <w:rsid w:val="52D7035E"/>
    <w:rsid w:val="52DC6BD6"/>
    <w:rsid w:val="52E74A8F"/>
    <w:rsid w:val="52E8647A"/>
    <w:rsid w:val="531719BC"/>
    <w:rsid w:val="531B420E"/>
    <w:rsid w:val="53236374"/>
    <w:rsid w:val="53283BC9"/>
    <w:rsid w:val="5334256E"/>
    <w:rsid w:val="53380A63"/>
    <w:rsid w:val="53380DB2"/>
    <w:rsid w:val="5339047E"/>
    <w:rsid w:val="53402FC3"/>
    <w:rsid w:val="534034E3"/>
    <w:rsid w:val="53530C46"/>
    <w:rsid w:val="535624E4"/>
    <w:rsid w:val="53575126"/>
    <w:rsid w:val="535B15B5"/>
    <w:rsid w:val="53603363"/>
    <w:rsid w:val="53607807"/>
    <w:rsid w:val="5366378B"/>
    <w:rsid w:val="53665A9B"/>
    <w:rsid w:val="5371525C"/>
    <w:rsid w:val="53756B99"/>
    <w:rsid w:val="537876B9"/>
    <w:rsid w:val="53827989"/>
    <w:rsid w:val="53915C12"/>
    <w:rsid w:val="53980D4F"/>
    <w:rsid w:val="53995852"/>
    <w:rsid w:val="53A16C6A"/>
    <w:rsid w:val="53A170B9"/>
    <w:rsid w:val="53A2396F"/>
    <w:rsid w:val="53A560DC"/>
    <w:rsid w:val="53A9470E"/>
    <w:rsid w:val="53B66FD2"/>
    <w:rsid w:val="53BC6E8E"/>
    <w:rsid w:val="53BD1699"/>
    <w:rsid w:val="53BD3766"/>
    <w:rsid w:val="53C168E6"/>
    <w:rsid w:val="53CD4F92"/>
    <w:rsid w:val="53D33B35"/>
    <w:rsid w:val="53D34E12"/>
    <w:rsid w:val="53D40331"/>
    <w:rsid w:val="53D43F85"/>
    <w:rsid w:val="53E2084E"/>
    <w:rsid w:val="53EE4E13"/>
    <w:rsid w:val="53FD5043"/>
    <w:rsid w:val="540006A2"/>
    <w:rsid w:val="54046EC0"/>
    <w:rsid w:val="541805B7"/>
    <w:rsid w:val="54183FF5"/>
    <w:rsid w:val="5420323C"/>
    <w:rsid w:val="542376EB"/>
    <w:rsid w:val="542924D4"/>
    <w:rsid w:val="54297BF9"/>
    <w:rsid w:val="543D1818"/>
    <w:rsid w:val="54416526"/>
    <w:rsid w:val="54454704"/>
    <w:rsid w:val="545C1D7C"/>
    <w:rsid w:val="546D5D37"/>
    <w:rsid w:val="54720ECB"/>
    <w:rsid w:val="54775101"/>
    <w:rsid w:val="547B176D"/>
    <w:rsid w:val="547F5A6B"/>
    <w:rsid w:val="54917210"/>
    <w:rsid w:val="5495703C"/>
    <w:rsid w:val="54AB2D04"/>
    <w:rsid w:val="54B55F0E"/>
    <w:rsid w:val="54B576DE"/>
    <w:rsid w:val="54B9117B"/>
    <w:rsid w:val="54C3493C"/>
    <w:rsid w:val="54C56319"/>
    <w:rsid w:val="54CB1B54"/>
    <w:rsid w:val="54CD4A28"/>
    <w:rsid w:val="54D74426"/>
    <w:rsid w:val="54DC2F6B"/>
    <w:rsid w:val="54E0475B"/>
    <w:rsid w:val="54E12281"/>
    <w:rsid w:val="54E63D3C"/>
    <w:rsid w:val="54E86E55"/>
    <w:rsid w:val="54E92752"/>
    <w:rsid w:val="54EC26AA"/>
    <w:rsid w:val="54F14BBA"/>
    <w:rsid w:val="55020B76"/>
    <w:rsid w:val="55052414"/>
    <w:rsid w:val="55055F70"/>
    <w:rsid w:val="55061CE8"/>
    <w:rsid w:val="55125438"/>
    <w:rsid w:val="55132900"/>
    <w:rsid w:val="551C775D"/>
    <w:rsid w:val="55284354"/>
    <w:rsid w:val="55314FB7"/>
    <w:rsid w:val="55322ADD"/>
    <w:rsid w:val="553C597C"/>
    <w:rsid w:val="55437CB7"/>
    <w:rsid w:val="55490923"/>
    <w:rsid w:val="55494C60"/>
    <w:rsid w:val="554C0043"/>
    <w:rsid w:val="554E5465"/>
    <w:rsid w:val="55503D0D"/>
    <w:rsid w:val="55683C90"/>
    <w:rsid w:val="55690BF5"/>
    <w:rsid w:val="55713605"/>
    <w:rsid w:val="557A1216"/>
    <w:rsid w:val="55826B6C"/>
    <w:rsid w:val="55937A20"/>
    <w:rsid w:val="55943798"/>
    <w:rsid w:val="559E63C4"/>
    <w:rsid w:val="55AA0E29"/>
    <w:rsid w:val="55AA4D69"/>
    <w:rsid w:val="55AA6B17"/>
    <w:rsid w:val="55BB0D24"/>
    <w:rsid w:val="55BE0F68"/>
    <w:rsid w:val="55C0633B"/>
    <w:rsid w:val="55C45E2B"/>
    <w:rsid w:val="55DF5DF4"/>
    <w:rsid w:val="55E52EA1"/>
    <w:rsid w:val="55E953E5"/>
    <w:rsid w:val="55F552E0"/>
    <w:rsid w:val="56044479"/>
    <w:rsid w:val="560A5808"/>
    <w:rsid w:val="56156687"/>
    <w:rsid w:val="561B7A15"/>
    <w:rsid w:val="56252ADC"/>
    <w:rsid w:val="56260894"/>
    <w:rsid w:val="562B7F31"/>
    <w:rsid w:val="5638767B"/>
    <w:rsid w:val="56421EAD"/>
    <w:rsid w:val="56486A5C"/>
    <w:rsid w:val="564A4A53"/>
    <w:rsid w:val="564A4BDB"/>
    <w:rsid w:val="564C5CB9"/>
    <w:rsid w:val="56503B63"/>
    <w:rsid w:val="56510DF0"/>
    <w:rsid w:val="56554CD5"/>
    <w:rsid w:val="56586573"/>
    <w:rsid w:val="56724646"/>
    <w:rsid w:val="56737851"/>
    <w:rsid w:val="56872B64"/>
    <w:rsid w:val="568D26C1"/>
    <w:rsid w:val="56A008FE"/>
    <w:rsid w:val="56A1160C"/>
    <w:rsid w:val="56A530AE"/>
    <w:rsid w:val="56C03BC2"/>
    <w:rsid w:val="56C360E3"/>
    <w:rsid w:val="56CD7096"/>
    <w:rsid w:val="56D72C44"/>
    <w:rsid w:val="56EB73E7"/>
    <w:rsid w:val="56F444EE"/>
    <w:rsid w:val="56F92F12"/>
    <w:rsid w:val="56FF1C5E"/>
    <w:rsid w:val="570325AF"/>
    <w:rsid w:val="57144B90"/>
    <w:rsid w:val="571601CC"/>
    <w:rsid w:val="571B5F1F"/>
    <w:rsid w:val="57226B03"/>
    <w:rsid w:val="57317E11"/>
    <w:rsid w:val="5735060C"/>
    <w:rsid w:val="57471845"/>
    <w:rsid w:val="574D00A2"/>
    <w:rsid w:val="574D2A94"/>
    <w:rsid w:val="574F3973"/>
    <w:rsid w:val="57572CCF"/>
    <w:rsid w:val="57607DD5"/>
    <w:rsid w:val="57612D8E"/>
    <w:rsid w:val="57652B0E"/>
    <w:rsid w:val="57727B09"/>
    <w:rsid w:val="57743881"/>
    <w:rsid w:val="57766EC3"/>
    <w:rsid w:val="577675F9"/>
    <w:rsid w:val="577B3F4D"/>
    <w:rsid w:val="577C1BAA"/>
    <w:rsid w:val="577F38F0"/>
    <w:rsid w:val="57812BC2"/>
    <w:rsid w:val="57840C72"/>
    <w:rsid w:val="579024A7"/>
    <w:rsid w:val="57911D3D"/>
    <w:rsid w:val="57931F59"/>
    <w:rsid w:val="5798756F"/>
    <w:rsid w:val="579D4B86"/>
    <w:rsid w:val="579F69F6"/>
    <w:rsid w:val="57A20117"/>
    <w:rsid w:val="57A777B2"/>
    <w:rsid w:val="57AA72A2"/>
    <w:rsid w:val="57B8364E"/>
    <w:rsid w:val="57B8376D"/>
    <w:rsid w:val="57BB325E"/>
    <w:rsid w:val="57C974C9"/>
    <w:rsid w:val="57CA68D2"/>
    <w:rsid w:val="57D0303B"/>
    <w:rsid w:val="57D807E3"/>
    <w:rsid w:val="57E52089"/>
    <w:rsid w:val="57EA58F1"/>
    <w:rsid w:val="57F13243"/>
    <w:rsid w:val="57FA3D86"/>
    <w:rsid w:val="58034D02"/>
    <w:rsid w:val="581311B7"/>
    <w:rsid w:val="58164938"/>
    <w:rsid w:val="581F37ED"/>
    <w:rsid w:val="58240BB0"/>
    <w:rsid w:val="5826793A"/>
    <w:rsid w:val="5827444F"/>
    <w:rsid w:val="582B2191"/>
    <w:rsid w:val="582B66D8"/>
    <w:rsid w:val="584E1E23"/>
    <w:rsid w:val="584E1FBB"/>
    <w:rsid w:val="58562F86"/>
    <w:rsid w:val="58580DAF"/>
    <w:rsid w:val="58694A68"/>
    <w:rsid w:val="5871267A"/>
    <w:rsid w:val="58743095"/>
    <w:rsid w:val="587A09A5"/>
    <w:rsid w:val="587F6039"/>
    <w:rsid w:val="58810003"/>
    <w:rsid w:val="58831FCD"/>
    <w:rsid w:val="58842909"/>
    <w:rsid w:val="5889510A"/>
    <w:rsid w:val="58907CDD"/>
    <w:rsid w:val="58921AD3"/>
    <w:rsid w:val="58BA6694"/>
    <w:rsid w:val="58D73C36"/>
    <w:rsid w:val="58D81BED"/>
    <w:rsid w:val="58DC7F4D"/>
    <w:rsid w:val="58E16CF4"/>
    <w:rsid w:val="58E93DFA"/>
    <w:rsid w:val="58F76517"/>
    <w:rsid w:val="59105DA6"/>
    <w:rsid w:val="5915699E"/>
    <w:rsid w:val="59161D9B"/>
    <w:rsid w:val="59213594"/>
    <w:rsid w:val="59244A40"/>
    <w:rsid w:val="592866D1"/>
    <w:rsid w:val="59374B66"/>
    <w:rsid w:val="593908DE"/>
    <w:rsid w:val="593A6404"/>
    <w:rsid w:val="5952374E"/>
    <w:rsid w:val="59527BF2"/>
    <w:rsid w:val="5954428A"/>
    <w:rsid w:val="59613991"/>
    <w:rsid w:val="59686B4C"/>
    <w:rsid w:val="59765E74"/>
    <w:rsid w:val="59780DBB"/>
    <w:rsid w:val="598D22E6"/>
    <w:rsid w:val="598F6750"/>
    <w:rsid w:val="5999312B"/>
    <w:rsid w:val="599F6D09"/>
    <w:rsid w:val="59A214D7"/>
    <w:rsid w:val="59AC5554"/>
    <w:rsid w:val="59B166C6"/>
    <w:rsid w:val="59B81BCF"/>
    <w:rsid w:val="59BE0DE3"/>
    <w:rsid w:val="59C9705D"/>
    <w:rsid w:val="59D32AE1"/>
    <w:rsid w:val="59D6612D"/>
    <w:rsid w:val="59DE2316"/>
    <w:rsid w:val="59E24AD2"/>
    <w:rsid w:val="59E54EAE"/>
    <w:rsid w:val="59E720E8"/>
    <w:rsid w:val="59E8144F"/>
    <w:rsid w:val="59FA7EC1"/>
    <w:rsid w:val="5A025174"/>
    <w:rsid w:val="5A03041A"/>
    <w:rsid w:val="5A0527D3"/>
    <w:rsid w:val="5A0977E2"/>
    <w:rsid w:val="5A0C5FF2"/>
    <w:rsid w:val="5A1804F3"/>
    <w:rsid w:val="5A1B6236"/>
    <w:rsid w:val="5A1E6660"/>
    <w:rsid w:val="5A220000"/>
    <w:rsid w:val="5A2275C4"/>
    <w:rsid w:val="5A317B22"/>
    <w:rsid w:val="5A3A1222"/>
    <w:rsid w:val="5A461504"/>
    <w:rsid w:val="5A4A08C9"/>
    <w:rsid w:val="5A4B3D7D"/>
    <w:rsid w:val="5A4E2167"/>
    <w:rsid w:val="5A6A4AC7"/>
    <w:rsid w:val="5A763830"/>
    <w:rsid w:val="5A7C6629"/>
    <w:rsid w:val="5A8C0EE1"/>
    <w:rsid w:val="5A961224"/>
    <w:rsid w:val="5A987886"/>
    <w:rsid w:val="5A9C4146"/>
    <w:rsid w:val="5A9D641D"/>
    <w:rsid w:val="5A9E3B12"/>
    <w:rsid w:val="5AA24261"/>
    <w:rsid w:val="5AA2652E"/>
    <w:rsid w:val="5AA36672"/>
    <w:rsid w:val="5AA54BAD"/>
    <w:rsid w:val="5AAA42D2"/>
    <w:rsid w:val="5AAC50E0"/>
    <w:rsid w:val="5AAF07DF"/>
    <w:rsid w:val="5AB20948"/>
    <w:rsid w:val="5AB86683"/>
    <w:rsid w:val="5AC4067B"/>
    <w:rsid w:val="5ACC20D7"/>
    <w:rsid w:val="5AD74EFD"/>
    <w:rsid w:val="5AF251E8"/>
    <w:rsid w:val="5AF80325"/>
    <w:rsid w:val="5AFE3B8D"/>
    <w:rsid w:val="5B060C94"/>
    <w:rsid w:val="5B06360A"/>
    <w:rsid w:val="5B064E51"/>
    <w:rsid w:val="5B0E2582"/>
    <w:rsid w:val="5B152C85"/>
    <w:rsid w:val="5B17428E"/>
    <w:rsid w:val="5B175539"/>
    <w:rsid w:val="5B1A473F"/>
    <w:rsid w:val="5B1E7D8B"/>
    <w:rsid w:val="5B21162A"/>
    <w:rsid w:val="5B266029"/>
    <w:rsid w:val="5B286E5C"/>
    <w:rsid w:val="5B2D4472"/>
    <w:rsid w:val="5B336962"/>
    <w:rsid w:val="5B351579"/>
    <w:rsid w:val="5B4236BA"/>
    <w:rsid w:val="5B445446"/>
    <w:rsid w:val="5B534697"/>
    <w:rsid w:val="5B615ECA"/>
    <w:rsid w:val="5B632D82"/>
    <w:rsid w:val="5B6878B2"/>
    <w:rsid w:val="5B700D67"/>
    <w:rsid w:val="5B70610D"/>
    <w:rsid w:val="5B7546C8"/>
    <w:rsid w:val="5B7D7233"/>
    <w:rsid w:val="5B904C74"/>
    <w:rsid w:val="5B991B08"/>
    <w:rsid w:val="5B9E44A0"/>
    <w:rsid w:val="5BAC1760"/>
    <w:rsid w:val="5BB26726"/>
    <w:rsid w:val="5BB36F08"/>
    <w:rsid w:val="5BBA0A68"/>
    <w:rsid w:val="5BBA55DA"/>
    <w:rsid w:val="5BBB1A7E"/>
    <w:rsid w:val="5BC00E23"/>
    <w:rsid w:val="5BC36B85"/>
    <w:rsid w:val="5BC750E8"/>
    <w:rsid w:val="5BD668B8"/>
    <w:rsid w:val="5BD7618C"/>
    <w:rsid w:val="5BDC19F5"/>
    <w:rsid w:val="5BDD5BE0"/>
    <w:rsid w:val="5BE24306"/>
    <w:rsid w:val="5BED16CF"/>
    <w:rsid w:val="5BEF7014"/>
    <w:rsid w:val="5BF34BBD"/>
    <w:rsid w:val="5BF46D3E"/>
    <w:rsid w:val="5BF97111"/>
    <w:rsid w:val="5BFB00CD"/>
    <w:rsid w:val="5BFD3E45"/>
    <w:rsid w:val="5C001B87"/>
    <w:rsid w:val="5C050F4B"/>
    <w:rsid w:val="5C0C22DA"/>
    <w:rsid w:val="5C0C4088"/>
    <w:rsid w:val="5C161F15"/>
    <w:rsid w:val="5C1E3DBB"/>
    <w:rsid w:val="5C205738"/>
    <w:rsid w:val="5C270EC2"/>
    <w:rsid w:val="5C317F92"/>
    <w:rsid w:val="5C390BF5"/>
    <w:rsid w:val="5C407659"/>
    <w:rsid w:val="5C58551F"/>
    <w:rsid w:val="5C7257F7"/>
    <w:rsid w:val="5C817072"/>
    <w:rsid w:val="5C8A31FF"/>
    <w:rsid w:val="5C9C18B0"/>
    <w:rsid w:val="5C9E3AD9"/>
    <w:rsid w:val="5CA430A0"/>
    <w:rsid w:val="5CA6336D"/>
    <w:rsid w:val="5CA93FCD"/>
    <w:rsid w:val="5CBB5BDD"/>
    <w:rsid w:val="5CC606DB"/>
    <w:rsid w:val="5CC6692D"/>
    <w:rsid w:val="5CC71F9C"/>
    <w:rsid w:val="5CC84BAA"/>
    <w:rsid w:val="5CCD7CBB"/>
    <w:rsid w:val="5CDA0256"/>
    <w:rsid w:val="5CEC5DBD"/>
    <w:rsid w:val="5CF36FF6"/>
    <w:rsid w:val="5D1B2DC2"/>
    <w:rsid w:val="5D2B7A1F"/>
    <w:rsid w:val="5D2C42B6"/>
    <w:rsid w:val="5D2F36E0"/>
    <w:rsid w:val="5D325D70"/>
    <w:rsid w:val="5D327906"/>
    <w:rsid w:val="5D376039"/>
    <w:rsid w:val="5D3E4D6A"/>
    <w:rsid w:val="5D3E5EBD"/>
    <w:rsid w:val="5D403E43"/>
    <w:rsid w:val="5D4B54DD"/>
    <w:rsid w:val="5D504448"/>
    <w:rsid w:val="5D521F6E"/>
    <w:rsid w:val="5D551A5E"/>
    <w:rsid w:val="5D5F1D5C"/>
    <w:rsid w:val="5D7E7207"/>
    <w:rsid w:val="5D83037A"/>
    <w:rsid w:val="5D8875C1"/>
    <w:rsid w:val="5D902A97"/>
    <w:rsid w:val="5D916F3A"/>
    <w:rsid w:val="5DA0518D"/>
    <w:rsid w:val="5DA0717E"/>
    <w:rsid w:val="5DA75D33"/>
    <w:rsid w:val="5DB26B6E"/>
    <w:rsid w:val="5DC82230"/>
    <w:rsid w:val="5DD60DF1"/>
    <w:rsid w:val="5DD72473"/>
    <w:rsid w:val="5DD75A51"/>
    <w:rsid w:val="5DDE5738"/>
    <w:rsid w:val="5DE057CC"/>
    <w:rsid w:val="5DE40447"/>
    <w:rsid w:val="5DF70D68"/>
    <w:rsid w:val="5DFC2AD9"/>
    <w:rsid w:val="5E035AD5"/>
    <w:rsid w:val="5E0771FD"/>
    <w:rsid w:val="5E0C4EE7"/>
    <w:rsid w:val="5E0C69EC"/>
    <w:rsid w:val="5E0F7E5F"/>
    <w:rsid w:val="5E110F98"/>
    <w:rsid w:val="5E111E29"/>
    <w:rsid w:val="5E113BD7"/>
    <w:rsid w:val="5E14191A"/>
    <w:rsid w:val="5E190CDE"/>
    <w:rsid w:val="5E211941"/>
    <w:rsid w:val="5E2230D9"/>
    <w:rsid w:val="5E2659E9"/>
    <w:rsid w:val="5E272426"/>
    <w:rsid w:val="5E29336D"/>
    <w:rsid w:val="5E343D6A"/>
    <w:rsid w:val="5E453881"/>
    <w:rsid w:val="5E491B6D"/>
    <w:rsid w:val="5E581806"/>
    <w:rsid w:val="5E624433"/>
    <w:rsid w:val="5E653F23"/>
    <w:rsid w:val="5E767EDE"/>
    <w:rsid w:val="5E7E0C7E"/>
    <w:rsid w:val="5E800D5D"/>
    <w:rsid w:val="5E8412B9"/>
    <w:rsid w:val="5E8954E8"/>
    <w:rsid w:val="5E8A398A"/>
    <w:rsid w:val="5E8E379E"/>
    <w:rsid w:val="5E934BE3"/>
    <w:rsid w:val="5E962E24"/>
    <w:rsid w:val="5EA41253"/>
    <w:rsid w:val="5EA762EA"/>
    <w:rsid w:val="5EA92116"/>
    <w:rsid w:val="5EA9669E"/>
    <w:rsid w:val="5EA9692B"/>
    <w:rsid w:val="5EAA5DDA"/>
    <w:rsid w:val="5EAF519E"/>
    <w:rsid w:val="5EB63FE6"/>
    <w:rsid w:val="5EBB2C44"/>
    <w:rsid w:val="5EBD3D5F"/>
    <w:rsid w:val="5ECA452A"/>
    <w:rsid w:val="5ECA77BE"/>
    <w:rsid w:val="5ED57CA3"/>
    <w:rsid w:val="5EDB5F93"/>
    <w:rsid w:val="5EE237C6"/>
    <w:rsid w:val="5EE513A4"/>
    <w:rsid w:val="5F0279C4"/>
    <w:rsid w:val="5F0A4E6E"/>
    <w:rsid w:val="5F106EAF"/>
    <w:rsid w:val="5F117C07"/>
    <w:rsid w:val="5F155949"/>
    <w:rsid w:val="5F1B0545"/>
    <w:rsid w:val="5F2C5541"/>
    <w:rsid w:val="5F2E1979"/>
    <w:rsid w:val="5F304531"/>
    <w:rsid w:val="5F3B6A32"/>
    <w:rsid w:val="5F3C2ED6"/>
    <w:rsid w:val="5F434264"/>
    <w:rsid w:val="5F4F0237"/>
    <w:rsid w:val="5F51025D"/>
    <w:rsid w:val="5F5C25A1"/>
    <w:rsid w:val="5F66666A"/>
    <w:rsid w:val="5F676CBE"/>
    <w:rsid w:val="5F6A4415"/>
    <w:rsid w:val="5F6B646F"/>
    <w:rsid w:val="5F6D7533"/>
    <w:rsid w:val="5F852D9D"/>
    <w:rsid w:val="5FA12D39"/>
    <w:rsid w:val="5FA23826"/>
    <w:rsid w:val="5FA347AB"/>
    <w:rsid w:val="5FA41DAE"/>
    <w:rsid w:val="5FA55280"/>
    <w:rsid w:val="5FBA204D"/>
    <w:rsid w:val="5FBA7124"/>
    <w:rsid w:val="5FC058B5"/>
    <w:rsid w:val="5FC133DB"/>
    <w:rsid w:val="5FD80FB1"/>
    <w:rsid w:val="5FDC0215"/>
    <w:rsid w:val="5FDE21DF"/>
    <w:rsid w:val="5FDE5D3B"/>
    <w:rsid w:val="5FE1582B"/>
    <w:rsid w:val="5FF20E5D"/>
    <w:rsid w:val="5FF4555F"/>
    <w:rsid w:val="5FF67529"/>
    <w:rsid w:val="5FF7246A"/>
    <w:rsid w:val="60030A85"/>
    <w:rsid w:val="60031C46"/>
    <w:rsid w:val="6007669D"/>
    <w:rsid w:val="600767E9"/>
    <w:rsid w:val="6007722E"/>
    <w:rsid w:val="6010778B"/>
    <w:rsid w:val="60145C01"/>
    <w:rsid w:val="60160AFA"/>
    <w:rsid w:val="60161979"/>
    <w:rsid w:val="601654D5"/>
    <w:rsid w:val="6017124D"/>
    <w:rsid w:val="601C7D7C"/>
    <w:rsid w:val="60234096"/>
    <w:rsid w:val="60235E44"/>
    <w:rsid w:val="60261490"/>
    <w:rsid w:val="60342313"/>
    <w:rsid w:val="60367925"/>
    <w:rsid w:val="60455DBA"/>
    <w:rsid w:val="604574E4"/>
    <w:rsid w:val="60483799"/>
    <w:rsid w:val="604F10E2"/>
    <w:rsid w:val="605204D7"/>
    <w:rsid w:val="605C42A6"/>
    <w:rsid w:val="606F4BE5"/>
    <w:rsid w:val="6073000E"/>
    <w:rsid w:val="60786190"/>
    <w:rsid w:val="60AC408B"/>
    <w:rsid w:val="60AC5E39"/>
    <w:rsid w:val="60B33F1D"/>
    <w:rsid w:val="60B559B7"/>
    <w:rsid w:val="60D55390"/>
    <w:rsid w:val="60DB04CD"/>
    <w:rsid w:val="60DB671F"/>
    <w:rsid w:val="60DD3B37"/>
    <w:rsid w:val="60DD4245"/>
    <w:rsid w:val="60E27AAD"/>
    <w:rsid w:val="60E417AD"/>
    <w:rsid w:val="60E930B4"/>
    <w:rsid w:val="60EB7E51"/>
    <w:rsid w:val="60F17CF0"/>
    <w:rsid w:val="6105554A"/>
    <w:rsid w:val="6109200A"/>
    <w:rsid w:val="610D0E27"/>
    <w:rsid w:val="610D0FDD"/>
    <w:rsid w:val="610E60DC"/>
    <w:rsid w:val="611107E1"/>
    <w:rsid w:val="611539DF"/>
    <w:rsid w:val="611936C7"/>
    <w:rsid w:val="611B6B1B"/>
    <w:rsid w:val="611D1C60"/>
    <w:rsid w:val="612952BA"/>
    <w:rsid w:val="612B336B"/>
    <w:rsid w:val="613025C6"/>
    <w:rsid w:val="61377DF9"/>
    <w:rsid w:val="61412C54"/>
    <w:rsid w:val="614E5143"/>
    <w:rsid w:val="61534507"/>
    <w:rsid w:val="6155027F"/>
    <w:rsid w:val="6156061F"/>
    <w:rsid w:val="615B5920"/>
    <w:rsid w:val="61614E76"/>
    <w:rsid w:val="616B7A01"/>
    <w:rsid w:val="616E7593"/>
    <w:rsid w:val="61700C15"/>
    <w:rsid w:val="617526CF"/>
    <w:rsid w:val="6175313A"/>
    <w:rsid w:val="617944FC"/>
    <w:rsid w:val="61824807"/>
    <w:rsid w:val="61826B9A"/>
    <w:rsid w:val="61880654"/>
    <w:rsid w:val="618B5A4F"/>
    <w:rsid w:val="619F7C50"/>
    <w:rsid w:val="61A575D0"/>
    <w:rsid w:val="61B34FA6"/>
    <w:rsid w:val="61B94208"/>
    <w:rsid w:val="61C40AEF"/>
    <w:rsid w:val="61E03883"/>
    <w:rsid w:val="61E2292D"/>
    <w:rsid w:val="61E524C0"/>
    <w:rsid w:val="61FC4B9F"/>
    <w:rsid w:val="62013F63"/>
    <w:rsid w:val="62213376"/>
    <w:rsid w:val="622D7603"/>
    <w:rsid w:val="62347E94"/>
    <w:rsid w:val="623936FD"/>
    <w:rsid w:val="6240013D"/>
    <w:rsid w:val="624D0F56"/>
    <w:rsid w:val="624E7206"/>
    <w:rsid w:val="625048C9"/>
    <w:rsid w:val="6256151A"/>
    <w:rsid w:val="625A2DF2"/>
    <w:rsid w:val="625E3163"/>
    <w:rsid w:val="627B5AC3"/>
    <w:rsid w:val="62903E5E"/>
    <w:rsid w:val="62970423"/>
    <w:rsid w:val="6299063F"/>
    <w:rsid w:val="6299419B"/>
    <w:rsid w:val="62A74B0A"/>
    <w:rsid w:val="62AF7E63"/>
    <w:rsid w:val="62B92A90"/>
    <w:rsid w:val="62C54F90"/>
    <w:rsid w:val="62CA6A4B"/>
    <w:rsid w:val="62CC5ACB"/>
    <w:rsid w:val="62D7000D"/>
    <w:rsid w:val="62D701C0"/>
    <w:rsid w:val="62DB03A1"/>
    <w:rsid w:val="62DB0C58"/>
    <w:rsid w:val="62DD4D48"/>
    <w:rsid w:val="62E01DCA"/>
    <w:rsid w:val="62E56F5D"/>
    <w:rsid w:val="62EB31E4"/>
    <w:rsid w:val="62EE3D6A"/>
    <w:rsid w:val="62F24C15"/>
    <w:rsid w:val="62FB09B2"/>
    <w:rsid w:val="62FD6547"/>
    <w:rsid w:val="62FE4931"/>
    <w:rsid w:val="63040DEB"/>
    <w:rsid w:val="63091321"/>
    <w:rsid w:val="631B2E02"/>
    <w:rsid w:val="6324020A"/>
    <w:rsid w:val="63251ED3"/>
    <w:rsid w:val="63267838"/>
    <w:rsid w:val="63314181"/>
    <w:rsid w:val="633C25C3"/>
    <w:rsid w:val="633C6388"/>
    <w:rsid w:val="634265E1"/>
    <w:rsid w:val="63485AB8"/>
    <w:rsid w:val="63487137"/>
    <w:rsid w:val="6349294D"/>
    <w:rsid w:val="634C56B2"/>
    <w:rsid w:val="634C7460"/>
    <w:rsid w:val="63586994"/>
    <w:rsid w:val="635A7DCF"/>
    <w:rsid w:val="635D166D"/>
    <w:rsid w:val="635F3637"/>
    <w:rsid w:val="6364153F"/>
    <w:rsid w:val="636522D0"/>
    <w:rsid w:val="63716EC6"/>
    <w:rsid w:val="637D564F"/>
    <w:rsid w:val="637D75E4"/>
    <w:rsid w:val="638670A5"/>
    <w:rsid w:val="63935022"/>
    <w:rsid w:val="639C0CC3"/>
    <w:rsid w:val="63B514A9"/>
    <w:rsid w:val="63B87DC5"/>
    <w:rsid w:val="63BC6393"/>
    <w:rsid w:val="63C416EC"/>
    <w:rsid w:val="63C94F54"/>
    <w:rsid w:val="63C96D02"/>
    <w:rsid w:val="63D530FA"/>
    <w:rsid w:val="63D95C9C"/>
    <w:rsid w:val="63DD455C"/>
    <w:rsid w:val="63E27232"/>
    <w:rsid w:val="63F43D7F"/>
    <w:rsid w:val="63F7487B"/>
    <w:rsid w:val="63FF4061"/>
    <w:rsid w:val="641036CB"/>
    <w:rsid w:val="64106E9A"/>
    <w:rsid w:val="64162907"/>
    <w:rsid w:val="641D3170"/>
    <w:rsid w:val="642301C1"/>
    <w:rsid w:val="64262C2E"/>
    <w:rsid w:val="642908EF"/>
    <w:rsid w:val="642F125B"/>
    <w:rsid w:val="643056C1"/>
    <w:rsid w:val="643E5FCB"/>
    <w:rsid w:val="64475553"/>
    <w:rsid w:val="644963EC"/>
    <w:rsid w:val="644B5969"/>
    <w:rsid w:val="644F0FB6"/>
    <w:rsid w:val="64502F80"/>
    <w:rsid w:val="64552344"/>
    <w:rsid w:val="645666EE"/>
    <w:rsid w:val="64591E34"/>
    <w:rsid w:val="64594FB1"/>
    <w:rsid w:val="64636121"/>
    <w:rsid w:val="646409AD"/>
    <w:rsid w:val="64652A4D"/>
    <w:rsid w:val="646E3B0C"/>
    <w:rsid w:val="647D6C20"/>
    <w:rsid w:val="648C045C"/>
    <w:rsid w:val="649B41FB"/>
    <w:rsid w:val="649D4417"/>
    <w:rsid w:val="64AF6309"/>
    <w:rsid w:val="64B27796"/>
    <w:rsid w:val="64BE613B"/>
    <w:rsid w:val="64C01EB3"/>
    <w:rsid w:val="64C73242"/>
    <w:rsid w:val="64CD637E"/>
    <w:rsid w:val="64D36AE2"/>
    <w:rsid w:val="64D37E39"/>
    <w:rsid w:val="64DD4813"/>
    <w:rsid w:val="64E32304"/>
    <w:rsid w:val="64E52D76"/>
    <w:rsid w:val="64E831B8"/>
    <w:rsid w:val="64F014B0"/>
    <w:rsid w:val="650049A6"/>
    <w:rsid w:val="650959E3"/>
    <w:rsid w:val="650E2503"/>
    <w:rsid w:val="651A62B7"/>
    <w:rsid w:val="652341F0"/>
    <w:rsid w:val="65240694"/>
    <w:rsid w:val="652A76A4"/>
    <w:rsid w:val="65324FB9"/>
    <w:rsid w:val="653346BC"/>
    <w:rsid w:val="653528A1"/>
    <w:rsid w:val="653B59DE"/>
    <w:rsid w:val="653D3504"/>
    <w:rsid w:val="65444892"/>
    <w:rsid w:val="65510D5D"/>
    <w:rsid w:val="65516386"/>
    <w:rsid w:val="655D3BA6"/>
    <w:rsid w:val="655F4AD1"/>
    <w:rsid w:val="656E24E3"/>
    <w:rsid w:val="65713CE8"/>
    <w:rsid w:val="65724746"/>
    <w:rsid w:val="657C4E76"/>
    <w:rsid w:val="65805B12"/>
    <w:rsid w:val="65841133"/>
    <w:rsid w:val="65921AA2"/>
    <w:rsid w:val="65977C79"/>
    <w:rsid w:val="65982BDD"/>
    <w:rsid w:val="659832B3"/>
    <w:rsid w:val="65992CAA"/>
    <w:rsid w:val="65B11DB0"/>
    <w:rsid w:val="65BD4645"/>
    <w:rsid w:val="65C21C5B"/>
    <w:rsid w:val="65DC2D1D"/>
    <w:rsid w:val="65DD1E73"/>
    <w:rsid w:val="65DF45BB"/>
    <w:rsid w:val="65E16585"/>
    <w:rsid w:val="65F20792"/>
    <w:rsid w:val="66013E25"/>
    <w:rsid w:val="660B7974"/>
    <w:rsid w:val="660D7147"/>
    <w:rsid w:val="66122322"/>
    <w:rsid w:val="66136560"/>
    <w:rsid w:val="661A1A97"/>
    <w:rsid w:val="661F1431"/>
    <w:rsid w:val="662446C4"/>
    <w:rsid w:val="662B040B"/>
    <w:rsid w:val="663E4470"/>
    <w:rsid w:val="66482160"/>
    <w:rsid w:val="664A4CFD"/>
    <w:rsid w:val="664F7993"/>
    <w:rsid w:val="66521231"/>
    <w:rsid w:val="6659611C"/>
    <w:rsid w:val="66606487"/>
    <w:rsid w:val="66682803"/>
    <w:rsid w:val="666920D7"/>
    <w:rsid w:val="666F1DE3"/>
    <w:rsid w:val="6680321D"/>
    <w:rsid w:val="66862168"/>
    <w:rsid w:val="668E3C3F"/>
    <w:rsid w:val="668F4233"/>
    <w:rsid w:val="66A42C0A"/>
    <w:rsid w:val="66B47C99"/>
    <w:rsid w:val="66B5531C"/>
    <w:rsid w:val="66CA3897"/>
    <w:rsid w:val="66CA526B"/>
    <w:rsid w:val="66CF3BE6"/>
    <w:rsid w:val="66D12B48"/>
    <w:rsid w:val="66E04A8F"/>
    <w:rsid w:val="66F039D9"/>
    <w:rsid w:val="66F07D3F"/>
    <w:rsid w:val="66F6168A"/>
    <w:rsid w:val="66FE3167"/>
    <w:rsid w:val="670342D9"/>
    <w:rsid w:val="671B1623"/>
    <w:rsid w:val="67264E20"/>
    <w:rsid w:val="672F03C0"/>
    <w:rsid w:val="6733108E"/>
    <w:rsid w:val="67362901"/>
    <w:rsid w:val="6736645D"/>
    <w:rsid w:val="67397CFB"/>
    <w:rsid w:val="673B1534"/>
    <w:rsid w:val="673C4CAA"/>
    <w:rsid w:val="673E5F91"/>
    <w:rsid w:val="67446DCC"/>
    <w:rsid w:val="67492634"/>
    <w:rsid w:val="67553BBC"/>
    <w:rsid w:val="676E5BF7"/>
    <w:rsid w:val="6773145F"/>
    <w:rsid w:val="67753429"/>
    <w:rsid w:val="678216A2"/>
    <w:rsid w:val="6784366C"/>
    <w:rsid w:val="67872D51"/>
    <w:rsid w:val="678C47CB"/>
    <w:rsid w:val="678F0F40"/>
    <w:rsid w:val="67943C4B"/>
    <w:rsid w:val="67987117"/>
    <w:rsid w:val="679F2254"/>
    <w:rsid w:val="67A01295"/>
    <w:rsid w:val="67A07D39"/>
    <w:rsid w:val="67A1760F"/>
    <w:rsid w:val="67A23666"/>
    <w:rsid w:val="67A535E2"/>
    <w:rsid w:val="67A91325"/>
    <w:rsid w:val="67B8093C"/>
    <w:rsid w:val="67C021CA"/>
    <w:rsid w:val="67D55CA7"/>
    <w:rsid w:val="67DF5403"/>
    <w:rsid w:val="67E05DA8"/>
    <w:rsid w:val="67F0485E"/>
    <w:rsid w:val="67F6226C"/>
    <w:rsid w:val="67FD341E"/>
    <w:rsid w:val="680227E3"/>
    <w:rsid w:val="68030A35"/>
    <w:rsid w:val="68081645"/>
    <w:rsid w:val="680F708F"/>
    <w:rsid w:val="68103152"/>
    <w:rsid w:val="68150768"/>
    <w:rsid w:val="6816141E"/>
    <w:rsid w:val="681625CB"/>
    <w:rsid w:val="681F5143"/>
    <w:rsid w:val="681F67E5"/>
    <w:rsid w:val="68232E85"/>
    <w:rsid w:val="68276AFA"/>
    <w:rsid w:val="682E1499"/>
    <w:rsid w:val="683230C8"/>
    <w:rsid w:val="68367DA2"/>
    <w:rsid w:val="68370BB0"/>
    <w:rsid w:val="683D381B"/>
    <w:rsid w:val="683E6AA6"/>
    <w:rsid w:val="68421D07"/>
    <w:rsid w:val="684E58C1"/>
    <w:rsid w:val="685079F2"/>
    <w:rsid w:val="68524548"/>
    <w:rsid w:val="6858615F"/>
    <w:rsid w:val="68633281"/>
    <w:rsid w:val="686D4100"/>
    <w:rsid w:val="68751207"/>
    <w:rsid w:val="687876C6"/>
    <w:rsid w:val="687A4A6F"/>
    <w:rsid w:val="68815DFE"/>
    <w:rsid w:val="68865103"/>
    <w:rsid w:val="68994EF5"/>
    <w:rsid w:val="68A165B7"/>
    <w:rsid w:val="68A90F2B"/>
    <w:rsid w:val="68AF386F"/>
    <w:rsid w:val="68B43ADD"/>
    <w:rsid w:val="68BA4E6C"/>
    <w:rsid w:val="68C161FA"/>
    <w:rsid w:val="68C55CEA"/>
    <w:rsid w:val="68C7569C"/>
    <w:rsid w:val="68C77CCD"/>
    <w:rsid w:val="68D37C3F"/>
    <w:rsid w:val="68E60BC6"/>
    <w:rsid w:val="68F021D6"/>
    <w:rsid w:val="68F22857"/>
    <w:rsid w:val="6902469B"/>
    <w:rsid w:val="690A573F"/>
    <w:rsid w:val="6917406C"/>
    <w:rsid w:val="691959E1"/>
    <w:rsid w:val="69216C99"/>
    <w:rsid w:val="69234CE1"/>
    <w:rsid w:val="69270753"/>
    <w:rsid w:val="692E7D33"/>
    <w:rsid w:val="69322403"/>
    <w:rsid w:val="693B7D5A"/>
    <w:rsid w:val="693F1D42"/>
    <w:rsid w:val="69474570"/>
    <w:rsid w:val="69492530"/>
    <w:rsid w:val="694B7AF6"/>
    <w:rsid w:val="694F3806"/>
    <w:rsid w:val="695A25BD"/>
    <w:rsid w:val="6968620B"/>
    <w:rsid w:val="69864F07"/>
    <w:rsid w:val="698C182D"/>
    <w:rsid w:val="69937B96"/>
    <w:rsid w:val="69993402"/>
    <w:rsid w:val="699A7177"/>
    <w:rsid w:val="69A05DD2"/>
    <w:rsid w:val="69A71894"/>
    <w:rsid w:val="69AA34F6"/>
    <w:rsid w:val="69AC1DF7"/>
    <w:rsid w:val="69AC6EAA"/>
    <w:rsid w:val="69B02460"/>
    <w:rsid w:val="69B55699"/>
    <w:rsid w:val="69CF0E9E"/>
    <w:rsid w:val="69D76646"/>
    <w:rsid w:val="69DB150E"/>
    <w:rsid w:val="69E5356E"/>
    <w:rsid w:val="69F36887"/>
    <w:rsid w:val="69F85BB3"/>
    <w:rsid w:val="6A026ACA"/>
    <w:rsid w:val="6A06093A"/>
    <w:rsid w:val="6A140483"/>
    <w:rsid w:val="6A152000"/>
    <w:rsid w:val="6A1D4F98"/>
    <w:rsid w:val="6A214568"/>
    <w:rsid w:val="6A222CC8"/>
    <w:rsid w:val="6A255B87"/>
    <w:rsid w:val="6A4946F9"/>
    <w:rsid w:val="6A582B8E"/>
    <w:rsid w:val="6A674B7F"/>
    <w:rsid w:val="6A6B0B13"/>
    <w:rsid w:val="6A905FE4"/>
    <w:rsid w:val="6A9701A5"/>
    <w:rsid w:val="6A9E67F3"/>
    <w:rsid w:val="6AC1794A"/>
    <w:rsid w:val="6AC67977"/>
    <w:rsid w:val="6ACE6451"/>
    <w:rsid w:val="6AD2649C"/>
    <w:rsid w:val="6AD43C09"/>
    <w:rsid w:val="6AEF0926"/>
    <w:rsid w:val="6AF925CD"/>
    <w:rsid w:val="6B0B19AE"/>
    <w:rsid w:val="6B0F5943"/>
    <w:rsid w:val="6B113469"/>
    <w:rsid w:val="6B12335C"/>
    <w:rsid w:val="6B160A7F"/>
    <w:rsid w:val="6B1725D5"/>
    <w:rsid w:val="6B197F7B"/>
    <w:rsid w:val="6B1B42E7"/>
    <w:rsid w:val="6B252A70"/>
    <w:rsid w:val="6B255B9B"/>
    <w:rsid w:val="6B267ECB"/>
    <w:rsid w:val="6B2A23C7"/>
    <w:rsid w:val="6B2A5B4A"/>
    <w:rsid w:val="6B2F701E"/>
    <w:rsid w:val="6B397FBC"/>
    <w:rsid w:val="6B476E8A"/>
    <w:rsid w:val="6B514709"/>
    <w:rsid w:val="6B6C3431"/>
    <w:rsid w:val="6B72601B"/>
    <w:rsid w:val="6B76151E"/>
    <w:rsid w:val="6B841E8D"/>
    <w:rsid w:val="6B8E792C"/>
    <w:rsid w:val="6B956EDC"/>
    <w:rsid w:val="6B99520C"/>
    <w:rsid w:val="6BA64F67"/>
    <w:rsid w:val="6BA674B7"/>
    <w:rsid w:val="6BA75920"/>
    <w:rsid w:val="6BAA7419"/>
    <w:rsid w:val="6BBD714D"/>
    <w:rsid w:val="6BC04E8F"/>
    <w:rsid w:val="6BC24763"/>
    <w:rsid w:val="6BC567F5"/>
    <w:rsid w:val="6BC93D43"/>
    <w:rsid w:val="6BCB7ABB"/>
    <w:rsid w:val="6BCF3479"/>
    <w:rsid w:val="6BE648F5"/>
    <w:rsid w:val="6BF57173"/>
    <w:rsid w:val="6BFF1133"/>
    <w:rsid w:val="6C103C6C"/>
    <w:rsid w:val="6C123536"/>
    <w:rsid w:val="6C1236EB"/>
    <w:rsid w:val="6C16685D"/>
    <w:rsid w:val="6C215487"/>
    <w:rsid w:val="6C25242C"/>
    <w:rsid w:val="6C28252E"/>
    <w:rsid w:val="6C2930C7"/>
    <w:rsid w:val="6C296590"/>
    <w:rsid w:val="6C2E53E9"/>
    <w:rsid w:val="6C387620"/>
    <w:rsid w:val="6C3F4006"/>
    <w:rsid w:val="6C44479A"/>
    <w:rsid w:val="6C467142"/>
    <w:rsid w:val="6C474C68"/>
    <w:rsid w:val="6C4909E0"/>
    <w:rsid w:val="6C4D60B4"/>
    <w:rsid w:val="6C523D39"/>
    <w:rsid w:val="6C537AB1"/>
    <w:rsid w:val="6C5739A6"/>
    <w:rsid w:val="6C5A7E3D"/>
    <w:rsid w:val="6C5B73FB"/>
    <w:rsid w:val="6C6475C8"/>
    <w:rsid w:val="6C6B4DFB"/>
    <w:rsid w:val="6C6E0447"/>
    <w:rsid w:val="6C755C79"/>
    <w:rsid w:val="6C787517"/>
    <w:rsid w:val="6C7A6DEC"/>
    <w:rsid w:val="6C7F08E3"/>
    <w:rsid w:val="6C895281"/>
    <w:rsid w:val="6C9654BD"/>
    <w:rsid w:val="6CAF118B"/>
    <w:rsid w:val="6CC11725"/>
    <w:rsid w:val="6CC8224D"/>
    <w:rsid w:val="6CD54724"/>
    <w:rsid w:val="6CD73AC3"/>
    <w:rsid w:val="6CE54BAD"/>
    <w:rsid w:val="6CF05300"/>
    <w:rsid w:val="6CFC710B"/>
    <w:rsid w:val="6D0D1A0E"/>
    <w:rsid w:val="6D11101F"/>
    <w:rsid w:val="6D12171A"/>
    <w:rsid w:val="6D142245"/>
    <w:rsid w:val="6D176091"/>
    <w:rsid w:val="6D196605"/>
    <w:rsid w:val="6D2130F8"/>
    <w:rsid w:val="6D2154B9"/>
    <w:rsid w:val="6D224288"/>
    <w:rsid w:val="6D2B458A"/>
    <w:rsid w:val="6D2D59DC"/>
    <w:rsid w:val="6D2F407A"/>
    <w:rsid w:val="6D301BA0"/>
    <w:rsid w:val="6D33389A"/>
    <w:rsid w:val="6D34473A"/>
    <w:rsid w:val="6D4A2C62"/>
    <w:rsid w:val="6D4B142B"/>
    <w:rsid w:val="6D57734D"/>
    <w:rsid w:val="6D602485"/>
    <w:rsid w:val="6D631F76"/>
    <w:rsid w:val="6D65184A"/>
    <w:rsid w:val="6D655E18"/>
    <w:rsid w:val="6D6762BE"/>
    <w:rsid w:val="6D6C0E2A"/>
    <w:rsid w:val="6D6D4BA2"/>
    <w:rsid w:val="6D7D6164"/>
    <w:rsid w:val="6D854095"/>
    <w:rsid w:val="6D877A12"/>
    <w:rsid w:val="6D9B1AE6"/>
    <w:rsid w:val="6DAD31F1"/>
    <w:rsid w:val="6DB12CE1"/>
    <w:rsid w:val="6DB24BA6"/>
    <w:rsid w:val="6DB620A5"/>
    <w:rsid w:val="6DC01176"/>
    <w:rsid w:val="6DC869D2"/>
    <w:rsid w:val="6DD53EB7"/>
    <w:rsid w:val="6DDB7D5E"/>
    <w:rsid w:val="6DE36C13"/>
    <w:rsid w:val="6DF41B82"/>
    <w:rsid w:val="6DF8446C"/>
    <w:rsid w:val="6E0366E4"/>
    <w:rsid w:val="6E05302D"/>
    <w:rsid w:val="6E0948CB"/>
    <w:rsid w:val="6E1312A6"/>
    <w:rsid w:val="6E1374F8"/>
    <w:rsid w:val="6E191D51"/>
    <w:rsid w:val="6E3D2189"/>
    <w:rsid w:val="6E40179C"/>
    <w:rsid w:val="6E4057A2"/>
    <w:rsid w:val="6E46167B"/>
    <w:rsid w:val="6E510020"/>
    <w:rsid w:val="6E526272"/>
    <w:rsid w:val="6E5D69C5"/>
    <w:rsid w:val="6E602011"/>
    <w:rsid w:val="6E623FDB"/>
    <w:rsid w:val="6E641B01"/>
    <w:rsid w:val="6E663ACB"/>
    <w:rsid w:val="6E680C4D"/>
    <w:rsid w:val="6E70494A"/>
    <w:rsid w:val="6E75158F"/>
    <w:rsid w:val="6E811881"/>
    <w:rsid w:val="6E823FA7"/>
    <w:rsid w:val="6E8757F0"/>
    <w:rsid w:val="6E922B12"/>
    <w:rsid w:val="6E9F01EE"/>
    <w:rsid w:val="6EAA34D8"/>
    <w:rsid w:val="6EB56801"/>
    <w:rsid w:val="6ED053E9"/>
    <w:rsid w:val="6ED21161"/>
    <w:rsid w:val="6ED529FF"/>
    <w:rsid w:val="6EDC5B3C"/>
    <w:rsid w:val="6EDE4791"/>
    <w:rsid w:val="6EE80984"/>
    <w:rsid w:val="6EEA75A4"/>
    <w:rsid w:val="6EEB5D7F"/>
    <w:rsid w:val="6EF235B1"/>
    <w:rsid w:val="6EF2710D"/>
    <w:rsid w:val="6EF72E99"/>
    <w:rsid w:val="6EFA2466"/>
    <w:rsid w:val="6EFC7F8C"/>
    <w:rsid w:val="6F0155A2"/>
    <w:rsid w:val="6F046E40"/>
    <w:rsid w:val="6F1027E5"/>
    <w:rsid w:val="6F1B47E0"/>
    <w:rsid w:val="6F2614AD"/>
    <w:rsid w:val="6F280D81"/>
    <w:rsid w:val="6F2D283B"/>
    <w:rsid w:val="6F332A28"/>
    <w:rsid w:val="6F343BCA"/>
    <w:rsid w:val="6F392F8E"/>
    <w:rsid w:val="6F3D57F3"/>
    <w:rsid w:val="6F500002"/>
    <w:rsid w:val="6F6A7E44"/>
    <w:rsid w:val="6F703029"/>
    <w:rsid w:val="6F751AEC"/>
    <w:rsid w:val="6F7A7103"/>
    <w:rsid w:val="6F7D57C0"/>
    <w:rsid w:val="6F8306AD"/>
    <w:rsid w:val="6F914B78"/>
    <w:rsid w:val="6F916C37"/>
    <w:rsid w:val="6F9A17A9"/>
    <w:rsid w:val="6F9D74D6"/>
    <w:rsid w:val="6FA06558"/>
    <w:rsid w:val="6FA26D85"/>
    <w:rsid w:val="6FAB0966"/>
    <w:rsid w:val="6FAC3760"/>
    <w:rsid w:val="6FAF3250"/>
    <w:rsid w:val="6FB17972"/>
    <w:rsid w:val="6FB83D9B"/>
    <w:rsid w:val="6FB90CDA"/>
    <w:rsid w:val="6FC308A8"/>
    <w:rsid w:val="6FCD1928"/>
    <w:rsid w:val="6FD76303"/>
    <w:rsid w:val="6FDD662B"/>
    <w:rsid w:val="6FDD7DBD"/>
    <w:rsid w:val="6FE23626"/>
    <w:rsid w:val="6FE32EFA"/>
    <w:rsid w:val="6FEE6EC9"/>
    <w:rsid w:val="70057FFC"/>
    <w:rsid w:val="70097010"/>
    <w:rsid w:val="700C1833"/>
    <w:rsid w:val="70115CB9"/>
    <w:rsid w:val="70152FF3"/>
    <w:rsid w:val="701607E5"/>
    <w:rsid w:val="702459EC"/>
    <w:rsid w:val="702A1FFA"/>
    <w:rsid w:val="702C48A1"/>
    <w:rsid w:val="7039108B"/>
    <w:rsid w:val="703A2A37"/>
    <w:rsid w:val="703B2D36"/>
    <w:rsid w:val="70423C64"/>
    <w:rsid w:val="70576019"/>
    <w:rsid w:val="70690614"/>
    <w:rsid w:val="706B5CC1"/>
    <w:rsid w:val="70785D38"/>
    <w:rsid w:val="707A560C"/>
    <w:rsid w:val="707E578A"/>
    <w:rsid w:val="709176A2"/>
    <w:rsid w:val="70931EFD"/>
    <w:rsid w:val="70974410"/>
    <w:rsid w:val="709C729C"/>
    <w:rsid w:val="70AC5255"/>
    <w:rsid w:val="70AE175A"/>
    <w:rsid w:val="70BF74C3"/>
    <w:rsid w:val="70C20C31"/>
    <w:rsid w:val="70C20D61"/>
    <w:rsid w:val="70C8271B"/>
    <w:rsid w:val="70D154FA"/>
    <w:rsid w:val="70D3386D"/>
    <w:rsid w:val="70D42B79"/>
    <w:rsid w:val="70DA7947"/>
    <w:rsid w:val="70DC62C7"/>
    <w:rsid w:val="70E13317"/>
    <w:rsid w:val="70E208CA"/>
    <w:rsid w:val="70E433CD"/>
    <w:rsid w:val="71185FB7"/>
    <w:rsid w:val="711A671D"/>
    <w:rsid w:val="71211F2C"/>
    <w:rsid w:val="712A128C"/>
    <w:rsid w:val="712C37FB"/>
    <w:rsid w:val="713D74E8"/>
    <w:rsid w:val="71411728"/>
    <w:rsid w:val="7141612A"/>
    <w:rsid w:val="714300F4"/>
    <w:rsid w:val="71463740"/>
    <w:rsid w:val="716010E7"/>
    <w:rsid w:val="71623A54"/>
    <w:rsid w:val="716321B9"/>
    <w:rsid w:val="716A38D3"/>
    <w:rsid w:val="71744751"/>
    <w:rsid w:val="717464FF"/>
    <w:rsid w:val="717767B4"/>
    <w:rsid w:val="71896B48"/>
    <w:rsid w:val="7191061F"/>
    <w:rsid w:val="7195350A"/>
    <w:rsid w:val="719B1CDE"/>
    <w:rsid w:val="71A87053"/>
    <w:rsid w:val="71AB2CC6"/>
    <w:rsid w:val="71AD31EB"/>
    <w:rsid w:val="71AD7C63"/>
    <w:rsid w:val="71B52674"/>
    <w:rsid w:val="71B608C6"/>
    <w:rsid w:val="71B712D5"/>
    <w:rsid w:val="71C11862"/>
    <w:rsid w:val="71C81856"/>
    <w:rsid w:val="71D92806"/>
    <w:rsid w:val="71E116BB"/>
    <w:rsid w:val="71E61804"/>
    <w:rsid w:val="71F2391E"/>
    <w:rsid w:val="71F633B8"/>
    <w:rsid w:val="71FA3814"/>
    <w:rsid w:val="72020DA3"/>
    <w:rsid w:val="7207783B"/>
    <w:rsid w:val="720A716D"/>
    <w:rsid w:val="720E0E8C"/>
    <w:rsid w:val="72113D4E"/>
    <w:rsid w:val="721855A9"/>
    <w:rsid w:val="72190E55"/>
    <w:rsid w:val="721B79AF"/>
    <w:rsid w:val="721E571E"/>
    <w:rsid w:val="72286A77"/>
    <w:rsid w:val="722A12B4"/>
    <w:rsid w:val="722F711D"/>
    <w:rsid w:val="72330169"/>
    <w:rsid w:val="72367C59"/>
    <w:rsid w:val="725777F7"/>
    <w:rsid w:val="725D4114"/>
    <w:rsid w:val="72646574"/>
    <w:rsid w:val="72710C91"/>
    <w:rsid w:val="727644F9"/>
    <w:rsid w:val="727E33F3"/>
    <w:rsid w:val="727E4E2F"/>
    <w:rsid w:val="72872262"/>
    <w:rsid w:val="729B1591"/>
    <w:rsid w:val="729F6C6D"/>
    <w:rsid w:val="72A53775"/>
    <w:rsid w:val="72AE052B"/>
    <w:rsid w:val="72B04F5A"/>
    <w:rsid w:val="72B15531"/>
    <w:rsid w:val="72BD7A32"/>
    <w:rsid w:val="72C45265"/>
    <w:rsid w:val="72C57A58"/>
    <w:rsid w:val="72C9287B"/>
    <w:rsid w:val="72CE66BA"/>
    <w:rsid w:val="72D63345"/>
    <w:rsid w:val="72F62232"/>
    <w:rsid w:val="72F86CB7"/>
    <w:rsid w:val="72FA0C86"/>
    <w:rsid w:val="72FD0776"/>
    <w:rsid w:val="730613D9"/>
    <w:rsid w:val="730B3AEF"/>
    <w:rsid w:val="731004AA"/>
    <w:rsid w:val="731A357B"/>
    <w:rsid w:val="731D4975"/>
    <w:rsid w:val="731E210E"/>
    <w:rsid w:val="73231373"/>
    <w:rsid w:val="73320C29"/>
    <w:rsid w:val="733C6B59"/>
    <w:rsid w:val="73467AF6"/>
    <w:rsid w:val="735465E8"/>
    <w:rsid w:val="735F4F8D"/>
    <w:rsid w:val="7361387E"/>
    <w:rsid w:val="736507F6"/>
    <w:rsid w:val="736E59B2"/>
    <w:rsid w:val="7372081D"/>
    <w:rsid w:val="737A22F5"/>
    <w:rsid w:val="737A34D9"/>
    <w:rsid w:val="737A4969"/>
    <w:rsid w:val="738239FA"/>
    <w:rsid w:val="73840550"/>
    <w:rsid w:val="738A0652"/>
    <w:rsid w:val="73974727"/>
    <w:rsid w:val="73A26C2C"/>
    <w:rsid w:val="73A34E7A"/>
    <w:rsid w:val="73A87A1C"/>
    <w:rsid w:val="73AA445A"/>
    <w:rsid w:val="73B01775"/>
    <w:rsid w:val="73B02D02"/>
    <w:rsid w:val="73B61051"/>
    <w:rsid w:val="73B70925"/>
    <w:rsid w:val="73BB6668"/>
    <w:rsid w:val="73CD1EF7"/>
    <w:rsid w:val="73D31BF6"/>
    <w:rsid w:val="73D47729"/>
    <w:rsid w:val="73DB0AB8"/>
    <w:rsid w:val="73E6154D"/>
    <w:rsid w:val="73ED17E6"/>
    <w:rsid w:val="73F50D50"/>
    <w:rsid w:val="73F531FC"/>
    <w:rsid w:val="73F86C12"/>
    <w:rsid w:val="73F9347A"/>
    <w:rsid w:val="73FB138A"/>
    <w:rsid w:val="73FD6264"/>
    <w:rsid w:val="73FE4F2A"/>
    <w:rsid w:val="7402176C"/>
    <w:rsid w:val="74032D39"/>
    <w:rsid w:val="7405003F"/>
    <w:rsid w:val="74082F2F"/>
    <w:rsid w:val="741D60E7"/>
    <w:rsid w:val="74235FBB"/>
    <w:rsid w:val="742C44E2"/>
    <w:rsid w:val="74336D22"/>
    <w:rsid w:val="74471CA9"/>
    <w:rsid w:val="74510398"/>
    <w:rsid w:val="7452064E"/>
    <w:rsid w:val="745229A8"/>
    <w:rsid w:val="745D14CD"/>
    <w:rsid w:val="74687E72"/>
    <w:rsid w:val="746D0776"/>
    <w:rsid w:val="747A1FB7"/>
    <w:rsid w:val="747E7B92"/>
    <w:rsid w:val="7487654A"/>
    <w:rsid w:val="748A7DE8"/>
    <w:rsid w:val="7491561A"/>
    <w:rsid w:val="7496678D"/>
    <w:rsid w:val="74985FFF"/>
    <w:rsid w:val="749B2AF9"/>
    <w:rsid w:val="749E1BAE"/>
    <w:rsid w:val="74A964C0"/>
    <w:rsid w:val="74AE1D28"/>
    <w:rsid w:val="74B82BA7"/>
    <w:rsid w:val="74BB61F3"/>
    <w:rsid w:val="74C23A26"/>
    <w:rsid w:val="74D47714"/>
    <w:rsid w:val="74D84FF7"/>
    <w:rsid w:val="74D86CB9"/>
    <w:rsid w:val="74DF0134"/>
    <w:rsid w:val="74E2279A"/>
    <w:rsid w:val="74EC48F1"/>
    <w:rsid w:val="74EE481B"/>
    <w:rsid w:val="74F53AA1"/>
    <w:rsid w:val="74F96FFD"/>
    <w:rsid w:val="74FE034B"/>
    <w:rsid w:val="75036E13"/>
    <w:rsid w:val="750B4F95"/>
    <w:rsid w:val="7510653F"/>
    <w:rsid w:val="753164B5"/>
    <w:rsid w:val="7534692D"/>
    <w:rsid w:val="75355FA6"/>
    <w:rsid w:val="7541494A"/>
    <w:rsid w:val="75442A1E"/>
    <w:rsid w:val="75450258"/>
    <w:rsid w:val="754E0E15"/>
    <w:rsid w:val="75507C16"/>
    <w:rsid w:val="75596138"/>
    <w:rsid w:val="755C3532"/>
    <w:rsid w:val="75621536"/>
    <w:rsid w:val="756A2216"/>
    <w:rsid w:val="756E14B8"/>
    <w:rsid w:val="757E794D"/>
    <w:rsid w:val="75836DFF"/>
    <w:rsid w:val="758A5B24"/>
    <w:rsid w:val="75947170"/>
    <w:rsid w:val="7596337E"/>
    <w:rsid w:val="759E1D9D"/>
    <w:rsid w:val="759E7FEF"/>
    <w:rsid w:val="75A849CA"/>
    <w:rsid w:val="75A938AB"/>
    <w:rsid w:val="75B3754F"/>
    <w:rsid w:val="75B61AC7"/>
    <w:rsid w:val="75BB5FF0"/>
    <w:rsid w:val="75C11E82"/>
    <w:rsid w:val="75C970FA"/>
    <w:rsid w:val="75CA7D71"/>
    <w:rsid w:val="75DF0C59"/>
    <w:rsid w:val="75ED6880"/>
    <w:rsid w:val="75F1440F"/>
    <w:rsid w:val="75F37673"/>
    <w:rsid w:val="75F61BD9"/>
    <w:rsid w:val="75F81C25"/>
    <w:rsid w:val="75FA1462"/>
    <w:rsid w:val="76012B56"/>
    <w:rsid w:val="76030C93"/>
    <w:rsid w:val="76070319"/>
    <w:rsid w:val="760A11E0"/>
    <w:rsid w:val="760B4F58"/>
    <w:rsid w:val="7610102F"/>
    <w:rsid w:val="76142810"/>
    <w:rsid w:val="76194560"/>
    <w:rsid w:val="76203174"/>
    <w:rsid w:val="762368A6"/>
    <w:rsid w:val="76283D5C"/>
    <w:rsid w:val="762D4ECF"/>
    <w:rsid w:val="762E4782"/>
    <w:rsid w:val="762F0C47"/>
    <w:rsid w:val="762F6E99"/>
    <w:rsid w:val="763224E5"/>
    <w:rsid w:val="7634625D"/>
    <w:rsid w:val="76350721"/>
    <w:rsid w:val="76366479"/>
    <w:rsid w:val="763B2FA9"/>
    <w:rsid w:val="763C0DBB"/>
    <w:rsid w:val="76420513"/>
    <w:rsid w:val="76515048"/>
    <w:rsid w:val="765C656D"/>
    <w:rsid w:val="766034F6"/>
    <w:rsid w:val="766A7ED1"/>
    <w:rsid w:val="76723A1A"/>
    <w:rsid w:val="76726D86"/>
    <w:rsid w:val="767825EE"/>
    <w:rsid w:val="767C0E07"/>
    <w:rsid w:val="769431A0"/>
    <w:rsid w:val="76967A9F"/>
    <w:rsid w:val="76A44A2E"/>
    <w:rsid w:val="76A50F09"/>
    <w:rsid w:val="76AC2297"/>
    <w:rsid w:val="76AF3B36"/>
    <w:rsid w:val="76BF646F"/>
    <w:rsid w:val="76C80317"/>
    <w:rsid w:val="76D06798"/>
    <w:rsid w:val="76D37824"/>
    <w:rsid w:val="76D51394"/>
    <w:rsid w:val="76E61C4D"/>
    <w:rsid w:val="76E732D0"/>
    <w:rsid w:val="76EE065D"/>
    <w:rsid w:val="76EF6628"/>
    <w:rsid w:val="76F459ED"/>
    <w:rsid w:val="76F808E8"/>
    <w:rsid w:val="76FD0D45"/>
    <w:rsid w:val="77004391"/>
    <w:rsid w:val="770D1AEF"/>
    <w:rsid w:val="77152231"/>
    <w:rsid w:val="7715521D"/>
    <w:rsid w:val="771A5453"/>
    <w:rsid w:val="77232C20"/>
    <w:rsid w:val="772F0407"/>
    <w:rsid w:val="77302EC9"/>
    <w:rsid w:val="7731279D"/>
    <w:rsid w:val="773F135E"/>
    <w:rsid w:val="77476464"/>
    <w:rsid w:val="774820F5"/>
    <w:rsid w:val="774A4FB9"/>
    <w:rsid w:val="774F7BA9"/>
    <w:rsid w:val="77511956"/>
    <w:rsid w:val="77560455"/>
    <w:rsid w:val="7756263E"/>
    <w:rsid w:val="776209F2"/>
    <w:rsid w:val="77644920"/>
    <w:rsid w:val="77664B3C"/>
    <w:rsid w:val="7768259E"/>
    <w:rsid w:val="77692F57"/>
    <w:rsid w:val="776B5CAF"/>
    <w:rsid w:val="777032C5"/>
    <w:rsid w:val="777C7EBC"/>
    <w:rsid w:val="777D59E2"/>
    <w:rsid w:val="777F175A"/>
    <w:rsid w:val="77837A47"/>
    <w:rsid w:val="77876861"/>
    <w:rsid w:val="77884AB3"/>
    <w:rsid w:val="77903967"/>
    <w:rsid w:val="77924EDC"/>
    <w:rsid w:val="77A6318B"/>
    <w:rsid w:val="77A92C7B"/>
    <w:rsid w:val="77B62F3E"/>
    <w:rsid w:val="77B77E41"/>
    <w:rsid w:val="77B96D29"/>
    <w:rsid w:val="77BA6C36"/>
    <w:rsid w:val="77CD4BBB"/>
    <w:rsid w:val="77D223EA"/>
    <w:rsid w:val="77DC095A"/>
    <w:rsid w:val="77E872FF"/>
    <w:rsid w:val="77EA4701"/>
    <w:rsid w:val="77EF68E0"/>
    <w:rsid w:val="77F42148"/>
    <w:rsid w:val="77FA5285"/>
    <w:rsid w:val="77FB1F5F"/>
    <w:rsid w:val="77FB41BE"/>
    <w:rsid w:val="77FC0FFD"/>
    <w:rsid w:val="77FD333A"/>
    <w:rsid w:val="78001221"/>
    <w:rsid w:val="78004467"/>
    <w:rsid w:val="780E33AD"/>
    <w:rsid w:val="780F3305"/>
    <w:rsid w:val="781225CE"/>
    <w:rsid w:val="78175E36"/>
    <w:rsid w:val="781A76D5"/>
    <w:rsid w:val="781D3908"/>
    <w:rsid w:val="782318E1"/>
    <w:rsid w:val="782B3690"/>
    <w:rsid w:val="782C28A7"/>
    <w:rsid w:val="783A38D3"/>
    <w:rsid w:val="784A42A5"/>
    <w:rsid w:val="78572992"/>
    <w:rsid w:val="78581447"/>
    <w:rsid w:val="78591FAB"/>
    <w:rsid w:val="78593C96"/>
    <w:rsid w:val="78651820"/>
    <w:rsid w:val="78770683"/>
    <w:rsid w:val="78793171"/>
    <w:rsid w:val="787943FB"/>
    <w:rsid w:val="787B0173"/>
    <w:rsid w:val="78931BCD"/>
    <w:rsid w:val="78972AD3"/>
    <w:rsid w:val="7898704D"/>
    <w:rsid w:val="78A05677"/>
    <w:rsid w:val="78A34D73"/>
    <w:rsid w:val="78B310F1"/>
    <w:rsid w:val="78C31B1A"/>
    <w:rsid w:val="78CC027C"/>
    <w:rsid w:val="78D24459"/>
    <w:rsid w:val="78D72423"/>
    <w:rsid w:val="78D92BEB"/>
    <w:rsid w:val="78DB05FF"/>
    <w:rsid w:val="78DF19A2"/>
    <w:rsid w:val="78EF5B72"/>
    <w:rsid w:val="78FB44EC"/>
    <w:rsid w:val="78FB7506"/>
    <w:rsid w:val="78FF6FF6"/>
    <w:rsid w:val="790243F1"/>
    <w:rsid w:val="791F31F5"/>
    <w:rsid w:val="79256331"/>
    <w:rsid w:val="79390854"/>
    <w:rsid w:val="7940316B"/>
    <w:rsid w:val="794964C4"/>
    <w:rsid w:val="794C7D62"/>
    <w:rsid w:val="7953318A"/>
    <w:rsid w:val="795543F4"/>
    <w:rsid w:val="79565B55"/>
    <w:rsid w:val="79756A0F"/>
    <w:rsid w:val="79870D9A"/>
    <w:rsid w:val="79872B48"/>
    <w:rsid w:val="799F2D71"/>
    <w:rsid w:val="799F7E92"/>
    <w:rsid w:val="79AC25AE"/>
    <w:rsid w:val="79BD2A92"/>
    <w:rsid w:val="79BD47BC"/>
    <w:rsid w:val="79C57453"/>
    <w:rsid w:val="79CC0202"/>
    <w:rsid w:val="79CD0438"/>
    <w:rsid w:val="79CD2C51"/>
    <w:rsid w:val="79D378DB"/>
    <w:rsid w:val="79E104AA"/>
    <w:rsid w:val="79E87EC1"/>
    <w:rsid w:val="79E955B1"/>
    <w:rsid w:val="79EA78D4"/>
    <w:rsid w:val="79F04B91"/>
    <w:rsid w:val="79F521A7"/>
    <w:rsid w:val="79F76458"/>
    <w:rsid w:val="79FB375A"/>
    <w:rsid w:val="7A037E78"/>
    <w:rsid w:val="7A044199"/>
    <w:rsid w:val="7A0F2A8A"/>
    <w:rsid w:val="7A227BB1"/>
    <w:rsid w:val="7A2605B3"/>
    <w:rsid w:val="7A28257D"/>
    <w:rsid w:val="7A2A27A4"/>
    <w:rsid w:val="7A2C40A1"/>
    <w:rsid w:val="7A4647B1"/>
    <w:rsid w:val="7A4D3724"/>
    <w:rsid w:val="7A63630C"/>
    <w:rsid w:val="7A6838AD"/>
    <w:rsid w:val="7A6C06BC"/>
    <w:rsid w:val="7A7A61AB"/>
    <w:rsid w:val="7A7E3F4B"/>
    <w:rsid w:val="7A8F3EAF"/>
    <w:rsid w:val="7A9514B6"/>
    <w:rsid w:val="7A971DB0"/>
    <w:rsid w:val="7A9C4B4A"/>
    <w:rsid w:val="7A9D6AC7"/>
    <w:rsid w:val="7A9E45ED"/>
    <w:rsid w:val="7A9E639B"/>
    <w:rsid w:val="7AA31D58"/>
    <w:rsid w:val="7AAD715B"/>
    <w:rsid w:val="7AC04BB7"/>
    <w:rsid w:val="7AC322A6"/>
    <w:rsid w:val="7AC57DCC"/>
    <w:rsid w:val="7AC82165"/>
    <w:rsid w:val="7ADA1B03"/>
    <w:rsid w:val="7AE244DA"/>
    <w:rsid w:val="7AE30252"/>
    <w:rsid w:val="7AE63EBE"/>
    <w:rsid w:val="7AE71AF0"/>
    <w:rsid w:val="7AE83ABA"/>
    <w:rsid w:val="7AE973D5"/>
    <w:rsid w:val="7AF35895"/>
    <w:rsid w:val="7B051D9D"/>
    <w:rsid w:val="7B164183"/>
    <w:rsid w:val="7B264AC2"/>
    <w:rsid w:val="7B267376"/>
    <w:rsid w:val="7B2A5E81"/>
    <w:rsid w:val="7B330BD4"/>
    <w:rsid w:val="7B3400F3"/>
    <w:rsid w:val="7B3B3264"/>
    <w:rsid w:val="7B426E63"/>
    <w:rsid w:val="7B430B05"/>
    <w:rsid w:val="7B593E42"/>
    <w:rsid w:val="7B5B428C"/>
    <w:rsid w:val="7B611E27"/>
    <w:rsid w:val="7B62386D"/>
    <w:rsid w:val="7B62561B"/>
    <w:rsid w:val="7B707D38"/>
    <w:rsid w:val="7B7B2E46"/>
    <w:rsid w:val="7B876D1B"/>
    <w:rsid w:val="7B876E2F"/>
    <w:rsid w:val="7B890CF8"/>
    <w:rsid w:val="7BAD06C1"/>
    <w:rsid w:val="7BB8348D"/>
    <w:rsid w:val="7BC2255D"/>
    <w:rsid w:val="7BC2430B"/>
    <w:rsid w:val="7BD61B65"/>
    <w:rsid w:val="7BDD1CD9"/>
    <w:rsid w:val="7BDF4EBD"/>
    <w:rsid w:val="7BDF6C6B"/>
    <w:rsid w:val="7BEB39B7"/>
    <w:rsid w:val="7BF12D7D"/>
    <w:rsid w:val="7BF5108A"/>
    <w:rsid w:val="7BF87D2D"/>
    <w:rsid w:val="7C0466D2"/>
    <w:rsid w:val="7C0611DC"/>
    <w:rsid w:val="7C0B35E0"/>
    <w:rsid w:val="7C0B3F04"/>
    <w:rsid w:val="7C122B9D"/>
    <w:rsid w:val="7C1903CF"/>
    <w:rsid w:val="7C224DAA"/>
    <w:rsid w:val="7C2B3597"/>
    <w:rsid w:val="7C3945CD"/>
    <w:rsid w:val="7C413482"/>
    <w:rsid w:val="7C4405BE"/>
    <w:rsid w:val="7C490589"/>
    <w:rsid w:val="7C4D0079"/>
    <w:rsid w:val="7C4F3DF1"/>
    <w:rsid w:val="7C586356"/>
    <w:rsid w:val="7C594C70"/>
    <w:rsid w:val="7C6A6C95"/>
    <w:rsid w:val="7C6B04FF"/>
    <w:rsid w:val="7C6E7F24"/>
    <w:rsid w:val="7C6F7CDD"/>
    <w:rsid w:val="7C7A6994"/>
    <w:rsid w:val="7C7F518D"/>
    <w:rsid w:val="7C855A65"/>
    <w:rsid w:val="7C8810B1"/>
    <w:rsid w:val="7C8A488B"/>
    <w:rsid w:val="7C8D16D2"/>
    <w:rsid w:val="7C920181"/>
    <w:rsid w:val="7C94028B"/>
    <w:rsid w:val="7C9932BE"/>
    <w:rsid w:val="7CA13F21"/>
    <w:rsid w:val="7CB2612E"/>
    <w:rsid w:val="7CB270FB"/>
    <w:rsid w:val="7CBA59FE"/>
    <w:rsid w:val="7CD12A58"/>
    <w:rsid w:val="7CD2057E"/>
    <w:rsid w:val="7CDC3D58"/>
    <w:rsid w:val="7CE51337"/>
    <w:rsid w:val="7CEF1425"/>
    <w:rsid w:val="7CF435F4"/>
    <w:rsid w:val="7CFB7AD5"/>
    <w:rsid w:val="7CFC0B63"/>
    <w:rsid w:val="7CFF3A91"/>
    <w:rsid w:val="7D080444"/>
    <w:rsid w:val="7D103724"/>
    <w:rsid w:val="7D142945"/>
    <w:rsid w:val="7D172435"/>
    <w:rsid w:val="7D4A280A"/>
    <w:rsid w:val="7D511D46"/>
    <w:rsid w:val="7D545437"/>
    <w:rsid w:val="7D6438CC"/>
    <w:rsid w:val="7D6B2EAC"/>
    <w:rsid w:val="7D744421"/>
    <w:rsid w:val="7D755AD9"/>
    <w:rsid w:val="7D7B29C4"/>
    <w:rsid w:val="7D910439"/>
    <w:rsid w:val="7D9D4D5A"/>
    <w:rsid w:val="7DB008BF"/>
    <w:rsid w:val="7DB65765"/>
    <w:rsid w:val="7DBC08D1"/>
    <w:rsid w:val="7DC42454"/>
    <w:rsid w:val="7DCE343B"/>
    <w:rsid w:val="7DD020A4"/>
    <w:rsid w:val="7DD94152"/>
    <w:rsid w:val="7DED4DF0"/>
    <w:rsid w:val="7DF31851"/>
    <w:rsid w:val="7DF81391"/>
    <w:rsid w:val="7E002EC9"/>
    <w:rsid w:val="7E074257"/>
    <w:rsid w:val="7E134189"/>
    <w:rsid w:val="7E1352F2"/>
    <w:rsid w:val="7E225EEA"/>
    <w:rsid w:val="7E2604A8"/>
    <w:rsid w:val="7E311815"/>
    <w:rsid w:val="7E3737A1"/>
    <w:rsid w:val="7E404E25"/>
    <w:rsid w:val="7E4436FD"/>
    <w:rsid w:val="7E484F2F"/>
    <w:rsid w:val="7E4F4B5D"/>
    <w:rsid w:val="7E503E50"/>
    <w:rsid w:val="7E544093"/>
    <w:rsid w:val="7E5E656D"/>
    <w:rsid w:val="7E613260"/>
    <w:rsid w:val="7E6711D0"/>
    <w:rsid w:val="7E7220B9"/>
    <w:rsid w:val="7E7A711F"/>
    <w:rsid w:val="7E7B55AE"/>
    <w:rsid w:val="7E802674"/>
    <w:rsid w:val="7E81225C"/>
    <w:rsid w:val="7E8B4E88"/>
    <w:rsid w:val="7E99492F"/>
    <w:rsid w:val="7E9E5121"/>
    <w:rsid w:val="7EA764FC"/>
    <w:rsid w:val="7EAB1087"/>
    <w:rsid w:val="7EC75AE6"/>
    <w:rsid w:val="7ECB2067"/>
    <w:rsid w:val="7ED06D3F"/>
    <w:rsid w:val="7ED93E46"/>
    <w:rsid w:val="7EDA3EE6"/>
    <w:rsid w:val="7EE06F82"/>
    <w:rsid w:val="7EE76221"/>
    <w:rsid w:val="7EF02F3D"/>
    <w:rsid w:val="7EF3630A"/>
    <w:rsid w:val="7EFC18E2"/>
    <w:rsid w:val="7F0B527F"/>
    <w:rsid w:val="7F0E4C7E"/>
    <w:rsid w:val="7F0F2BE7"/>
    <w:rsid w:val="7F111831"/>
    <w:rsid w:val="7F1633D4"/>
    <w:rsid w:val="7F192494"/>
    <w:rsid w:val="7F1B2FE8"/>
    <w:rsid w:val="7F1C1F84"/>
    <w:rsid w:val="7F264BB1"/>
    <w:rsid w:val="7F3E1EFB"/>
    <w:rsid w:val="7F407B93"/>
    <w:rsid w:val="7F475A76"/>
    <w:rsid w:val="7F4B4CA3"/>
    <w:rsid w:val="7F4D3D52"/>
    <w:rsid w:val="7F533BF8"/>
    <w:rsid w:val="7F596D35"/>
    <w:rsid w:val="7F5A3CC9"/>
    <w:rsid w:val="7F604567"/>
    <w:rsid w:val="7F772791"/>
    <w:rsid w:val="7F7973D7"/>
    <w:rsid w:val="7F7D478D"/>
    <w:rsid w:val="7F7E3721"/>
    <w:rsid w:val="7F875650"/>
    <w:rsid w:val="7F8A1A24"/>
    <w:rsid w:val="7F8A5C84"/>
    <w:rsid w:val="7F967F89"/>
    <w:rsid w:val="7F977824"/>
    <w:rsid w:val="7FA1086D"/>
    <w:rsid w:val="7FA31F31"/>
    <w:rsid w:val="7FA701FE"/>
    <w:rsid w:val="7FAB583A"/>
    <w:rsid w:val="7FAC155A"/>
    <w:rsid w:val="7FB126CD"/>
    <w:rsid w:val="7FB65F35"/>
    <w:rsid w:val="7FC44AF6"/>
    <w:rsid w:val="7FC543CA"/>
    <w:rsid w:val="7FCE094D"/>
    <w:rsid w:val="7FD50AB1"/>
    <w:rsid w:val="7FDE4299"/>
    <w:rsid w:val="7FDF54F0"/>
    <w:rsid w:val="7FEA5BDF"/>
    <w:rsid w:val="7FEB755B"/>
    <w:rsid w:val="7FEC7BA9"/>
    <w:rsid w:val="7FF16F6D"/>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adjustRightInd w:val="0"/>
      <w:spacing w:line="360" w:lineRule="auto"/>
      <w:jc w:val="left"/>
      <w:outlineLvl w:val="0"/>
    </w:pPr>
    <w:rPr>
      <w:rFonts w:ascii="宋体" w:hAnsi="宋体" w:eastAsia="黑体"/>
      <w:kern w:val="44"/>
      <w:sz w:val="28"/>
    </w:rPr>
  </w:style>
  <w:style w:type="paragraph" w:styleId="3">
    <w:name w:val="heading 2"/>
    <w:basedOn w:val="1"/>
    <w:next w:val="1"/>
    <w:autoRedefine/>
    <w:qFormat/>
    <w:uiPriority w:val="0"/>
    <w:pPr>
      <w:keepNext/>
      <w:keepLines/>
      <w:outlineLvl w:val="1"/>
    </w:pPr>
    <w:rPr>
      <w:rFonts w:ascii="Arial" w:hAnsi="Arial" w:eastAsia="黑体"/>
      <w:b/>
      <w:bCs/>
      <w:sz w:val="28"/>
      <w:szCs w:val="32"/>
    </w:rPr>
  </w:style>
  <w:style w:type="paragraph" w:styleId="4">
    <w:name w:val="heading 3"/>
    <w:basedOn w:val="1"/>
    <w:next w:val="1"/>
    <w:autoRedefine/>
    <w:qFormat/>
    <w:uiPriority w:val="0"/>
    <w:pPr>
      <w:keepNext/>
      <w:keepLines/>
      <w:widowControl/>
      <w:spacing w:before="260" w:after="260" w:line="416" w:lineRule="auto"/>
      <w:jc w:val="left"/>
      <w:outlineLvl w:val="2"/>
    </w:pPr>
    <w:rPr>
      <w:rFonts w:ascii="宋体" w:hAnsi="宋体"/>
      <w:b/>
      <w:bCs/>
      <w:kern w:val="0"/>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adjustRightInd w:val="0"/>
      <w:snapToGrid w:val="0"/>
      <w:spacing w:line="300" w:lineRule="auto"/>
    </w:pPr>
    <w:rPr>
      <w:rFonts w:ascii="仿宋_GB2312" w:eastAsia="仿宋_GB2312"/>
      <w:sz w:val="28"/>
    </w:rPr>
  </w:style>
  <w:style w:type="paragraph" w:styleId="7">
    <w:name w:val="caption"/>
    <w:basedOn w:val="1"/>
    <w:next w:val="1"/>
    <w:autoRedefine/>
    <w:qFormat/>
    <w:uiPriority w:val="0"/>
    <w:rPr>
      <w:rFonts w:ascii="Cambria" w:hAnsi="Cambria" w:eastAsia="黑体"/>
      <w:sz w:val="20"/>
    </w:rPr>
  </w:style>
  <w:style w:type="paragraph" w:styleId="8">
    <w:name w:val="annotation text"/>
    <w:basedOn w:val="1"/>
    <w:autoRedefine/>
    <w:qFormat/>
    <w:uiPriority w:val="0"/>
    <w:pPr>
      <w:jc w:val="left"/>
    </w:pPr>
  </w:style>
  <w:style w:type="paragraph" w:styleId="9">
    <w:name w:val="Salutation"/>
    <w:basedOn w:val="1"/>
    <w:next w:val="1"/>
    <w:autoRedefine/>
    <w:qFormat/>
    <w:uiPriority w:val="0"/>
    <w:pPr>
      <w:adjustRightInd w:val="0"/>
      <w:spacing w:line="360" w:lineRule="atLeast"/>
      <w:textAlignment w:val="baseline"/>
    </w:pPr>
    <w:rPr>
      <w:rFonts w:ascii="宋体" w:hAnsi="华文宋体" w:eastAsia="宋体" w:cs="Times New Roman"/>
      <w:sz w:val="28"/>
      <w:szCs w:val="24"/>
    </w:rPr>
  </w:style>
  <w:style w:type="paragraph" w:styleId="10">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autoRedefine/>
    <w:qFormat/>
    <w:uiPriority w:val="0"/>
    <w:pPr>
      <w:spacing w:after="120"/>
      <w:ind w:left="420" w:leftChars="200" w:firstLine="0" w:firstLineChars="0"/>
    </w:pPr>
    <w:rPr>
      <w:szCs w:val="24"/>
    </w:rPr>
  </w:style>
  <w:style w:type="paragraph" w:styleId="12">
    <w:name w:val="Plain Text"/>
    <w:basedOn w:val="1"/>
    <w:next w:val="13"/>
    <w:autoRedefine/>
    <w:qFormat/>
    <w:uiPriority w:val="0"/>
    <w:rPr>
      <w:rFonts w:ascii="宋体" w:hAnsi="Courier New"/>
      <w:sz w:val="21"/>
      <w:szCs w:val="24"/>
    </w:rPr>
  </w:style>
  <w:style w:type="paragraph" w:styleId="13">
    <w:name w:val="toc 1"/>
    <w:basedOn w:val="1"/>
    <w:next w:val="1"/>
    <w:autoRedefine/>
    <w:qFormat/>
    <w:uiPriority w:val="0"/>
    <w:pPr>
      <w:widowControl/>
      <w:tabs>
        <w:tab w:val="right" w:leader="dot" w:pos="9061"/>
      </w:tabs>
      <w:adjustRightInd w:val="0"/>
      <w:snapToGrid w:val="0"/>
      <w:spacing w:before="100" w:beforeAutospacing="1" w:after="100" w:afterAutospacing="1"/>
    </w:pPr>
    <w:rPr>
      <w:rFonts w:cs="锦绣宋体"/>
      <w:b/>
      <w:bCs/>
      <w:caps/>
      <w:kern w:val="0"/>
      <w:szCs w:val="22"/>
      <w:lang w:eastAsia="en-US" w:bidi="en-US"/>
    </w:rPr>
  </w:style>
  <w:style w:type="paragraph" w:styleId="14">
    <w:name w:val="Date"/>
    <w:basedOn w:val="1"/>
    <w:next w:val="1"/>
    <w:autoRedefine/>
    <w:qFormat/>
    <w:uiPriority w:val="0"/>
    <w:pPr>
      <w:ind w:left="100" w:leftChars="2500"/>
    </w:pPr>
    <w:rPr>
      <w:kern w:val="0"/>
      <w:sz w:val="24"/>
      <w:szCs w:val="20"/>
    </w:rPr>
  </w:style>
  <w:style w:type="paragraph" w:styleId="15">
    <w:name w:val="footer"/>
    <w:basedOn w:val="1"/>
    <w:autoRedefine/>
    <w:qFormat/>
    <w:uiPriority w:val="99"/>
    <w:pPr>
      <w:tabs>
        <w:tab w:val="center" w:pos="4153"/>
        <w:tab w:val="right" w:pos="8306"/>
      </w:tabs>
      <w:snapToGrid w:val="0"/>
      <w:jc w:val="left"/>
    </w:pPr>
    <w:rPr>
      <w:kern w:val="0"/>
      <w:sz w:val="18"/>
      <w:szCs w:val="20"/>
    </w:rPr>
  </w:style>
  <w:style w:type="paragraph" w:styleId="16">
    <w:name w:val="header"/>
    <w:basedOn w:val="1"/>
    <w:next w:val="1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index heading"/>
    <w:basedOn w:val="1"/>
    <w:next w:val="18"/>
    <w:autoRedefine/>
    <w:unhideWhenUsed/>
    <w:qFormat/>
    <w:uiPriority w:val="99"/>
    <w:rPr>
      <w:rFonts w:ascii="Arial" w:hAnsi="Arial"/>
      <w:b/>
    </w:rPr>
  </w:style>
  <w:style w:type="paragraph" w:styleId="18">
    <w:name w:val="index 1"/>
    <w:basedOn w:val="1"/>
    <w:next w:val="1"/>
    <w:autoRedefine/>
    <w:semiHidden/>
    <w:qFormat/>
    <w:uiPriority w:val="99"/>
    <w:pPr>
      <w:jc w:val="center"/>
    </w:pPr>
    <w:rPr>
      <w:szCs w:val="20"/>
    </w:rPr>
  </w:style>
  <w:style w:type="paragraph" w:styleId="19">
    <w:name w:val="List"/>
    <w:basedOn w:val="1"/>
    <w:autoRedefine/>
    <w:qFormat/>
    <w:uiPriority w:val="0"/>
    <w:pPr>
      <w:spacing w:line="400" w:lineRule="exact"/>
      <w:jc w:val="center"/>
    </w:pPr>
    <w:rPr>
      <w:rFonts w:ascii="宋体" w:hAnsi="宋体"/>
    </w:rPr>
  </w:style>
  <w:style w:type="paragraph" w:styleId="20">
    <w:name w:val="toc 9"/>
    <w:basedOn w:val="1"/>
    <w:next w:val="1"/>
    <w:autoRedefine/>
    <w:qFormat/>
    <w:uiPriority w:val="0"/>
    <w:pPr>
      <w:widowControl/>
      <w:wordWrap w:val="0"/>
      <w:ind w:left="2975"/>
    </w:pPr>
    <w:rPr>
      <w:sz w:val="21"/>
      <w:szCs w:val="22"/>
    </w:rPr>
  </w:style>
  <w:style w:type="paragraph" w:styleId="21">
    <w:name w:val="Body Text 2"/>
    <w:basedOn w:val="1"/>
    <w:autoRedefine/>
    <w:unhideWhenUsed/>
    <w:qFormat/>
    <w:uiPriority w:val="0"/>
    <w:pPr>
      <w:spacing w:after="120" w:line="480" w:lineRule="auto"/>
    </w:pPr>
  </w:style>
  <w:style w:type="paragraph" w:styleId="22">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3">
    <w:name w:val="Body Text First Indent"/>
    <w:basedOn w:val="10"/>
    <w:qFormat/>
    <w:uiPriority w:val="0"/>
    <w:pPr>
      <w:adjustRightInd w:val="0"/>
      <w:spacing w:before="0" w:after="120" w:line="360" w:lineRule="auto"/>
      <w:ind w:right="0" w:firstLine="420" w:firstLineChars="100"/>
    </w:pPr>
    <w:rPr>
      <w:kern w:val="2"/>
      <w:sz w:val="28"/>
      <w:szCs w:val="24"/>
      <w:lang w:eastAsia="en-US" w:bidi="en-US"/>
    </w:rPr>
  </w:style>
  <w:style w:type="paragraph" w:styleId="24">
    <w:name w:val="Body Text First Indent 2"/>
    <w:basedOn w:val="1"/>
    <w:next w:val="1"/>
    <w:autoRedefine/>
    <w:unhideWhenUsed/>
    <w:qFormat/>
    <w:uiPriority w:val="99"/>
    <w:pPr>
      <w:ind w:firstLine="420" w:firstLineChars="200"/>
    </w:pPr>
  </w:style>
  <w:style w:type="table" w:styleId="26">
    <w:name w:val="Table Grid"/>
    <w:basedOn w:val="2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autoRedefine/>
    <w:qFormat/>
    <w:uiPriority w:val="0"/>
  </w:style>
  <w:style w:type="character" w:styleId="30">
    <w:name w:val="Hyperlink"/>
    <w:basedOn w:val="27"/>
    <w:autoRedefine/>
    <w:qFormat/>
    <w:uiPriority w:val="0"/>
    <w:rPr>
      <w:color w:val="0000FF"/>
      <w:u w:val="single"/>
    </w:rPr>
  </w:style>
  <w:style w:type="character" w:styleId="31">
    <w:name w:val="annotation reference"/>
    <w:autoRedefine/>
    <w:semiHidden/>
    <w:qFormat/>
    <w:uiPriority w:val="0"/>
    <w:rPr>
      <w:sz w:val="21"/>
    </w:rPr>
  </w:style>
  <w:style w:type="paragraph" w:customStyle="1" w:styleId="32">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
    <w:name w:val="Default"/>
    <w:basedOn w:val="34"/>
    <w:autoRedefine/>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34">
    <w:name w:val="标题 段落4级"/>
    <w:basedOn w:val="35"/>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5">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36">
    <w:name w:val="样式1"/>
    <w:basedOn w:val="17"/>
    <w:next w:val="1"/>
    <w:autoRedefine/>
    <w:qFormat/>
    <w:uiPriority w:val="0"/>
    <w:pPr>
      <w:widowControl/>
      <w:adjustRightInd w:val="0"/>
      <w:snapToGrid w:val="0"/>
      <w:jc w:val="center"/>
    </w:pPr>
    <w:rPr>
      <w:rFonts w:ascii="宋体" w:hAnsi="宋体"/>
      <w:spacing w:val="-12"/>
      <w:kern w:val="0"/>
      <w:szCs w:val="28"/>
      <w:lang w:eastAsia="en-US" w:bidi="en-US"/>
    </w:rPr>
  </w:style>
  <w:style w:type="paragraph" w:customStyle="1" w:styleId="37">
    <w:name w:val="0正文"/>
    <w:basedOn w:val="22"/>
    <w:autoRedefine/>
    <w:qFormat/>
    <w:uiPriority w:val="0"/>
    <w:pPr>
      <w:spacing w:before="0" w:beforeAutospacing="0" w:after="0" w:afterAutospacing="0"/>
      <w:ind w:firstLine="482"/>
      <w:jc w:val="both"/>
    </w:pPr>
    <w:rPr>
      <w:rFonts w:ascii="Times New Roman" w:hAnsi="Times New Roman"/>
      <w:kern w:val="2"/>
    </w:rPr>
  </w:style>
  <w:style w:type="paragraph" w:customStyle="1" w:styleId="38">
    <w:name w:val="表头"/>
    <w:basedOn w:val="39"/>
    <w:autoRedefine/>
    <w:qFormat/>
    <w:uiPriority w:val="0"/>
    <w:pPr>
      <w:jc w:val="center"/>
    </w:pPr>
    <w:rPr>
      <w:b/>
      <w:szCs w:val="24"/>
    </w:rPr>
  </w:style>
  <w:style w:type="paragraph" w:customStyle="1" w:styleId="39">
    <w:name w:val="图表"/>
    <w:basedOn w:val="1"/>
    <w:autoRedefine/>
    <w:qFormat/>
    <w:uiPriority w:val="0"/>
    <w:pPr>
      <w:adjustRightInd w:val="0"/>
      <w:snapToGrid w:val="0"/>
      <w:spacing w:line="240" w:lineRule="auto"/>
      <w:ind w:firstLine="0" w:firstLineChars="0"/>
      <w:jc w:val="center"/>
    </w:pPr>
    <w:rPr>
      <w:color w:val="000000"/>
      <w:sz w:val="21"/>
      <w:szCs w:val="21"/>
      <w:lang w:val="zh-CN"/>
    </w:rPr>
  </w:style>
  <w:style w:type="paragraph" w:customStyle="1" w:styleId="40">
    <w:name w:val="表标题"/>
    <w:basedOn w:val="1"/>
    <w:next w:val="1"/>
    <w:autoRedefine/>
    <w:qFormat/>
    <w:uiPriority w:val="99"/>
    <w:pPr>
      <w:spacing w:line="500" w:lineRule="exact"/>
      <w:ind w:firstLine="482" w:firstLineChars="200"/>
      <w:jc w:val="center"/>
    </w:pPr>
    <w:rPr>
      <w:rFonts w:ascii="仿宋_GB2312" w:eastAsia="仿宋_GB2312"/>
      <w:b/>
      <w:bCs/>
      <w:sz w:val="24"/>
    </w:rPr>
  </w:style>
  <w:style w:type="paragraph" w:customStyle="1" w:styleId="41">
    <w:name w:val="表格"/>
    <w:basedOn w:val="36"/>
    <w:autoRedefine/>
    <w:qFormat/>
    <w:uiPriority w:val="0"/>
    <w:pPr>
      <w:adjustRightInd w:val="0"/>
      <w:snapToGrid w:val="0"/>
      <w:spacing w:beforeLines="10" w:afterLines="10" w:line="259" w:lineRule="auto"/>
      <w:jc w:val="center"/>
    </w:pPr>
    <w:rPr>
      <w:rFonts w:ascii="宋体"/>
      <w:kern w:val="0"/>
      <w:szCs w:val="20"/>
    </w:rPr>
  </w:style>
  <w:style w:type="paragraph" w:customStyle="1" w:styleId="42">
    <w:name w:val="Table Paragraph"/>
    <w:basedOn w:val="1"/>
    <w:autoRedefine/>
    <w:qFormat/>
    <w:uiPriority w:val="1"/>
    <w:pPr>
      <w:jc w:val="left"/>
    </w:pPr>
    <w:rPr>
      <w:rFonts w:ascii="Calibri" w:hAnsi="Calibri"/>
      <w:kern w:val="0"/>
      <w:sz w:val="22"/>
      <w:szCs w:val="22"/>
      <w:lang w:eastAsia="en-US"/>
    </w:rPr>
  </w:style>
  <w:style w:type="paragraph" w:customStyle="1" w:styleId="43">
    <w:name w:val="表格文字2"/>
    <w:basedOn w:val="1"/>
    <w:autoRedefine/>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styleId="44">
    <w:name w:val="List Paragraph"/>
    <w:basedOn w:val="1"/>
    <w:autoRedefine/>
    <w:qFormat/>
    <w:uiPriority w:val="34"/>
    <w:pPr>
      <w:ind w:firstLine="420" w:firstLineChars="200"/>
    </w:pPr>
    <w:rPr>
      <w:rFonts w:ascii="Times New Roman" w:hAnsi="Times New Roman" w:eastAsia="宋体" w:cs="Times New Roman"/>
    </w:rPr>
  </w:style>
  <w:style w:type="paragraph" w:customStyle="1" w:styleId="45">
    <w:name w:val="表格1"/>
    <w:basedOn w:val="1"/>
    <w:autoRedefine/>
    <w:qFormat/>
    <w:uiPriority w:val="0"/>
    <w:pPr>
      <w:adjustRightInd w:val="0"/>
      <w:snapToGrid w:val="0"/>
      <w:spacing w:line="240" w:lineRule="auto"/>
      <w:ind w:firstLine="0" w:firstLineChars="0"/>
      <w:jc w:val="center"/>
    </w:pPr>
    <w:rPr>
      <w:sz w:val="21"/>
      <w:szCs w:val="21"/>
    </w:rPr>
  </w:style>
  <w:style w:type="paragraph" w:customStyle="1" w:styleId="46">
    <w:name w:val="首行缩进"/>
    <w:basedOn w:val="1"/>
    <w:autoRedefine/>
    <w:qFormat/>
    <w:uiPriority w:val="0"/>
    <w:pPr>
      <w:ind w:firstLine="480"/>
    </w:pPr>
    <w:rPr>
      <w:szCs w:val="24"/>
    </w:rPr>
  </w:style>
  <w:style w:type="paragraph" w:customStyle="1" w:styleId="47">
    <w:name w:val="样式 表格 + 加粗"/>
    <w:basedOn w:val="41"/>
    <w:autoRedefine/>
    <w:qFormat/>
    <w:uiPriority w:val="0"/>
  </w:style>
  <w:style w:type="paragraph" w:customStyle="1" w:styleId="48">
    <w:name w:val="表格文字"/>
    <w:basedOn w:val="12"/>
    <w:next w:val="49"/>
    <w:autoRedefine/>
    <w:qFormat/>
    <w:uiPriority w:val="0"/>
    <w:pPr>
      <w:widowControl/>
      <w:jc w:val="center"/>
    </w:pPr>
    <w:rPr>
      <w:rFonts w:ascii="仿宋_GB2312" w:hAnsi="Arial Black" w:eastAsia="仿宋_GB2312"/>
      <w:kern w:val="44"/>
      <w:lang w:eastAsia="en-US" w:bidi="en-US"/>
    </w:rPr>
  </w:style>
  <w:style w:type="paragraph" w:customStyle="1" w:styleId="49">
    <w:name w:val="!正文"/>
    <w:basedOn w:val="1"/>
    <w:autoRedefine/>
    <w:qFormat/>
    <w:uiPriority w:val="0"/>
    <w:pPr>
      <w:spacing w:line="312" w:lineRule="auto"/>
    </w:pPr>
    <w:rPr>
      <w:rFonts w:ascii="Calibri" w:hAnsi="Calibri"/>
      <w:szCs w:val="24"/>
    </w:rPr>
  </w:style>
  <w:style w:type="paragraph" w:customStyle="1" w:styleId="50">
    <w:name w:val="表格内文字"/>
    <w:basedOn w:val="1"/>
    <w:autoRedefine/>
    <w:qFormat/>
    <w:uiPriority w:val="0"/>
    <w:pPr>
      <w:tabs>
        <w:tab w:val="left" w:pos="0"/>
      </w:tabs>
      <w:adjustRightInd w:val="0"/>
      <w:snapToGrid w:val="0"/>
      <w:jc w:val="center"/>
    </w:pPr>
    <w:rPr>
      <w:spacing w:val="4"/>
      <w:kern w:val="18"/>
    </w:rPr>
  </w:style>
  <w:style w:type="paragraph" w:customStyle="1" w:styleId="51">
    <w:name w:val="谏壁正文chen"/>
    <w:basedOn w:val="1"/>
    <w:autoRedefine/>
    <w:qFormat/>
    <w:uiPriority w:val="0"/>
    <w:pPr>
      <w:spacing w:line="360" w:lineRule="auto"/>
      <w:ind w:firstLine="200" w:firstLineChars="200"/>
    </w:pPr>
    <w:rPr>
      <w:sz w:val="24"/>
    </w:rPr>
  </w:style>
  <w:style w:type="paragraph" w:customStyle="1" w:styleId="52">
    <w:name w:val="正文-lcc"/>
    <w:basedOn w:val="1"/>
    <w:autoRedefine/>
    <w:qFormat/>
    <w:uiPriority w:val="0"/>
    <w:pPr>
      <w:snapToGrid w:val="0"/>
    </w:pPr>
    <w:rPr>
      <w:rFonts w:eastAsia="仿宋"/>
      <w:color w:val="000000"/>
      <w:szCs w:val="24"/>
    </w:rPr>
  </w:style>
  <w:style w:type="paragraph" w:customStyle="1" w:styleId="53">
    <w:name w:val="表中文"/>
    <w:autoRedefine/>
    <w:qFormat/>
    <w:uiPriority w:val="0"/>
    <w:pPr>
      <w:jc w:val="center"/>
    </w:pPr>
    <w:rPr>
      <w:rFonts w:ascii="Calibri" w:hAnsi="Calibri" w:eastAsia="宋体" w:cs="Times New Roman"/>
      <w:snapToGrid w:val="0"/>
      <w:kern w:val="2"/>
      <w:sz w:val="21"/>
      <w:szCs w:val="21"/>
      <w:lang w:val="en-US" w:eastAsia="zh-CN" w:bidi="ar-SA"/>
    </w:rPr>
  </w:style>
  <w:style w:type="paragraph" w:customStyle="1" w:styleId="54">
    <w:name w:val="文本"/>
    <w:basedOn w:val="1"/>
    <w:next w:val="1"/>
    <w:autoRedefine/>
    <w:qFormat/>
    <w:uiPriority w:val="0"/>
    <w:pPr>
      <w:autoSpaceDE w:val="0"/>
      <w:autoSpaceDN w:val="0"/>
      <w:ind w:firstLine="480"/>
    </w:pPr>
    <w:rPr>
      <w:szCs w:val="24"/>
      <w:lang w:val="zh-CN"/>
    </w:rPr>
  </w:style>
  <w:style w:type="paragraph" w:customStyle="1" w:styleId="55">
    <w:name w:val="正文样式"/>
    <w:basedOn w:val="1"/>
    <w:autoRedefine/>
    <w:qFormat/>
    <w:uiPriority w:val="0"/>
    <w:pPr>
      <w:ind w:right="170" w:firstLine="480"/>
    </w:pPr>
  </w:style>
  <w:style w:type="paragraph" w:customStyle="1" w:styleId="56">
    <w:name w:val="列出段落3"/>
    <w:basedOn w:val="1"/>
    <w:autoRedefine/>
    <w:qFormat/>
    <w:uiPriority w:val="0"/>
    <w:pPr>
      <w:ind w:firstLine="420"/>
    </w:pPr>
    <w:rPr>
      <w:rFonts w:ascii="Calibri" w:hAnsi="Calibri"/>
      <w:szCs w:val="24"/>
    </w:rPr>
  </w:style>
  <w:style w:type="character" w:customStyle="1" w:styleId="57">
    <w:name w:val="font41"/>
    <w:basedOn w:val="27"/>
    <w:autoRedefine/>
    <w:qFormat/>
    <w:uiPriority w:val="0"/>
    <w:rPr>
      <w:rFonts w:hint="default" w:ascii="Arial" w:hAnsi="Arial" w:cs="Arial"/>
      <w:color w:val="FF0000"/>
      <w:sz w:val="24"/>
      <w:szCs w:val="24"/>
      <w:u w:val="none"/>
    </w:rPr>
  </w:style>
  <w:style w:type="character" w:customStyle="1" w:styleId="58">
    <w:name w:val="font51"/>
    <w:basedOn w:val="27"/>
    <w:autoRedefine/>
    <w:qFormat/>
    <w:uiPriority w:val="0"/>
    <w:rPr>
      <w:rFonts w:hint="eastAsia" w:ascii="宋体" w:hAnsi="宋体" w:eastAsia="宋体" w:cs="宋体"/>
      <w:color w:val="FF0000"/>
      <w:sz w:val="24"/>
      <w:szCs w:val="24"/>
      <w:u w:val="none"/>
    </w:rPr>
  </w:style>
  <w:style w:type="character" w:customStyle="1" w:styleId="59">
    <w:name w:val="font01"/>
    <w:basedOn w:val="27"/>
    <w:autoRedefine/>
    <w:qFormat/>
    <w:uiPriority w:val="0"/>
    <w:rPr>
      <w:rFonts w:hint="eastAsia" w:ascii="等线" w:hAnsi="等线" w:eastAsia="等线" w:cs="等线"/>
      <w:color w:val="000000"/>
      <w:sz w:val="22"/>
      <w:szCs w:val="22"/>
      <w:u w:val="none"/>
    </w:rPr>
  </w:style>
  <w:style w:type="character" w:customStyle="1" w:styleId="60">
    <w:name w:val="font11"/>
    <w:basedOn w:val="27"/>
    <w:autoRedefine/>
    <w:qFormat/>
    <w:uiPriority w:val="0"/>
    <w:rPr>
      <w:rFonts w:hint="eastAsia" w:ascii="宋体" w:hAnsi="宋体" w:eastAsia="宋体" w:cs="宋体"/>
      <w:color w:val="FF0000"/>
      <w:sz w:val="24"/>
      <w:szCs w:val="24"/>
      <w:u w:val="none"/>
    </w:rPr>
  </w:style>
  <w:style w:type="character" w:customStyle="1" w:styleId="61">
    <w:name w:val="NormalCharacter"/>
    <w:autoRedefine/>
    <w:semiHidden/>
    <w:qFormat/>
    <w:uiPriority w:val="0"/>
  </w:style>
  <w:style w:type="paragraph" w:customStyle="1" w:styleId="62">
    <w:name w:val="Body Text 21"/>
    <w:basedOn w:val="1"/>
    <w:autoRedefine/>
    <w:qFormat/>
    <w:uiPriority w:val="0"/>
    <w:pPr>
      <w:adjustRightInd w:val="0"/>
      <w:spacing w:line="240" w:lineRule="auto"/>
      <w:ind w:firstLine="0" w:firstLineChars="0"/>
      <w:textAlignment w:val="baseline"/>
    </w:pPr>
    <w:rPr>
      <w:rFonts w:ascii="FangSong_GB2312" w:eastAsia="仿宋体"/>
      <w:kern w:val="0"/>
      <w:sz w:val="20"/>
    </w:rPr>
  </w:style>
  <w:style w:type="character" w:customStyle="1" w:styleId="63">
    <w:name w:val="font21"/>
    <w:basedOn w:val="27"/>
    <w:autoRedefine/>
    <w:qFormat/>
    <w:uiPriority w:val="0"/>
    <w:rPr>
      <w:rFonts w:hint="eastAsia" w:ascii="宋体" w:hAnsi="宋体" w:eastAsia="宋体" w:cs="宋体"/>
      <w:color w:val="000000"/>
      <w:sz w:val="22"/>
      <w:szCs w:val="22"/>
      <w:u w:val="none"/>
    </w:rPr>
  </w:style>
  <w:style w:type="paragraph" w:customStyle="1" w:styleId="64">
    <w:name w:val="zl正文"/>
    <w:basedOn w:val="1"/>
    <w:autoRedefine/>
    <w:qFormat/>
    <w:uiPriority w:val="0"/>
    <w:pPr>
      <w:spacing w:line="360" w:lineRule="auto"/>
      <w:ind w:firstLine="480" w:firstLineChars="200"/>
    </w:pPr>
    <w:rPr>
      <w:sz w:val="24"/>
    </w:rPr>
  </w:style>
  <w:style w:type="paragraph" w:customStyle="1" w:styleId="65">
    <w:name w:val="表格正文"/>
    <w:basedOn w:val="66"/>
    <w:next w:val="1"/>
    <w:autoRedefine/>
    <w:qFormat/>
    <w:uiPriority w:val="0"/>
    <w:pPr>
      <w:spacing w:before="10" w:beforeLines="10" w:after="10" w:afterLines="10" w:line="400" w:lineRule="exact"/>
      <w:ind w:firstLine="0" w:firstLineChars="0"/>
      <w:jc w:val="center"/>
    </w:pPr>
    <w:rPr>
      <w:b w:val="0"/>
      <w:sz w:val="18"/>
    </w:rPr>
  </w:style>
  <w:style w:type="paragraph" w:customStyle="1" w:styleId="66">
    <w:name w:val="表格加粗"/>
    <w:basedOn w:val="1"/>
    <w:next w:val="1"/>
    <w:autoRedefine/>
    <w:qFormat/>
    <w:uiPriority w:val="0"/>
    <w:pPr>
      <w:spacing w:line="400" w:lineRule="exact"/>
      <w:ind w:firstLine="0" w:firstLineChars="0"/>
      <w:jc w:val="center"/>
    </w:pPr>
    <w:rPr>
      <w:b/>
      <w:sz w:val="21"/>
      <w:szCs w:val="21"/>
    </w:rPr>
  </w:style>
  <w:style w:type="paragraph" w:customStyle="1" w:styleId="67">
    <w:name w:val="正文段落"/>
    <w:basedOn w:val="1"/>
    <w:autoRedefine/>
    <w:qFormat/>
    <w:uiPriority w:val="0"/>
    <w:pPr>
      <w:spacing w:line="500" w:lineRule="exact"/>
      <w:ind w:firstLine="200" w:firstLineChars="200"/>
    </w:pPr>
    <w:rPr>
      <w:sz w:val="24"/>
    </w:rPr>
  </w:style>
  <w:style w:type="character" w:customStyle="1" w:styleId="68">
    <w:name w:val="表格头 Char"/>
    <w:link w:val="69"/>
    <w:autoRedefine/>
    <w:qFormat/>
    <w:uiPriority w:val="0"/>
    <w:rPr>
      <w:rFonts w:eastAsia="仿宋_GB2312"/>
      <w:b/>
      <w:kern w:val="0"/>
      <w:sz w:val="28"/>
    </w:rPr>
  </w:style>
  <w:style w:type="paragraph" w:customStyle="1" w:styleId="69">
    <w:name w:val="表格头"/>
    <w:basedOn w:val="1"/>
    <w:link w:val="68"/>
    <w:autoRedefine/>
    <w:qFormat/>
    <w:uiPriority w:val="0"/>
    <w:pPr>
      <w:adjustRightInd w:val="0"/>
      <w:snapToGrid w:val="0"/>
      <w:jc w:val="center"/>
    </w:pPr>
    <w:rPr>
      <w:rFonts w:eastAsia="仿宋_GB2312"/>
      <w:b/>
      <w:kern w:val="0"/>
      <w:sz w:val="28"/>
    </w:rPr>
  </w:style>
  <w:style w:type="paragraph" w:customStyle="1" w:styleId="70">
    <w:name w:val="图表文字"/>
    <w:basedOn w:val="1"/>
    <w:autoRedefine/>
    <w:qFormat/>
    <w:uiPriority w:val="0"/>
    <w:pPr>
      <w:widowControl w:val="0"/>
      <w:spacing w:line="300" w:lineRule="exact"/>
      <w:jc w:val="center"/>
    </w:pPr>
    <w:rPr>
      <w:rFonts w:eastAsia="宋体"/>
      <w:bCs/>
      <w:kern w:val="2"/>
      <w:sz w:val="21"/>
    </w:rPr>
  </w:style>
  <w:style w:type="character" w:customStyle="1" w:styleId="71">
    <w:name w:val="表格标题新 Char"/>
    <w:autoRedefine/>
    <w:qFormat/>
    <w:uiPriority w:val="0"/>
    <w:rPr>
      <w:rFonts w:ascii="Times New Roman" w:hAnsi="Times New Roman" w:eastAsia="宋体"/>
      <w:b/>
      <w:snapToGrid w:val="0"/>
      <w:spacing w:val="4"/>
      <w:kern w:val="18"/>
      <w:sz w:val="24"/>
      <w:lang w:val="en-US" w:eastAsia="zh-CN"/>
    </w:rPr>
  </w:style>
  <w:style w:type="paragraph" w:customStyle="1" w:styleId="72">
    <w:name w:val="正文表格内容"/>
    <w:basedOn w:val="1"/>
    <w:autoRedefine/>
    <w:qFormat/>
    <w:uiPriority w:val="0"/>
    <w:pPr>
      <w:spacing w:line="360" w:lineRule="exact"/>
      <w:ind w:firstLine="0" w:firstLineChars="0"/>
      <w:jc w:val="center"/>
    </w:pPr>
    <w:rPr>
      <w:rFonts w:eastAsia="楷体_GB2312"/>
      <w:color w:val="000000"/>
      <w:sz w:val="21"/>
    </w:rPr>
  </w:style>
  <w:style w:type="character" w:customStyle="1" w:styleId="73">
    <w:name w:val="样式 两端对齐 行距: 固定值 29 磅"/>
    <w:basedOn w:val="27"/>
    <w:autoRedefine/>
    <w:qFormat/>
    <w:uiPriority w:val="0"/>
  </w:style>
  <w:style w:type="paragraph" w:customStyle="1" w:styleId="74">
    <w:name w:val="样式 样式 正文缩进正文（首行缩进两字） Char Char Char Char Char Char Char表格标题标题4文...."/>
    <w:basedOn w:val="1"/>
    <w:autoRedefine/>
    <w:qFormat/>
    <w:uiPriority w:val="0"/>
    <w:pPr>
      <w:widowControl/>
      <w:overflowPunct w:val="0"/>
      <w:adjustRightInd w:val="0"/>
      <w:snapToGrid w:val="0"/>
      <w:spacing w:line="500" w:lineRule="exact"/>
      <w:ind w:firstLine="200" w:firstLineChars="200"/>
      <w:jc w:val="left"/>
    </w:pPr>
    <w:rPr>
      <w:rFonts w:ascii="宋体" w:hAnsi="宋体" w:eastAsia="FangSong_GB2312" w:cs="宋体"/>
      <w:color w:val="000000"/>
      <w:sz w:val="28"/>
    </w:rPr>
  </w:style>
  <w:style w:type="paragraph" w:customStyle="1" w:styleId="75">
    <w:name w:val="样式 小四 行距: 1.5 倍行距"/>
    <w:basedOn w:val="1"/>
    <w:autoRedefine/>
    <w:qFormat/>
    <w:uiPriority w:val="0"/>
    <w:pPr>
      <w:ind w:firstLine="480"/>
    </w:pPr>
    <w:rPr>
      <w:sz w:val="21"/>
    </w:rPr>
  </w:style>
  <w:style w:type="paragraph" w:customStyle="1" w:styleId="76">
    <w:name w:val="环评正文"/>
    <w:basedOn w:val="14"/>
    <w:autoRedefine/>
    <w:qFormat/>
    <w:uiPriority w:val="0"/>
    <w:pPr>
      <w:spacing w:line="500" w:lineRule="exact"/>
      <w:ind w:left="0" w:leftChars="0" w:firstLine="560" w:firstLineChars="200"/>
    </w:pPr>
    <w:rPr>
      <w:rFonts w:ascii="FangSong_GB2312"/>
      <w:kern w:val="2"/>
      <w:sz w:val="28"/>
      <w:szCs w:val="28"/>
    </w:rPr>
  </w:style>
  <w:style w:type="paragraph" w:customStyle="1" w:styleId="77">
    <w:name w:val="样式 宋体 小四 两端对齐 首行缩进:  0.85 厘米 行距: 1.5 倍行距"/>
    <w:basedOn w:val="1"/>
    <w:autoRedefine/>
    <w:qFormat/>
    <w:uiPriority w:val="30"/>
    <w:pPr>
      <w:widowControl/>
      <w:spacing w:line="360" w:lineRule="auto"/>
      <w:ind w:firstLine="482"/>
    </w:pPr>
    <w:rPr>
      <w:kern w:val="0"/>
      <w:sz w:val="24"/>
    </w:rPr>
  </w:style>
  <w:style w:type="paragraph" w:customStyle="1" w:styleId="78">
    <w:name w:val="样式11"/>
    <w:basedOn w:val="1"/>
    <w:autoRedefine/>
    <w:qFormat/>
    <w:uiPriority w:val="0"/>
    <w:pPr>
      <w:tabs>
        <w:tab w:val="left" w:pos="1820"/>
      </w:tabs>
      <w:adjustRightInd w:val="0"/>
      <w:snapToGrid w:val="0"/>
      <w:spacing w:line="312" w:lineRule="auto"/>
      <w:ind w:left="1820" w:hanging="420"/>
    </w:pPr>
    <w:rPr>
      <w:rFonts w:ascii="仿宋_GB2312" w:eastAsia="仿宋_GB2312"/>
      <w:sz w:val="28"/>
    </w:rPr>
  </w:style>
  <w:style w:type="paragraph" w:customStyle="1" w:styleId="79">
    <w:name w:val="1 正文"/>
    <w:basedOn w:val="1"/>
    <w:autoRedefine/>
    <w:qFormat/>
    <w:uiPriority w:val="0"/>
    <w:pPr>
      <w:adjustRightInd w:val="0"/>
      <w:snapToGrid w:val="0"/>
      <w:spacing w:line="360" w:lineRule="auto"/>
      <w:ind w:firstLine="200" w:firstLineChars="200"/>
    </w:pPr>
    <w:rPr>
      <w:kern w:val="0"/>
      <w:sz w:val="24"/>
      <w:szCs w:val="20"/>
    </w:rPr>
  </w:style>
  <w:style w:type="paragraph" w:customStyle="1" w:styleId="80">
    <w:name w:val="1表格文字"/>
    <w:basedOn w:val="1"/>
    <w:autoRedefine/>
    <w:qFormat/>
    <w:uiPriority w:val="0"/>
    <w:pPr>
      <w:framePr w:wrap="around" w:vAnchor="text" w:hAnchor="text" w:y="1"/>
      <w:tabs>
        <w:tab w:val="left" w:pos="277"/>
        <w:tab w:val="left" w:pos="600"/>
        <w:tab w:val="left" w:pos="780"/>
        <w:tab w:val="left" w:pos="2517"/>
      </w:tabs>
      <w:adjustRightInd w:val="0"/>
      <w:snapToGrid w:val="0"/>
      <w:jc w:val="center"/>
      <w:textAlignment w:val="baseline"/>
    </w:pPr>
    <w:rPr>
      <w:kern w:val="0"/>
      <w:sz w:val="20"/>
      <w:szCs w:val="21"/>
    </w:rPr>
  </w:style>
  <w:style w:type="paragraph" w:customStyle="1" w:styleId="81">
    <w:name w:val="正文1"/>
    <w:basedOn w:val="1"/>
    <w:autoRedefine/>
    <w:qFormat/>
    <w:uiPriority w:val="0"/>
    <w:pPr>
      <w:adjustRightInd w:val="0"/>
      <w:spacing w:line="300" w:lineRule="exact"/>
      <w:ind w:firstLine="1439" w:firstLineChars="585"/>
    </w:pPr>
    <w:rPr>
      <w:rFonts w:ascii="宋体"/>
      <w:kern w:val="0"/>
      <w:szCs w:val="20"/>
    </w:rPr>
  </w:style>
  <w:style w:type="paragraph" w:customStyle="1" w:styleId="82">
    <w:name w:val="表头2-lcc"/>
    <w:basedOn w:val="83"/>
    <w:autoRedefine/>
    <w:qFormat/>
    <w:uiPriority w:val="0"/>
    <w:rPr>
      <w:b/>
    </w:rPr>
  </w:style>
  <w:style w:type="paragraph" w:customStyle="1" w:styleId="83">
    <w:name w:val="表文-lcc"/>
    <w:basedOn w:val="1"/>
    <w:autoRedefine/>
    <w:qFormat/>
    <w:uiPriority w:val="0"/>
    <w:pPr>
      <w:snapToGrid w:val="0"/>
      <w:jc w:val="center"/>
    </w:pPr>
    <w:rPr>
      <w:rFonts w:eastAsia="仿宋"/>
      <w:bCs/>
      <w:color w:val="000000"/>
      <w:kern w:val="0"/>
      <w:sz w:val="20"/>
    </w:rPr>
  </w:style>
  <w:style w:type="character" w:customStyle="1" w:styleId="84">
    <w:name w:val="标题 3 Char1"/>
    <w:autoRedefine/>
    <w:qFormat/>
    <w:uiPriority w:val="0"/>
    <w:rPr>
      <w:b/>
      <w:bCs/>
      <w:kern w:val="2"/>
      <w:sz w:val="32"/>
      <w:szCs w:val="32"/>
    </w:rPr>
  </w:style>
  <w:style w:type="paragraph" w:customStyle="1" w:styleId="85">
    <w:name w:val="表头1-lcc"/>
    <w:basedOn w:val="1"/>
    <w:autoRedefine/>
    <w:qFormat/>
    <w:uiPriority w:val="0"/>
    <w:pPr>
      <w:jc w:val="center"/>
    </w:pPr>
    <w:rPr>
      <w:rFonts w:ascii="Times New Roman" w:hAnsi="Times New Roman" w:eastAsia="仿宋_GB2312"/>
      <w:b/>
      <w:color w:val="000000"/>
      <w:sz w:val="24"/>
      <w:szCs w:val="28"/>
    </w:rPr>
  </w:style>
  <w:style w:type="paragraph" w:customStyle="1" w:styleId="86">
    <w:name w:val="正文文本1"/>
    <w:basedOn w:val="1"/>
    <w:qFormat/>
    <w:uiPriority w:val="0"/>
    <w:pPr>
      <w:shd w:val="clear" w:color="auto" w:fill="FFFFFF"/>
      <w:spacing w:line="480" w:lineRule="auto"/>
      <w:ind w:firstLine="400"/>
    </w:pPr>
    <w:rPr>
      <w:rFonts w:ascii="微软雅黑" w:hAnsi="微软雅黑" w:eastAsia="微软雅黑" w:cs="微软雅黑"/>
      <w:sz w:val="36"/>
      <w:szCs w:val="36"/>
    </w:rPr>
  </w:style>
  <w:style w:type="paragraph" w:customStyle="1" w:styleId="87">
    <w:name w:val="文本1"/>
    <w:basedOn w:val="1"/>
    <w:qFormat/>
    <w:uiPriority w:val="0"/>
    <w:pPr>
      <w:ind w:firstLine="397"/>
      <w:jc w:val="left"/>
    </w:pPr>
    <w:rPr>
      <w:rFonts w:ascii="宋体" w:hAnsi="宋体"/>
      <w:color w:val="000000"/>
      <w:sz w:val="28"/>
      <w:szCs w:val="22"/>
    </w:rPr>
  </w:style>
  <w:style w:type="paragraph" w:customStyle="1" w:styleId="88">
    <w:name w:val="样式 样式 标题 4 + 段前: 0.1 行"/>
    <w:basedOn w:val="1"/>
    <w:qFormat/>
    <w:uiPriority w:val="39"/>
    <w:pPr>
      <w:keepNext/>
      <w:keepLines/>
      <w:spacing w:beforeLines="10" w:line="360" w:lineRule="auto"/>
      <w:contextualSpacing/>
      <w:outlineLvl w:val="3"/>
    </w:pPr>
    <w:rPr>
      <w:rFonts w:ascii="Arial" w:hAnsi="Arial" w:cs="宋体"/>
      <w:sz w:val="24"/>
      <w:szCs w:val="20"/>
    </w:rPr>
  </w:style>
  <w:style w:type="paragraph" w:customStyle="1" w:styleId="89">
    <w:name w:val="小标题2"/>
    <w:basedOn w:val="5"/>
    <w:next w:val="6"/>
    <w:qFormat/>
    <w:uiPriority w:val="39"/>
    <w:pPr>
      <w:keepNext w:val="0"/>
      <w:keepLines w:val="0"/>
      <w:tabs>
        <w:tab w:val="left" w:pos="1140"/>
        <w:tab w:val="left" w:pos="1259"/>
        <w:tab w:val="left" w:pos="1440"/>
      </w:tabs>
      <w:spacing w:before="0" w:after="0" w:line="500" w:lineRule="exact"/>
      <w:ind w:firstLine="420"/>
      <w:outlineLvl w:val="7"/>
    </w:pPr>
    <w:rPr>
      <w:rFonts w:ascii="Times New Roman" w:hAnsi="Times New Roman"/>
      <w:b w:val="0"/>
      <w:bCs w:val="0"/>
      <w:snapToGrid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35702</Words>
  <Characters>37678</Characters>
  <Lines>0</Lines>
  <Paragraphs>0</Paragraphs>
  <TotalTime>0</TotalTime>
  <ScaleCrop>false</ScaleCrop>
  <LinksUpToDate>false</LinksUpToDate>
  <CharactersWithSpaces>37858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2022-06-15T03:52:00Z</dcterms:created>
  <dc:creator>ASUS</dc:creator>
  <cp:lastModifiedBy>lenovo</cp:lastModifiedBy>
  <cp:lastPrinted>2025-05-06T07:52:00Z</cp:lastPrinted>
  <dcterms:modified xsi:type="dcterms:W3CDTF">2025-06-04T07:33:17Z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01E1A4E523DB49FA8197954640FCDFEE_13</vt:lpwstr>
  </property>
  <property fmtid="{D5CDD505-2E9C-101B-9397-08002B2CF9AE}" pid="4" name="KSOTemplateDocerSaveRecord">
    <vt:lpwstr>eyJoZGlkIjoiMmFhZWRiNzY5MDJiNjk4MDBjNDdhZjlhZWY2MmRmZjUifQ==</vt:lpwstr>
  </property>
</Properties>
</file>