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hint="eastAsia" w:ascii="仿宋_GB2312" w:hAnsi="仿宋_GB2312" w:eastAsia="仿宋_GB2312" w:cs="仿宋_GB2312"/>
          <w:color w:val="auto"/>
          <w:sz w:val="36"/>
          <w:szCs w:val="36"/>
        </w:rPr>
      </w:pPr>
    </w:p>
    <w:p>
      <w:pPr>
        <w:spacing w:line="240" w:lineRule="auto"/>
        <w:ind w:firstLine="0" w:firstLineChars="0"/>
        <w:rPr>
          <w:rFonts w:ascii="仿宋_GB2312" w:hAnsi="仿宋_GB2312" w:eastAsia="仿宋_GB2312" w:cs="仿宋_GB2312"/>
          <w:color w:val="auto"/>
          <w:sz w:val="36"/>
          <w:szCs w:val="36"/>
        </w:rPr>
      </w:pPr>
    </w:p>
    <w:p>
      <w:pPr>
        <w:spacing w:line="240" w:lineRule="auto"/>
        <w:ind w:firstLine="0" w:firstLineChars="0"/>
        <w:rPr>
          <w:rFonts w:ascii="仿宋_GB2312" w:hAnsi="仿宋_GB2312" w:eastAsia="仿宋_GB2312" w:cs="仿宋_GB2312"/>
          <w:color w:val="auto"/>
          <w:sz w:val="36"/>
          <w:szCs w:val="36"/>
        </w:rPr>
      </w:pPr>
    </w:p>
    <w:p>
      <w:pPr>
        <w:spacing w:line="240" w:lineRule="auto"/>
        <w:ind w:firstLine="0" w:firstLineChars="0"/>
        <w:rPr>
          <w:rFonts w:hint="eastAsia" w:ascii="仿宋_GB2312" w:hAnsi="仿宋_GB2312" w:eastAsia="仿宋_GB2312" w:cs="仿宋_GB2312"/>
          <w:color w:val="auto"/>
          <w:sz w:val="36"/>
          <w:szCs w:val="36"/>
        </w:rPr>
      </w:pPr>
    </w:p>
    <w:p>
      <w:pPr>
        <w:spacing w:line="240" w:lineRule="auto"/>
        <w:ind w:firstLine="0" w:firstLineChars="0"/>
        <w:rPr>
          <w:rFonts w:hint="eastAsia"/>
          <w:color w:val="auto"/>
        </w:rPr>
      </w:pPr>
    </w:p>
    <w:p>
      <w:pPr>
        <w:adjustRightInd w:val="0"/>
        <w:snapToGrid w:val="0"/>
        <w:spacing w:line="240" w:lineRule="auto"/>
        <w:ind w:firstLine="0" w:firstLineChars="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pPr>
        <w:adjustRightInd w:val="0"/>
        <w:snapToGrid w:val="0"/>
        <w:spacing w:before="192" w:beforeLines="80" w:line="240" w:lineRule="auto"/>
        <w:ind w:firstLine="0" w:firstLineChars="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0" w:firstLineChars="0"/>
        <w:jc w:val="center"/>
        <w:rPr>
          <w:rFonts w:ascii="华文仿宋" w:hAnsi="华文仿宋" w:eastAsia="华文仿宋" w:cs="华文仿宋"/>
          <w:color w:val="auto"/>
          <w:kern w:val="44"/>
          <w:sz w:val="44"/>
          <w:szCs w:val="44"/>
        </w:rPr>
      </w:pPr>
    </w:p>
    <w:p>
      <w:pPr>
        <w:adjustRightInd w:val="0"/>
        <w:snapToGrid w:val="0"/>
        <w:spacing w:line="288" w:lineRule="auto"/>
        <w:ind w:firstLine="720"/>
        <w:rPr>
          <w:rFonts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u w:val="single"/>
        </w:rPr>
        <w:t xml:space="preserve">   </w:t>
      </w:r>
      <w:r>
        <w:rPr>
          <w:rFonts w:hint="eastAsia" w:ascii="仿宋_GB2312" w:eastAsia="仿宋_GB2312"/>
          <w:sz w:val="36"/>
          <w:szCs w:val="36"/>
          <w:u w:val="single"/>
        </w:rPr>
        <w:t>年产500</w:t>
      </w:r>
      <w:r>
        <w:rPr>
          <w:rFonts w:hint="eastAsia" w:ascii="仿宋_GB2312" w:eastAsia="仿宋_GB2312"/>
          <w:sz w:val="36"/>
          <w:szCs w:val="36"/>
          <w:u w:val="single"/>
          <w:lang w:val="en-US" w:eastAsia="zh-CN"/>
        </w:rPr>
        <w:t>吨</w:t>
      </w:r>
      <w:r>
        <w:rPr>
          <w:rFonts w:hint="eastAsia" w:ascii="仿宋_GB2312" w:eastAsia="仿宋_GB2312"/>
          <w:sz w:val="36"/>
          <w:szCs w:val="36"/>
          <w:u w:val="single"/>
        </w:rPr>
        <w:t>EPP泡沫制品项目</w:t>
      </w:r>
      <w:r>
        <w:rPr>
          <w:rFonts w:eastAsia="仿宋_GB2312"/>
          <w:color w:val="auto"/>
          <w:sz w:val="36"/>
          <w:szCs w:val="36"/>
          <w:u w:val="single"/>
        </w:rPr>
        <w:t xml:space="preserve">  </w:t>
      </w:r>
      <w:r>
        <w:rPr>
          <w:rFonts w:hint="eastAsia" w:eastAsia="仿宋_GB2312"/>
          <w:color w:val="auto"/>
          <w:sz w:val="36"/>
          <w:szCs w:val="36"/>
          <w:u w:val="single"/>
          <w:lang w:val="en-US" w:eastAsia="zh-CN"/>
        </w:rPr>
        <w:t xml:space="preserve">   </w:t>
      </w:r>
      <w:r>
        <w:rPr>
          <w:rFonts w:eastAsia="仿宋_GB2312"/>
          <w:color w:val="auto"/>
          <w:sz w:val="36"/>
          <w:szCs w:val="36"/>
          <w:u w:val="single"/>
        </w:rPr>
        <w:t xml:space="preserve"> </w:t>
      </w:r>
    </w:p>
    <w:p>
      <w:pPr>
        <w:adjustRightInd w:val="0"/>
        <w:snapToGrid w:val="0"/>
        <w:spacing w:line="288" w:lineRule="auto"/>
        <w:ind w:firstLine="720"/>
        <w:rPr>
          <w:rFonts w:hint="default" w:eastAsia="仿宋_GB2312"/>
          <w:color w:val="auto"/>
          <w:sz w:val="36"/>
          <w:szCs w:val="36"/>
          <w:u w:val="single"/>
          <w:lang w:val="en-US" w:eastAsia="zh-CN"/>
        </w:rPr>
      </w:pPr>
      <w:r>
        <w:rPr>
          <w:rFonts w:eastAsia="仿宋_GB2312"/>
          <w:color w:val="auto"/>
          <w:sz w:val="36"/>
          <w:szCs w:val="36"/>
        </w:rPr>
        <w:t>建设单位（盖章）：</w:t>
      </w:r>
      <w:r>
        <w:rPr>
          <w:rFonts w:hint="eastAsia" w:ascii="仿宋_GB2312" w:eastAsia="仿宋_GB2312"/>
          <w:sz w:val="36"/>
          <w:szCs w:val="36"/>
          <w:u w:val="single"/>
        </w:rPr>
        <w:t>南通市煜诚新材料有限公司</w:t>
      </w:r>
      <w:r>
        <w:rPr>
          <w:rFonts w:hint="eastAsia" w:ascii="仿宋_GB2312" w:eastAsia="仿宋_GB2312"/>
          <w:sz w:val="36"/>
          <w:szCs w:val="36"/>
          <w:u w:val="single"/>
          <w:lang w:val="en-US" w:eastAsia="zh-CN"/>
        </w:rPr>
        <w:t xml:space="preserve">   </w:t>
      </w:r>
    </w:p>
    <w:p>
      <w:pPr>
        <w:adjustRightInd w:val="0"/>
        <w:snapToGrid w:val="0"/>
        <w:spacing w:line="288" w:lineRule="auto"/>
        <w:ind w:firstLine="720"/>
        <w:rPr>
          <w:rFonts w:hint="eastAsia" w:ascii="仿宋_GB2312"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2025年</w:t>
      </w:r>
      <w:r>
        <w:rPr>
          <w:rFonts w:hint="eastAsia" w:eastAsia="仿宋_GB2312"/>
          <w:color w:val="auto"/>
          <w:sz w:val="36"/>
          <w:szCs w:val="36"/>
          <w:u w:val="single"/>
          <w:lang w:val="en-US" w:eastAsia="zh-CN"/>
        </w:rPr>
        <w:t>5</w:t>
      </w:r>
      <w:r>
        <w:rPr>
          <w:rFonts w:eastAsia="仿宋_GB2312"/>
          <w:color w:val="auto"/>
          <w:sz w:val="36"/>
          <w:szCs w:val="36"/>
          <w:u w:val="single"/>
        </w:rPr>
        <w:t xml:space="preserve">月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p>
    <w:p>
      <w:pPr>
        <w:adjustRightInd w:val="0"/>
        <w:snapToGrid w:val="0"/>
        <w:spacing w:line="288" w:lineRule="auto"/>
        <w:ind w:firstLine="720"/>
        <w:rPr>
          <w:rFonts w:ascii="仿宋_GB2312" w:eastAsia="仿宋_GB2312"/>
          <w:color w:val="auto"/>
          <w:sz w:val="36"/>
          <w:szCs w:val="36"/>
          <w:u w:val="single"/>
        </w:rPr>
      </w:pPr>
      <w:bookmarkStart w:id="0" w:name="_Hlk57884087"/>
    </w:p>
    <w:p>
      <w:pPr>
        <w:adjustRightInd w:val="0"/>
        <w:snapToGrid w:val="0"/>
        <w:spacing w:line="288" w:lineRule="auto"/>
        <w:ind w:firstLine="720"/>
        <w:rPr>
          <w:rFonts w:ascii="仿宋_GB2312" w:eastAsia="仿宋_GB2312"/>
          <w:color w:val="auto"/>
          <w:sz w:val="36"/>
          <w:szCs w:val="36"/>
        </w:rPr>
      </w:pPr>
    </w:p>
    <w:p>
      <w:pPr>
        <w:adjustRightInd w:val="0"/>
        <w:snapToGrid w:val="0"/>
        <w:spacing w:line="288" w:lineRule="auto"/>
        <w:ind w:firstLine="720"/>
        <w:rPr>
          <w:rFonts w:ascii="仿宋_GB2312" w:eastAsia="仿宋_GB2312"/>
          <w:color w:val="auto"/>
          <w:sz w:val="36"/>
          <w:szCs w:val="36"/>
        </w:rPr>
      </w:pPr>
    </w:p>
    <w:p>
      <w:pPr>
        <w:adjustRightInd w:val="0"/>
        <w:snapToGrid w:val="0"/>
        <w:spacing w:line="288" w:lineRule="auto"/>
        <w:ind w:firstLine="720"/>
        <w:rPr>
          <w:rFonts w:hint="eastAsia" w:ascii="仿宋_GB2312" w:eastAsia="仿宋_GB2312"/>
          <w:color w:val="auto"/>
          <w:sz w:val="36"/>
          <w:szCs w:val="36"/>
        </w:rPr>
      </w:pPr>
    </w:p>
    <w:p>
      <w:pPr>
        <w:adjustRightInd w:val="0"/>
        <w:snapToGrid w:val="0"/>
        <w:spacing w:line="288" w:lineRule="auto"/>
        <w:ind w:firstLine="0" w:firstLineChars="0"/>
        <w:rPr>
          <w:rFonts w:hint="eastAsia" w:ascii="仿宋_GB2312" w:eastAsia="仿宋_GB2312"/>
          <w:color w:val="auto"/>
          <w:sz w:val="36"/>
          <w:szCs w:val="36"/>
        </w:rPr>
      </w:pPr>
    </w:p>
    <w:p>
      <w:pPr>
        <w:ind w:firstLine="480"/>
        <w:rPr>
          <w:rFonts w:hint="eastAsia"/>
          <w:color w:val="auto"/>
        </w:rPr>
      </w:pPr>
    </w:p>
    <w:p>
      <w:pPr>
        <w:ind w:firstLine="0" w:firstLineChars="0"/>
        <w:rPr>
          <w:rFonts w:hint="eastAsia"/>
          <w:color w:val="auto"/>
        </w:rPr>
      </w:pPr>
    </w:p>
    <w:bookmarkEnd w:id="0"/>
    <w:p>
      <w:pPr>
        <w:adjustRightInd w:val="0"/>
        <w:snapToGrid w:val="0"/>
        <w:spacing w:line="288" w:lineRule="auto"/>
        <w:ind w:firstLine="0" w:firstLineChars="0"/>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pPr>
        <w:spacing w:line="460" w:lineRule="exact"/>
        <w:ind w:firstLine="802"/>
        <w:jc w:val="center"/>
        <w:rPr>
          <w:b/>
          <w:bCs/>
          <w:color w:val="auto"/>
          <w:spacing w:val="80"/>
        </w:rPr>
      </w:pPr>
    </w:p>
    <w:p>
      <w:pPr>
        <w:ind w:firstLine="480"/>
        <w:rPr>
          <w:rFonts w:hint="eastAsia"/>
          <w:color w:val="auto"/>
        </w:rPr>
      </w:pPr>
    </w:p>
    <w:p>
      <w:pPr>
        <w:pStyle w:val="26"/>
        <w:jc w:val="center"/>
        <w:outlineLvl w:val="0"/>
        <w:rPr>
          <w:rFonts w:hint="eastAsia" w:ascii="黑体" w:hAnsi="黑体" w:eastAsia="黑体"/>
          <w:snapToGrid w:val="0"/>
          <w:sz w:val="30"/>
          <w:szCs w:val="30"/>
        </w:rPr>
        <w:sectPr>
          <w:footerReference r:id="rId3" w:type="default"/>
          <w:pgSz w:w="11906" w:h="16838"/>
          <w:pgMar w:top="1701" w:right="1531" w:bottom="1701" w:left="1531" w:header="851" w:footer="1077" w:gutter="0"/>
          <w:pgNumType w:fmt="decimal" w:start="1"/>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30"/>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77"/>
        <w:gridCol w:w="960"/>
        <w:gridCol w:w="2391"/>
        <w:gridCol w:w="1845"/>
        <w:gridCol w:w="28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建设项目名称</w:t>
            </w:r>
          </w:p>
        </w:tc>
        <w:tc>
          <w:tcPr>
            <w:tcW w:w="7133" w:type="dxa"/>
            <w:gridSpan w:val="3"/>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jc w:val="center"/>
              <w:textAlignment w:val="auto"/>
              <w:rPr>
                <w:rFonts w:hint="eastAsia" w:ascii="Times New Roman" w:hAnsi="Times New Roman" w:eastAsia="宋体" w:cs="宋体"/>
                <w:color w:val="auto"/>
                <w:kern w:val="2"/>
                <w:sz w:val="24"/>
                <w:szCs w:val="24"/>
                <w:lang w:val="en-US" w:eastAsia="zh-CN" w:bidi="ar-SA"/>
              </w:rPr>
            </w:pPr>
            <w:r>
              <w:rPr>
                <w:rFonts w:hint="eastAsia" w:cs="宋体"/>
                <w:color w:val="auto"/>
                <w:sz w:val="24"/>
                <w:szCs w:val="24"/>
                <w:lang w:eastAsia="zh-CN"/>
              </w:rPr>
              <w:t>年产500</w:t>
            </w:r>
            <w:r>
              <w:rPr>
                <w:rFonts w:hint="eastAsia" w:cs="宋体"/>
                <w:color w:val="auto"/>
                <w:sz w:val="24"/>
                <w:szCs w:val="24"/>
                <w:lang w:val="en-US" w:eastAsia="zh-CN"/>
              </w:rPr>
              <w:t>吨</w:t>
            </w:r>
            <w:r>
              <w:rPr>
                <w:rFonts w:hint="eastAsia" w:cs="宋体"/>
                <w:color w:val="auto"/>
                <w:sz w:val="24"/>
                <w:szCs w:val="24"/>
                <w:lang w:eastAsia="zh-CN"/>
              </w:rPr>
              <w:t>EPP泡沫制品项目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项目代码</w:t>
            </w:r>
          </w:p>
        </w:tc>
        <w:tc>
          <w:tcPr>
            <w:tcW w:w="7133" w:type="dxa"/>
            <w:gridSpan w:val="3"/>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jc w:val="center"/>
              <w:textAlignment w:val="auto"/>
              <w:rPr>
                <w:rFonts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2507-320654-89-01-915300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建设单位联系人</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陆永杰</w:t>
            </w:r>
          </w:p>
        </w:tc>
        <w:tc>
          <w:tcPr>
            <w:tcW w:w="1845"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b/>
                <w:bCs/>
                <w:color w:val="auto"/>
                <w:sz w:val="24"/>
                <w:szCs w:val="24"/>
              </w:rPr>
              <w:t>联系方式</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15996642555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建设地点</w:t>
            </w:r>
          </w:p>
        </w:tc>
        <w:tc>
          <w:tcPr>
            <w:tcW w:w="7133" w:type="dxa"/>
            <w:gridSpan w:val="3"/>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江苏省南通市如皋市城北街道陆桥村9组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地理坐标</w:t>
            </w:r>
          </w:p>
        </w:tc>
        <w:tc>
          <w:tcPr>
            <w:tcW w:w="7133" w:type="dxa"/>
            <w:gridSpan w:val="3"/>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s="Times New Roman"/>
                <w:color w:val="auto"/>
                <w:sz w:val="24"/>
                <w:szCs w:val="24"/>
              </w:rPr>
              <w:t>（</w:t>
            </w:r>
            <w:r>
              <w:rPr>
                <w:rFonts w:ascii="Times New Roman" w:hAnsi="Times New Roman" w:eastAsia="宋体"/>
                <w:color w:val="auto"/>
                <w:sz w:val="24"/>
                <w:szCs w:val="24"/>
                <w:u w:val="single"/>
              </w:rPr>
              <w:t>120</w:t>
            </w:r>
            <w:r>
              <w:rPr>
                <w:rFonts w:ascii="Times New Roman" w:hAnsi="Times New Roman" w:eastAsia="宋体"/>
                <w:color w:val="auto"/>
                <w:sz w:val="24"/>
                <w:szCs w:val="24"/>
              </w:rPr>
              <w:t>度</w:t>
            </w:r>
            <w:r>
              <w:rPr>
                <w:rFonts w:hint="eastAsia" w:ascii="Times New Roman" w:hAnsi="Times New Roman" w:eastAsia="宋体"/>
                <w:color w:val="auto"/>
                <w:sz w:val="24"/>
                <w:szCs w:val="24"/>
                <w:u w:val="single"/>
                <w:lang w:val="en-US" w:eastAsia="zh-CN"/>
              </w:rPr>
              <w:t>30</w:t>
            </w:r>
            <w:r>
              <w:rPr>
                <w:rFonts w:ascii="Times New Roman" w:hAnsi="Times New Roman" w:eastAsia="宋体"/>
                <w:color w:val="auto"/>
                <w:sz w:val="24"/>
                <w:szCs w:val="24"/>
              </w:rPr>
              <w:t>分</w:t>
            </w:r>
            <w:r>
              <w:rPr>
                <w:rFonts w:hint="eastAsia" w:ascii="Times New Roman" w:hAnsi="Times New Roman" w:eastAsia="宋体"/>
                <w:color w:val="auto"/>
                <w:sz w:val="24"/>
                <w:szCs w:val="24"/>
                <w:u w:val="single"/>
              </w:rPr>
              <w:t>52.231</w:t>
            </w:r>
            <w:r>
              <w:rPr>
                <w:rFonts w:ascii="Times New Roman" w:hAnsi="Times New Roman" w:eastAsia="宋体"/>
                <w:color w:val="auto"/>
                <w:sz w:val="24"/>
                <w:szCs w:val="24"/>
              </w:rPr>
              <w:t>秒，</w:t>
            </w:r>
            <w:r>
              <w:rPr>
                <w:rFonts w:ascii="Times New Roman" w:hAnsi="Times New Roman" w:eastAsia="宋体"/>
                <w:color w:val="auto"/>
                <w:sz w:val="24"/>
                <w:szCs w:val="24"/>
                <w:u w:val="single"/>
              </w:rPr>
              <w:t>32</w:t>
            </w:r>
            <w:r>
              <w:rPr>
                <w:rFonts w:ascii="Times New Roman" w:hAnsi="Times New Roman" w:eastAsia="宋体"/>
                <w:color w:val="auto"/>
                <w:sz w:val="24"/>
                <w:szCs w:val="24"/>
              </w:rPr>
              <w:t>度</w:t>
            </w:r>
            <w:r>
              <w:rPr>
                <w:rFonts w:ascii="Times New Roman" w:hAnsi="Times New Roman" w:eastAsia="宋体"/>
                <w:color w:val="auto"/>
                <w:sz w:val="24"/>
                <w:szCs w:val="24"/>
                <w:u w:val="single"/>
              </w:rPr>
              <w:t>2</w:t>
            </w:r>
            <w:r>
              <w:rPr>
                <w:rFonts w:hint="eastAsia" w:ascii="Times New Roman" w:hAnsi="Times New Roman" w:eastAsia="宋体"/>
                <w:color w:val="auto"/>
                <w:sz w:val="24"/>
                <w:szCs w:val="24"/>
                <w:u w:val="single"/>
                <w:lang w:val="en-US" w:eastAsia="zh-CN"/>
              </w:rPr>
              <w:t>4</w:t>
            </w:r>
            <w:r>
              <w:rPr>
                <w:rFonts w:ascii="Times New Roman" w:hAnsi="Times New Roman" w:eastAsia="宋体"/>
                <w:color w:val="auto"/>
                <w:sz w:val="24"/>
                <w:szCs w:val="24"/>
              </w:rPr>
              <w:t>分</w:t>
            </w:r>
            <w:r>
              <w:rPr>
                <w:rFonts w:hint="eastAsia" w:ascii="Times New Roman" w:hAnsi="Times New Roman" w:eastAsia="宋体"/>
                <w:color w:val="auto"/>
                <w:sz w:val="24"/>
                <w:szCs w:val="24"/>
                <w:u w:val="single"/>
              </w:rPr>
              <w:t>18.087</w:t>
            </w:r>
            <w:r>
              <w:rPr>
                <w:rFonts w:ascii="Times New Roman" w:hAnsi="Times New Roman" w:eastAsia="宋体"/>
                <w:color w:val="auto"/>
                <w:sz w:val="24"/>
                <w:szCs w:val="24"/>
              </w:rPr>
              <w:t>秒</w:t>
            </w:r>
            <w:r>
              <w:rPr>
                <w:rFonts w:ascii="Times New Roman" w:hAnsi="Times New Roman" w:eastAsia="宋体" w:cs="Times New Roman"/>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国民经济</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行业类别</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sz w:val="24"/>
                <w:szCs w:val="24"/>
                <w:lang w:val="en-US" w:eastAsia="zh-CN"/>
              </w:rPr>
              <w:t>C2924 泡沫塑料制造</w:t>
            </w:r>
          </w:p>
        </w:tc>
        <w:tc>
          <w:tcPr>
            <w:tcW w:w="1845"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z w:val="24"/>
                <w:szCs w:val="24"/>
              </w:rPr>
              <w:t>行业类别</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二十六、橡胶和塑料制品业 29-</w:t>
            </w:r>
            <w:r>
              <w:rPr>
                <w:rFonts w:hint="eastAsia" w:cs="Times New Roman"/>
                <w:color w:val="auto"/>
                <w:sz w:val="24"/>
                <w:szCs w:val="24"/>
                <w:lang w:val="en-US" w:eastAsia="zh-CN"/>
              </w:rPr>
              <w:t>53.</w:t>
            </w:r>
            <w:r>
              <w:rPr>
                <w:rFonts w:hint="eastAsia" w:ascii="Times New Roman" w:hAnsi="Times New Roman" w:eastAsia="宋体" w:cs="Times New Roman"/>
                <w:color w:val="auto"/>
                <w:sz w:val="24"/>
                <w:szCs w:val="24"/>
                <w:lang w:val="en-US" w:eastAsia="zh-CN"/>
              </w:rPr>
              <w:t>塑料制品业 292-其他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建设性质</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新建（迁建）</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改建</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扩建</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left"/>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技术改造</w:t>
            </w:r>
          </w:p>
        </w:tc>
        <w:tc>
          <w:tcPr>
            <w:tcW w:w="1845"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建设项目</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z w:val="24"/>
                <w:szCs w:val="24"/>
              </w:rPr>
              <w:t>申报情形</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首次申报项目</w:t>
            </w:r>
            <w:r>
              <w:rPr>
                <w:rFonts w:ascii="Times New Roman" w:hAnsi="Times New Roman" w:eastAsia="宋体" w:cs="Times New Roman"/>
                <w:color w:val="auto"/>
                <w:sz w:val="24"/>
                <w:szCs w:val="24"/>
              </w:rPr>
              <w:t xml:space="preserve">             </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□不予批准后再次申报项目</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left"/>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□超五年重新审核项目</w:t>
            </w:r>
            <w:r>
              <w:rPr>
                <w:rFonts w:ascii="Times New Roman" w:hAnsi="Times New Roman" w:eastAsia="宋体" w:cs="Times New Roman"/>
                <w:color w:val="auto"/>
                <w:sz w:val="24"/>
                <w:szCs w:val="24"/>
              </w:rPr>
              <w:t xml:space="preserve">     </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left"/>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项目审批（核准</w:t>
            </w:r>
            <w:r>
              <w:rPr>
                <w:rFonts w:ascii="Times New Roman" w:hAnsi="Times New Roman" w:eastAsia="宋体" w:cs="Times New Roman"/>
                <w:b/>
                <w:bCs/>
                <w:sz w:val="24"/>
                <w:szCs w:val="24"/>
              </w:rPr>
              <w:t>/</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备案）部门（选填）</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rPr>
              <w:t>如皋市数据局</w:t>
            </w:r>
          </w:p>
        </w:tc>
        <w:tc>
          <w:tcPr>
            <w:tcW w:w="1845"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jc w:val="center"/>
              <w:textAlignment w:val="auto"/>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rPr>
              <w:t>项目审批（核准</w:t>
            </w:r>
            <w:r>
              <w:rPr>
                <w:rFonts w:ascii="Times New Roman" w:hAnsi="Times New Roman" w:eastAsia="宋体" w:cs="Times New Roman"/>
                <w:b/>
                <w:bCs/>
                <w:color w:val="auto"/>
                <w:sz w:val="24"/>
                <w:szCs w:val="24"/>
              </w:rPr>
              <w:t>/</w:t>
            </w:r>
          </w:p>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sz w:val="24"/>
                <w:szCs w:val="24"/>
              </w:rPr>
              <w:t>备案）文号（选填）</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宋体"/>
                <w:color w:val="auto"/>
                <w:kern w:val="2"/>
                <w:sz w:val="24"/>
                <w:szCs w:val="24"/>
                <w:lang w:val="en-US" w:eastAsia="zh-CN" w:bidi="ar-SA"/>
              </w:rPr>
              <w:t>皋数据（开）备〔2025〕103号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总投资（万元）</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color w:val="auto"/>
                <w:sz w:val="24"/>
                <w:szCs w:val="24"/>
                <w:lang w:val="en-US" w:eastAsia="zh-CN"/>
              </w:rPr>
              <w:t>300</w:t>
            </w:r>
          </w:p>
        </w:tc>
        <w:tc>
          <w:tcPr>
            <w:tcW w:w="1845" w:type="dxa"/>
            <w:shd w:val="clear" w:color="auto" w:fill="auto"/>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b/>
                <w:bCs/>
                <w:color w:val="auto"/>
                <w:kern w:val="2"/>
                <w:sz w:val="24"/>
                <w:szCs w:val="24"/>
                <w:lang w:val="en-US" w:eastAsia="zh-CN" w:bidi="ar-SA"/>
              </w:rPr>
            </w:pPr>
            <w:r>
              <w:rPr>
                <w:rFonts w:ascii="Times New Roman" w:hAnsi="Times New Roman" w:eastAsia="宋体" w:cs="Times New Roman"/>
                <w:b/>
                <w:bCs/>
                <w:color w:val="auto"/>
                <w:sz w:val="24"/>
                <w:szCs w:val="24"/>
              </w:rPr>
              <w:t>环保投资（万元）</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sz w:val="24"/>
                <w:szCs w:val="24"/>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环保投资占比（</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5</w:t>
            </w:r>
          </w:p>
        </w:tc>
        <w:tc>
          <w:tcPr>
            <w:tcW w:w="1845" w:type="dxa"/>
            <w:shd w:val="clear" w:color="auto" w:fill="auto"/>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b/>
                <w:bCs/>
                <w:color w:val="auto"/>
                <w:kern w:val="2"/>
                <w:sz w:val="24"/>
                <w:szCs w:val="24"/>
                <w:lang w:val="en-US" w:eastAsia="zh-CN" w:bidi="ar-SA"/>
              </w:rPr>
            </w:pPr>
            <w:r>
              <w:rPr>
                <w:rFonts w:ascii="Times New Roman" w:hAnsi="Times New Roman" w:eastAsia="宋体" w:cs="Times New Roman"/>
                <w:b/>
                <w:bCs/>
                <w:color w:val="auto"/>
                <w:sz w:val="24"/>
                <w:szCs w:val="24"/>
              </w:rPr>
              <w:t>施工工期</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2</w:t>
            </w:r>
            <w:r>
              <w:rPr>
                <w:rFonts w:ascii="Times New Roman" w:hAnsi="Times New Roman" w:eastAsia="宋体" w:cs="Times New Roman"/>
                <w:color w:val="auto"/>
                <w:sz w:val="24"/>
                <w:szCs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7" w:hRule="atLeast"/>
          <w:jc w:val="center"/>
        </w:trPr>
        <w:tc>
          <w:tcPr>
            <w:tcW w:w="1737" w:type="dxa"/>
            <w:gridSpan w:val="2"/>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是否开工建设</w:t>
            </w:r>
          </w:p>
        </w:tc>
        <w:tc>
          <w:tcPr>
            <w:tcW w:w="2391"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firstLine="0" w:firstLineChars="0"/>
              <w:textAlignment w:val="auto"/>
              <w:rPr>
                <w:rFonts w:ascii="Times New Roman" w:hAnsi="Times New Roman" w:eastAsia="宋体" w:cs="宋体"/>
                <w:color w:val="auto"/>
                <w:sz w:val="24"/>
                <w:szCs w:val="24"/>
              </w:rPr>
            </w:pPr>
            <w:r>
              <w:rPr>
                <w:rFonts w:hint="eastAsia" w:cs="Segoe UI Emoji"/>
                <w:color w:val="auto"/>
                <w:sz w:val="24"/>
                <w:szCs w:val="24"/>
                <w:lang w:eastAsia="zh-CN"/>
              </w:rPr>
              <w:t>☑</w:t>
            </w:r>
            <w:r>
              <w:rPr>
                <w:rFonts w:hint="eastAsia" w:ascii="Times New Roman" w:hAnsi="Times New Roman" w:eastAsia="宋体" w:cs="宋体"/>
                <w:color w:val="auto"/>
                <w:sz w:val="24"/>
                <w:szCs w:val="24"/>
              </w:rPr>
              <w:t>否</w:t>
            </w:r>
          </w:p>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textAlignment w:val="auto"/>
              <w:rPr>
                <w:rFonts w:hint="default" w:ascii="Times New Roman" w:hAnsi="Times New Roman" w:eastAsia="宋体" w:cs="宋体"/>
                <w:color w:val="auto"/>
                <w:kern w:val="2"/>
                <w:sz w:val="24"/>
                <w:szCs w:val="24"/>
                <w:lang w:val="en-US" w:eastAsia="zh-CN" w:bidi="ar-SA"/>
              </w:rPr>
            </w:pPr>
            <w:r>
              <w:rPr>
                <w:rFonts w:hint="eastAsia" w:ascii="Times New Roman" w:hAnsi="Times New Roman" w:eastAsia="宋体" w:cs="Segoe UI Emoji"/>
                <w:color w:val="auto"/>
                <w:sz w:val="24"/>
                <w:szCs w:val="24"/>
                <w:lang w:eastAsia="zh-CN"/>
              </w:rPr>
              <w:sym w:font="Wingdings 2" w:char="00A3"/>
            </w:r>
            <w:r>
              <w:rPr>
                <w:rFonts w:hint="eastAsia" w:ascii="Times New Roman" w:hAnsi="Times New Roman" w:eastAsia="宋体" w:cs="Segoe UI Emoji"/>
                <w:color w:val="auto"/>
                <w:sz w:val="24"/>
                <w:szCs w:val="24"/>
                <w:lang w:eastAsia="zh-CN"/>
              </w:rPr>
              <w:t>是</w:t>
            </w:r>
            <w:r>
              <w:rPr>
                <w:rFonts w:hint="eastAsia" w:ascii="Times New Roman" w:hAnsi="Times New Roman" w:eastAsia="宋体" w:cs="宋体"/>
                <w:color w:val="auto"/>
                <w:sz w:val="24"/>
                <w:szCs w:val="24"/>
              </w:rPr>
              <w:t>：</w:t>
            </w:r>
            <w:r>
              <w:rPr>
                <w:rFonts w:hint="eastAsia" w:cs="宋体"/>
                <w:color w:val="auto"/>
                <w:sz w:val="24"/>
                <w:szCs w:val="24"/>
                <w:u w:val="single"/>
                <w:lang w:val="en-US" w:eastAsia="zh-CN"/>
              </w:rPr>
              <w:t xml:space="preserve">  </w:t>
            </w:r>
            <w:r>
              <w:rPr>
                <w:rFonts w:hint="eastAsia" w:cs="Segoe UI Emoji"/>
                <w:color w:val="auto"/>
                <w:sz w:val="24"/>
                <w:szCs w:val="24"/>
                <w:u w:val="single"/>
                <w:lang w:val="en-US" w:eastAsia="zh-CN"/>
              </w:rPr>
              <w:t xml:space="preserve">    </w:t>
            </w:r>
          </w:p>
        </w:tc>
        <w:tc>
          <w:tcPr>
            <w:tcW w:w="1845" w:type="dxa"/>
            <w:shd w:val="clear" w:color="auto" w:fill="auto"/>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firstLine="0" w:firstLineChars="0"/>
              <w:jc w:val="center"/>
              <w:textAlignment w:val="auto"/>
              <w:rPr>
                <w:rFonts w:ascii="Times New Roman" w:hAnsi="Times New Roman" w:eastAsia="宋体" w:cs="宋体"/>
                <w:b/>
                <w:bCs/>
                <w:color w:val="auto"/>
                <w:spacing w:val="-6"/>
                <w:sz w:val="24"/>
                <w:szCs w:val="24"/>
              </w:rPr>
            </w:pPr>
            <w:r>
              <w:rPr>
                <w:rFonts w:hint="eastAsia" w:ascii="Times New Roman" w:hAnsi="Times New Roman" w:eastAsia="宋体" w:cs="宋体"/>
                <w:b/>
                <w:bCs/>
                <w:color w:val="auto"/>
                <w:spacing w:val="-6"/>
                <w:sz w:val="24"/>
                <w:szCs w:val="24"/>
              </w:rPr>
              <w:t>用地（用海）</w:t>
            </w:r>
          </w:p>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jc w:val="center"/>
              <w:textAlignment w:val="auto"/>
              <w:rPr>
                <w:rFonts w:hint="eastAsia" w:ascii="Times New Roman" w:hAnsi="Times New Roman" w:eastAsia="宋体" w:cs="宋体"/>
                <w:color w:val="auto"/>
                <w:kern w:val="2"/>
                <w:sz w:val="24"/>
                <w:szCs w:val="24"/>
                <w:lang w:val="en-US" w:eastAsia="zh-CN" w:bidi="ar-SA"/>
              </w:rPr>
            </w:pPr>
            <w:r>
              <w:rPr>
                <w:rFonts w:hint="eastAsia" w:ascii="Times New Roman" w:hAnsi="Times New Roman" w:eastAsia="宋体" w:cs="宋体"/>
                <w:b/>
                <w:bCs/>
                <w:color w:val="auto"/>
                <w:spacing w:val="-6"/>
                <w:sz w:val="24"/>
                <w:szCs w:val="24"/>
              </w:rPr>
              <w:t>面积（</w:t>
            </w:r>
            <w:r>
              <w:rPr>
                <w:rFonts w:hint="eastAsia" w:ascii="Times New Roman" w:hAnsi="Times New Roman" w:eastAsia="宋体" w:cs="宋体"/>
                <w:b/>
                <w:bCs/>
                <w:color w:val="auto"/>
                <w:spacing w:val="-6"/>
                <w:sz w:val="24"/>
                <w:szCs w:val="24"/>
                <w:lang w:val="en-US" w:eastAsia="zh-CN"/>
              </w:rPr>
              <w:t>m</w:t>
            </w:r>
            <w:r>
              <w:rPr>
                <w:rFonts w:hint="eastAsia" w:ascii="Times New Roman" w:hAnsi="Times New Roman" w:eastAsia="宋体" w:cs="宋体"/>
                <w:b/>
                <w:bCs/>
                <w:color w:val="auto"/>
                <w:spacing w:val="-6"/>
                <w:sz w:val="24"/>
                <w:szCs w:val="24"/>
                <w:vertAlign w:val="superscript"/>
                <w:lang w:val="en-US" w:eastAsia="zh-CN"/>
              </w:rPr>
              <w:t>2</w:t>
            </w:r>
            <w:r>
              <w:rPr>
                <w:rFonts w:hint="eastAsia" w:ascii="Times New Roman" w:hAnsi="Times New Roman" w:eastAsia="宋体" w:cs="宋体"/>
                <w:b/>
                <w:bCs/>
                <w:color w:val="auto"/>
                <w:spacing w:val="-6"/>
                <w:sz w:val="24"/>
                <w:szCs w:val="24"/>
              </w:rPr>
              <w:t>）</w:t>
            </w:r>
          </w:p>
        </w:tc>
        <w:tc>
          <w:tcPr>
            <w:tcW w:w="2897" w:type="dxa"/>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88" w:lineRule="auto"/>
              <w:ind w:left="0" w:leftChars="0" w:right="0" w:rightChars="0" w:firstLine="0" w:firstLineChars="0"/>
              <w:jc w:val="center"/>
              <w:textAlignment w:val="auto"/>
              <w:rPr>
                <w:rFonts w:hint="default" w:ascii="Times New Roman" w:hAnsi="Times New Roman" w:eastAsia="宋体" w:cs="宋体"/>
                <w:color w:val="auto"/>
                <w:kern w:val="2"/>
                <w:sz w:val="24"/>
                <w:szCs w:val="24"/>
                <w:lang w:val="en-US" w:eastAsia="zh-CN" w:bidi="ar-SA"/>
              </w:rPr>
            </w:pPr>
            <w:r>
              <w:rPr>
                <w:rFonts w:hint="eastAsia" w:ascii="Times New Roman" w:hAnsi="Times New Roman" w:eastAsia="宋体" w:cs="宋体"/>
                <w:color w:val="auto"/>
                <w:sz w:val="24"/>
                <w:szCs w:val="24"/>
                <w:lang w:val="en-US" w:eastAsia="zh-CN"/>
              </w:rPr>
              <w:t>依托租赁厂房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7" w:type="dxa"/>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专项评价设置情况</w:t>
            </w:r>
          </w:p>
        </w:tc>
        <w:tc>
          <w:tcPr>
            <w:tcW w:w="8093" w:type="dxa"/>
            <w:gridSpan w:val="4"/>
            <w:shd w:val="clear" w:color="auto" w:fill="auto"/>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4"/>
                <w:szCs w:val="24"/>
                <w:lang w:val="en-US" w:eastAsia="zh-CN"/>
              </w:rPr>
            </w:pPr>
            <w:r>
              <w:rPr>
                <w:rFonts w:hint="default" w:eastAsia="宋体"/>
                <w:b/>
                <w:bCs/>
                <w:color w:val="auto"/>
                <w:sz w:val="24"/>
                <w:szCs w:val="24"/>
                <w:lang w:val="en-US" w:eastAsia="zh-CN"/>
              </w:rPr>
              <w:t>专项评价设置原则表</w:t>
            </w:r>
          </w:p>
          <w:tbl>
            <w:tblPr>
              <w:tblStyle w:val="30"/>
              <w:tblW w:w="7670" w:type="dxa"/>
              <w:jc w:val="center"/>
              <w:tblInd w:w="0" w:type="dxa"/>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6"/>
              <w:gridCol w:w="4397"/>
              <w:gridCol w:w="1659"/>
              <w:gridCol w:w="628"/>
            </w:tblGrid>
            <w:tr>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88" w:hRule="atLeast"/>
                <w:jc w:val="center"/>
              </w:trPr>
              <w:tc>
                <w:tcPr>
                  <w:tcW w:w="986" w:type="dxa"/>
                  <w:tcBorders>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专项评价的类别</w:t>
                  </w:r>
                </w:p>
              </w:tc>
              <w:tc>
                <w:tcPr>
                  <w:tcW w:w="4397"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设置原则</w:t>
                  </w:r>
                </w:p>
              </w:tc>
              <w:tc>
                <w:tcPr>
                  <w:tcW w:w="1659"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本项目情况</w:t>
                  </w:r>
                </w:p>
              </w:tc>
              <w:tc>
                <w:tcPr>
                  <w:tcW w:w="628" w:type="dxa"/>
                  <w:tcBorders>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b/>
                      <w:bCs/>
                      <w:color w:val="auto"/>
                      <w:sz w:val="21"/>
                      <w:szCs w:val="21"/>
                      <w:lang w:val="en-US" w:eastAsia="zh-CN"/>
                    </w:rPr>
                  </w:pPr>
                  <w:r>
                    <w:rPr>
                      <w:rFonts w:hint="default" w:eastAsia="宋体"/>
                      <w:b/>
                      <w:bCs/>
                      <w:color w:val="auto"/>
                      <w:sz w:val="21"/>
                      <w:szCs w:val="21"/>
                      <w:lang w:val="en-US" w:eastAsia="zh-CN"/>
                    </w:rPr>
                    <w:t>设置情况</w:t>
                  </w:r>
                </w:p>
              </w:tc>
            </w:tr>
            <w:tr>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11" w:hRule="atLeast"/>
                <w:jc w:val="center"/>
              </w:trPr>
              <w:tc>
                <w:tcPr>
                  <w:tcW w:w="9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大气</w:t>
                  </w:r>
                </w:p>
              </w:tc>
              <w:tc>
                <w:tcPr>
                  <w:tcW w:w="4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排放废气含有毒有害污染物</w:t>
                  </w:r>
                  <w:r>
                    <w:rPr>
                      <w:rFonts w:hint="default" w:eastAsia="宋体"/>
                      <w:color w:val="auto"/>
                      <w:sz w:val="21"/>
                      <w:szCs w:val="21"/>
                      <w:vertAlign w:val="superscript"/>
                      <w:lang w:val="en-US" w:eastAsia="zh-CN"/>
                    </w:rPr>
                    <w:t>1</w:t>
                  </w:r>
                  <w:r>
                    <w:rPr>
                      <w:rFonts w:hint="default" w:eastAsia="宋体"/>
                      <w:color w:val="auto"/>
                      <w:sz w:val="21"/>
                      <w:szCs w:val="21"/>
                      <w:lang w:val="en-US" w:eastAsia="zh-CN"/>
                    </w:rPr>
                    <w:t>、二噁英、苯并[a]芘、氰化物、氯气且厂界外500米范围内有环境空气保护目标</w:t>
                  </w:r>
                  <w:r>
                    <w:rPr>
                      <w:rFonts w:hint="default" w:eastAsia="宋体"/>
                      <w:color w:val="auto"/>
                      <w:sz w:val="21"/>
                      <w:szCs w:val="21"/>
                      <w:vertAlign w:val="superscript"/>
                      <w:lang w:val="en-US" w:eastAsia="zh-CN"/>
                    </w:rPr>
                    <w:t>2</w:t>
                  </w:r>
                  <w:r>
                    <w:rPr>
                      <w:rFonts w:hint="default" w:eastAsia="宋体"/>
                      <w:color w:val="auto"/>
                      <w:sz w:val="21"/>
                      <w:szCs w:val="21"/>
                      <w:lang w:val="en-US" w:eastAsia="zh-CN"/>
                    </w:rPr>
                    <w:t>的建设项目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本项目不涉及</w:t>
                  </w:r>
                </w:p>
              </w:tc>
              <w:tc>
                <w:tcPr>
                  <w:tcW w:w="62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eastAsia" w:eastAsia="宋体"/>
                      <w:color w:val="auto"/>
                      <w:sz w:val="21"/>
                      <w:szCs w:val="21"/>
                      <w:lang w:val="en-US" w:eastAsia="zh-CN"/>
                    </w:rPr>
                  </w:pPr>
                  <w:r>
                    <w:rPr>
                      <w:rFonts w:hint="eastAsia" w:eastAsia="宋体"/>
                      <w:color w:val="auto"/>
                      <w:sz w:val="21"/>
                      <w:szCs w:val="21"/>
                      <w:lang w:val="en-US" w:eastAsia="zh-CN"/>
                    </w:rPr>
                    <w:t>不开展</w:t>
                  </w:r>
                </w:p>
              </w:tc>
            </w:tr>
            <w:tr>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5" w:hRule="atLeast"/>
                <w:jc w:val="center"/>
              </w:trPr>
              <w:tc>
                <w:tcPr>
                  <w:tcW w:w="9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地表水</w:t>
                  </w:r>
                </w:p>
              </w:tc>
              <w:tc>
                <w:tcPr>
                  <w:tcW w:w="4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新增工业废水直排建设项目（槽罐车外送污水处理厂的除外）；新增废水直排的污水集中处理厂</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废水间接排放</w:t>
                  </w:r>
                </w:p>
              </w:tc>
              <w:tc>
                <w:tcPr>
                  <w:tcW w:w="62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不展开</w:t>
                  </w:r>
                </w:p>
              </w:tc>
            </w:tr>
            <w:tr>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4" w:hRule="atLeast"/>
                <w:jc w:val="center"/>
              </w:trPr>
              <w:tc>
                <w:tcPr>
                  <w:tcW w:w="9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环境风险</w:t>
                  </w:r>
                </w:p>
              </w:tc>
              <w:tc>
                <w:tcPr>
                  <w:tcW w:w="4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有毒有害和易燃易爆危险物质存储量超过临界量</w:t>
                  </w:r>
                  <w:r>
                    <w:rPr>
                      <w:rFonts w:hint="default" w:eastAsia="宋体"/>
                      <w:color w:val="auto"/>
                      <w:sz w:val="21"/>
                      <w:szCs w:val="21"/>
                      <w:vertAlign w:val="superscript"/>
                      <w:lang w:val="en-US" w:eastAsia="zh-CN"/>
                    </w:rPr>
                    <w:t>3</w:t>
                  </w:r>
                  <w:r>
                    <w:rPr>
                      <w:rFonts w:hint="default" w:eastAsia="宋体"/>
                      <w:color w:val="auto"/>
                      <w:sz w:val="21"/>
                      <w:szCs w:val="21"/>
                      <w:lang w:val="en-US" w:eastAsia="zh-CN"/>
                    </w:rPr>
                    <w:t>的建设项目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本项目风险物质存储量</w:t>
                  </w:r>
                  <w:r>
                    <w:rPr>
                      <w:rFonts w:hint="eastAsia" w:eastAsia="宋体"/>
                      <w:color w:val="auto"/>
                      <w:sz w:val="21"/>
                      <w:szCs w:val="21"/>
                      <w:lang w:val="en-US" w:eastAsia="zh-CN"/>
                    </w:rPr>
                    <w:t>未</w:t>
                  </w:r>
                  <w:r>
                    <w:rPr>
                      <w:rFonts w:hint="default" w:eastAsia="宋体"/>
                      <w:color w:val="auto"/>
                      <w:sz w:val="21"/>
                      <w:szCs w:val="21"/>
                      <w:lang w:val="en-US" w:eastAsia="zh-CN"/>
                    </w:rPr>
                    <w:t>超过临界量</w:t>
                  </w:r>
                </w:p>
              </w:tc>
              <w:tc>
                <w:tcPr>
                  <w:tcW w:w="62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eastAsia" w:eastAsia="宋体"/>
                      <w:color w:val="auto"/>
                      <w:sz w:val="21"/>
                      <w:szCs w:val="21"/>
                      <w:lang w:val="en-US" w:eastAsia="zh-CN"/>
                    </w:rPr>
                    <w:t>不</w:t>
                  </w:r>
                  <w:r>
                    <w:rPr>
                      <w:rFonts w:hint="default" w:eastAsia="宋体"/>
                      <w:color w:val="auto"/>
                      <w:sz w:val="21"/>
                      <w:szCs w:val="21"/>
                      <w:lang w:val="en-US" w:eastAsia="zh-CN"/>
                    </w:rPr>
                    <w:t>展开</w:t>
                  </w:r>
                </w:p>
              </w:tc>
            </w:tr>
            <w:tr>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817" w:hRule="atLeast"/>
                <w:jc w:val="center"/>
              </w:trPr>
              <w:tc>
                <w:tcPr>
                  <w:tcW w:w="9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生态</w:t>
                  </w:r>
                </w:p>
              </w:tc>
              <w:tc>
                <w:tcPr>
                  <w:tcW w:w="4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取水口下游500米范围内有重要水生生物的自然产卵场、索饵场、越冬场和洄游通道的新增河道取水的污染类建设项目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不涉及</w:t>
                  </w:r>
                </w:p>
              </w:tc>
              <w:tc>
                <w:tcPr>
                  <w:tcW w:w="62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不展开</w:t>
                  </w:r>
                </w:p>
              </w:tc>
            </w:tr>
            <w:tr>
              <w:tblPrEx>
                <w:tblBorders>
                  <w:top w:val="single" w:color="auto" w:sz="4"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70" w:hRule="atLeast"/>
                <w:jc w:val="center"/>
              </w:trPr>
              <w:tc>
                <w:tcPr>
                  <w:tcW w:w="98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海洋</w:t>
                  </w:r>
                </w:p>
              </w:tc>
              <w:tc>
                <w:tcPr>
                  <w:tcW w:w="43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直接向海排放污染物的海洋工程建设项目</w:t>
                  </w:r>
                </w:p>
              </w:tc>
              <w:tc>
                <w:tcPr>
                  <w:tcW w:w="16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不涉及</w:t>
                  </w:r>
                </w:p>
              </w:tc>
              <w:tc>
                <w:tcPr>
                  <w:tcW w:w="628"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bidi w:val="0"/>
                    <w:adjustRightInd w:val="0"/>
                    <w:snapToGrid w:val="0"/>
                    <w:spacing w:beforeAutospacing="0" w:afterAutospacing="0" w:line="240" w:lineRule="auto"/>
                    <w:ind w:left="0" w:leftChars="0" w:right="0" w:rightChars="0" w:firstLine="0"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不展开</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ascii="Times New Roman" w:hAnsi="Times New Roman" w:eastAsia="宋体" w:cs="Times New Roman"/>
                <w:color w:val="auto"/>
                <w:kern w:val="0"/>
                <w:sz w:val="18"/>
                <w:szCs w:val="18"/>
              </w:rPr>
            </w:pPr>
            <w:r>
              <w:rPr>
                <w:rFonts w:hint="default" w:ascii="Times New Roman" w:hAnsi="Times New Roman" w:cs="Times New Roman"/>
                <w:color w:val="auto"/>
                <w:sz w:val="18"/>
                <w:szCs w:val="18"/>
              </w:rPr>
              <w:t>注：1.废气中有毒有害污染物指纳入《有毒有害大气污染物名录》的污染物（不包括无排放标准的污染物）。2.环境空气保护目标指自然保护区、风景名胜区、居住区、文化区和农村地区中人群较集中的区域。3.临界量及其计算方法可参考《建设项目环境风险评价技术导则》（HJ169）附录B、附录C。</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ascii="Times New Roman" w:hAnsi="Times New Roman" w:eastAsia="宋体" w:cs="Times New Roman"/>
                <w:color w:val="auto"/>
                <w:kern w:val="0"/>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textAlignment w:val="auto"/>
              <w:rPr>
                <w:rFonts w:hint="eastAsia"/>
                <w:sz w:val="24"/>
                <w:szCs w:val="24"/>
                <w:lang w:val="en-US" w:eastAsia="zh-CN"/>
              </w:rPr>
            </w:pPr>
            <w:r>
              <w:rPr>
                <w:rFonts w:ascii="Times New Roman" w:hAnsi="Times New Roman" w:eastAsia="宋体" w:cs="Times New Roman"/>
                <w:color w:val="auto"/>
                <w:kern w:val="0"/>
                <w:sz w:val="24"/>
                <w:szCs w:val="24"/>
              </w:rPr>
              <w:t>根据《建设项目环境影响报告表编制技术指南（污染影响类）（试行）》表1专项评价设置原则表，本项目</w:t>
            </w:r>
            <w:r>
              <w:rPr>
                <w:rFonts w:hint="eastAsia" w:ascii="Times New Roman" w:hAnsi="Times New Roman" w:eastAsia="宋体" w:cs="Times New Roman"/>
                <w:color w:val="auto"/>
                <w:kern w:val="0"/>
                <w:sz w:val="24"/>
                <w:szCs w:val="24"/>
              </w:rPr>
              <w:t>无须设置</w:t>
            </w:r>
            <w:r>
              <w:rPr>
                <w:rFonts w:ascii="Times New Roman" w:hAnsi="Times New Roman" w:eastAsia="宋体" w:cs="Times New Roman"/>
                <w:color w:val="auto"/>
                <w:kern w:val="0"/>
                <w:sz w:val="24"/>
                <w:szCs w:val="24"/>
              </w:rPr>
              <w:t>专项评价</w:t>
            </w:r>
            <w:r>
              <w:rPr>
                <w:rFonts w:hint="eastAsia" w:ascii="Times New Roman" w:hAnsi="Times New Roman" w:eastAsia="宋体" w:cs="Times New Roman"/>
                <w:color w:val="auto"/>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规划情况</w:t>
            </w:r>
          </w:p>
        </w:tc>
        <w:tc>
          <w:tcPr>
            <w:tcW w:w="8093" w:type="dxa"/>
            <w:gridSpan w:val="4"/>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规划名称：如皋经济技术开发区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审批机关：国务院办公厅</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审批文件名称及文号：如皋经济技术开发区于1992年9月正式成立，2013年 1 月 17 日，国务院办公厅正式批准同意江苏如皋经济开发区升级为国家级经济技术开发区（国办函〔2013〕14 号）</w:t>
            </w:r>
          </w:p>
          <w:p>
            <w:pPr>
              <w:pStyle w:val="2"/>
              <w:rPr>
                <w:rFonts w:hint="eastAsia"/>
                <w:lang w:val="en-US" w:eastAsia="zh-CN"/>
              </w:rPr>
            </w:pPr>
            <w:r>
              <w:rPr>
                <w:rFonts w:hint="eastAsia" w:ascii="Times New Roman" w:hAnsi="Times New Roman" w:eastAsia="宋体" w:cs="Times New Roman"/>
                <w:b w:val="0"/>
                <w:bCs w:val="0"/>
                <w:i w:val="0"/>
                <w:iCs w:val="0"/>
                <w:caps w:val="0"/>
                <w:color w:val="auto"/>
                <w:spacing w:val="0"/>
                <w:kern w:val="0"/>
                <w:sz w:val="24"/>
                <w:szCs w:val="24"/>
                <w:shd w:val="clear"/>
              </w:rPr>
              <w:t>2021</w:t>
            </w:r>
            <w:r>
              <w:rPr>
                <w:rFonts w:hint="eastAsia" w:ascii="Times New Roman" w:hAnsi="Times New Roman" w:eastAsia="宋体" w:cs="Times New Roman"/>
                <w:b w:val="0"/>
                <w:bCs w:val="0"/>
                <w:i w:val="0"/>
                <w:iCs w:val="0"/>
                <w:caps w:val="0"/>
                <w:color w:val="auto"/>
                <w:spacing w:val="0"/>
                <w:kern w:val="0"/>
                <w:sz w:val="24"/>
                <w:szCs w:val="24"/>
                <w:shd w:val="clear"/>
                <w:lang w:val="en-US" w:eastAsia="zh-CN"/>
              </w:rPr>
              <w:t>年</w:t>
            </w:r>
            <w:r>
              <w:rPr>
                <w:rFonts w:hint="eastAsia" w:ascii="Times New Roman" w:eastAsia="宋体" w:cs="Times New Roman"/>
                <w:b w:val="0"/>
                <w:bCs w:val="0"/>
                <w:i w:val="0"/>
                <w:iCs w:val="0"/>
                <w:caps w:val="0"/>
                <w:color w:val="auto"/>
                <w:spacing w:val="0"/>
                <w:kern w:val="0"/>
                <w:sz w:val="24"/>
                <w:szCs w:val="24"/>
                <w:shd w:val="clear"/>
                <w:lang w:val="en-US" w:eastAsia="zh-CN"/>
              </w:rPr>
              <w:t>1月6日，</w:t>
            </w:r>
            <w:r>
              <w:rPr>
                <w:rFonts w:hint="eastAsia" w:ascii="Times New Roman" w:hAnsi="Times New Roman" w:eastAsia="宋体" w:cs="Times New Roman"/>
                <w:b w:val="0"/>
                <w:bCs w:val="0"/>
                <w:i w:val="0"/>
                <w:iCs w:val="0"/>
                <w:caps w:val="0"/>
                <w:color w:val="auto"/>
                <w:spacing w:val="0"/>
                <w:kern w:val="0"/>
                <w:sz w:val="24"/>
                <w:szCs w:val="24"/>
                <w:shd w:val="clear"/>
                <w:lang w:val="en-US" w:eastAsia="zh-CN"/>
              </w:rPr>
              <w:t>如皋市自然资源和规划局</w:t>
            </w:r>
            <w:r>
              <w:rPr>
                <w:rFonts w:hint="eastAsia" w:ascii="Times New Roman" w:eastAsia="宋体" w:cs="Times New Roman"/>
                <w:b w:val="0"/>
                <w:bCs w:val="0"/>
                <w:i w:val="0"/>
                <w:iCs w:val="0"/>
                <w:caps w:val="0"/>
                <w:color w:val="auto"/>
                <w:spacing w:val="0"/>
                <w:kern w:val="0"/>
                <w:sz w:val="24"/>
                <w:szCs w:val="24"/>
                <w:shd w:val="clear"/>
                <w:lang w:val="en-US" w:eastAsia="zh-CN"/>
              </w:rPr>
              <w:t>发布</w:t>
            </w:r>
            <w:r>
              <w:rPr>
                <w:rFonts w:hint="eastAsia" w:ascii="Times New Roman" w:eastAsia="宋体" w:cs="Times New Roman"/>
                <w:b w:val="0"/>
                <w:bCs w:val="0"/>
                <w:color w:val="auto"/>
                <w:kern w:val="0"/>
                <w:sz w:val="24"/>
                <w:lang w:val="en-US" w:eastAsia="zh-CN"/>
              </w:rPr>
              <w:t>《如皋经济技术开发区控制性详细规划》，</w:t>
            </w:r>
            <w:r>
              <w:rPr>
                <w:rFonts w:hint="eastAsia" w:ascii="Times New Roman" w:hAnsi="Times New Roman" w:eastAsia="宋体" w:cs="Times New Roman"/>
                <w:b w:val="0"/>
                <w:bCs w:val="0"/>
                <w:i w:val="0"/>
                <w:iCs w:val="0"/>
                <w:caps w:val="0"/>
                <w:color w:val="auto"/>
                <w:spacing w:val="0"/>
                <w:kern w:val="0"/>
                <w:sz w:val="24"/>
                <w:szCs w:val="24"/>
                <w:shd w:val="clear"/>
              </w:rPr>
              <w:t>构建新发展格局，助推如皋经济技术开发区城市规划建设和管理水平高质量发展</w:t>
            </w:r>
            <w:r>
              <w:rPr>
                <w:rFonts w:hint="eastAsia" w:ascii="Times New Roman" w:eastAsia="宋体" w:cs="Times New Roman"/>
                <w:b w:val="0"/>
                <w:bCs w:val="0"/>
                <w:i w:val="0"/>
                <w:iCs w:val="0"/>
                <w:caps w:val="0"/>
                <w:color w:val="auto"/>
                <w:spacing w:val="0"/>
                <w:kern w:val="0"/>
                <w:sz w:val="24"/>
                <w:szCs w:val="24"/>
                <w:shd w:val="clear"/>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777" w:type="dxa"/>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规划环境影响</w:t>
            </w: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ascii="Times New Roman" w:hAnsi="Times New Roman" w:eastAsia="宋体" w:cs="Times New Roman"/>
                <w:b/>
                <w:bCs/>
                <w:kern w:val="0"/>
                <w:sz w:val="24"/>
                <w:szCs w:val="24"/>
              </w:rPr>
            </w:pPr>
            <w:r>
              <w:rPr>
                <w:rFonts w:hint="eastAsia" w:ascii="Times New Roman" w:hAnsi="Times New Roman" w:eastAsia="宋体" w:cs="Times New Roman"/>
                <w:b/>
                <w:bCs/>
                <w:sz w:val="24"/>
                <w:szCs w:val="24"/>
              </w:rPr>
              <w:t>评价情况</w:t>
            </w:r>
          </w:p>
        </w:tc>
        <w:tc>
          <w:tcPr>
            <w:tcW w:w="8093" w:type="dxa"/>
            <w:gridSpan w:val="4"/>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auto"/>
                <w:kern w:val="0"/>
                <w:sz w:val="24"/>
                <w:szCs w:val="24"/>
                <w:lang w:val="en-US" w:eastAsia="zh-CN"/>
              </w:rPr>
              <w:t>文件名：如皋经济技术开发区发展规划（2018-2030）环境影响报告书</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jc w:val="both"/>
              <w:textAlignment w:val="auto"/>
              <w:rPr>
                <w:rFonts w:hint="eastAsia"/>
                <w:sz w:val="24"/>
                <w:szCs w:val="24"/>
                <w:lang w:val="en-US" w:eastAsia="zh-CN"/>
              </w:rPr>
            </w:pPr>
            <w:r>
              <w:rPr>
                <w:rFonts w:hint="eastAsia" w:ascii="Times New Roman" w:hAnsi="Times New Roman" w:eastAsia="宋体" w:cs="Times New Roman"/>
                <w:color w:val="auto"/>
                <w:kern w:val="0"/>
                <w:sz w:val="24"/>
                <w:szCs w:val="24"/>
                <w:lang w:val="en-US" w:eastAsia="zh-CN"/>
              </w:rPr>
              <w:t>审查机关：生态环境部</w:t>
            </w:r>
            <w:r>
              <w:rPr>
                <w:rFonts w:hint="eastAsia" w:cs="Times New Roman"/>
                <w:color w:val="auto"/>
                <w:kern w:val="0"/>
                <w:sz w:val="24"/>
                <w:szCs w:val="24"/>
                <w:lang w:val="en-US" w:eastAsia="zh-CN"/>
              </w:rPr>
              <w:t xml:space="preserve">  </w:t>
            </w:r>
            <w:r>
              <w:rPr>
                <w:rFonts w:hint="eastAsia" w:ascii="Times New Roman" w:hAnsi="Times New Roman" w:eastAsia="宋体" w:cs="Times New Roman"/>
                <w:color w:val="auto"/>
                <w:kern w:val="0"/>
                <w:sz w:val="24"/>
                <w:szCs w:val="24"/>
                <w:lang w:val="en-US" w:eastAsia="zh-CN"/>
              </w:rPr>
              <w:t>审查意见文号：环审〔2020〕77号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77" w:type="dxa"/>
            <w:shd w:val="clear" w:color="auto" w:fill="auto"/>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kern w:val="0"/>
                <w:sz w:val="21"/>
                <w:szCs w:val="21"/>
                <w:lang w:val="en-US" w:eastAsia="zh-CN" w:bidi="ar-SA"/>
              </w:rPr>
            </w:pPr>
            <w:r>
              <w:rPr>
                <w:rFonts w:ascii="Times New Roman" w:hAnsi="Times New Roman" w:eastAsia="宋体" w:cs="Times New Roman"/>
                <w:b/>
                <w:bCs/>
                <w:color w:val="auto"/>
                <w:kern w:val="0"/>
                <w:sz w:val="24"/>
                <w:szCs w:val="24"/>
              </w:rPr>
              <w:t>规划及规划环境影响评价符合性分析</w:t>
            </w:r>
          </w:p>
        </w:tc>
        <w:tc>
          <w:tcPr>
            <w:tcW w:w="8093" w:type="dxa"/>
            <w:gridSpan w:val="4"/>
            <w:shd w:val="clear" w:color="auto" w:fill="auto"/>
            <w:vAlign w:val="center"/>
          </w:tcPr>
          <w:p>
            <w:pPr>
              <w:tabs>
                <w:tab w:val="left" w:pos="918"/>
              </w:tabs>
              <w:spacing w:line="360" w:lineRule="auto"/>
              <w:ind w:firstLine="422"/>
              <w:rPr>
                <w:rFonts w:hint="eastAsia" w:ascii="Times New Roman" w:hAnsi="Times New Roman" w:eastAsia="宋体" w:cs="Times New Roman"/>
                <w:b/>
                <w:color w:val="auto"/>
                <w:sz w:val="24"/>
                <w:szCs w:val="24"/>
              </w:rPr>
            </w:pPr>
            <w:r>
              <w:rPr>
                <w:rFonts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一</w:t>
            </w:r>
            <w:r>
              <w:rPr>
                <w:rFonts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rPr>
              <w:t>与</w:t>
            </w:r>
            <w:r>
              <w:rPr>
                <w:rFonts w:ascii="Times New Roman" w:hAnsi="Times New Roman" w:eastAsia="宋体" w:cs="Times New Roman"/>
                <w:b/>
                <w:color w:val="auto"/>
                <w:sz w:val="24"/>
                <w:szCs w:val="24"/>
              </w:rPr>
              <w:t>《如皋经济技术开发区发展规划（2018-2030）环境影响报告书</w:t>
            </w:r>
            <w:r>
              <w:rPr>
                <w:rFonts w:hint="eastAsia" w:ascii="Times New Roman" w:hAnsi="Times New Roman" w:eastAsia="宋体" w:cs="Times New Roman"/>
                <w:b/>
                <w:color w:val="auto"/>
                <w:sz w:val="24"/>
                <w:szCs w:val="24"/>
              </w:rPr>
              <w:t>》</w:t>
            </w:r>
            <w:r>
              <w:rPr>
                <w:rFonts w:hint="eastAsia" w:cs="Times New Roman"/>
                <w:b/>
                <w:color w:val="auto"/>
                <w:sz w:val="24"/>
                <w:szCs w:val="24"/>
                <w:lang w:eastAsia="zh-CN"/>
              </w:rPr>
              <w:t>、《如皋经济技术开发区控制性详细规划》</w:t>
            </w:r>
            <w:r>
              <w:rPr>
                <w:rFonts w:hint="eastAsia" w:ascii="Times New Roman" w:hAnsi="Times New Roman" w:eastAsia="宋体" w:cs="Times New Roman"/>
                <w:b/>
                <w:color w:val="auto"/>
                <w:sz w:val="24"/>
                <w:szCs w:val="24"/>
              </w:rPr>
              <w:t>相关规划内容相符性分析</w:t>
            </w:r>
          </w:p>
          <w:p>
            <w:pPr>
              <w:spacing w:line="360" w:lineRule="auto"/>
              <w:ind w:firstLine="4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1</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bCs/>
                <w:color w:val="auto"/>
                <w:sz w:val="24"/>
                <w:szCs w:val="24"/>
              </w:rPr>
              <w:t>规划内容</w:t>
            </w:r>
            <w:r>
              <w:rPr>
                <w:rFonts w:ascii="Times New Roman" w:hAnsi="Times New Roman" w:eastAsia="宋体" w:cs="Times New Roman"/>
                <w:b/>
                <w:color w:val="auto"/>
                <w:sz w:val="24"/>
                <w:szCs w:val="24"/>
              </w:rPr>
              <w:t>相符性分析</w:t>
            </w:r>
          </w:p>
          <w:tbl>
            <w:tblPr>
              <w:tblStyle w:val="30"/>
              <w:tblW w:w="78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4250"/>
              <w:gridCol w:w="2197"/>
              <w:gridCol w:w="8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2"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要素</w:t>
                  </w:r>
                </w:p>
              </w:tc>
              <w:tc>
                <w:tcPr>
                  <w:tcW w:w="4250" w:type="dxa"/>
                  <w:noWrap w:val="0"/>
                  <w:vAlign w:val="center"/>
                </w:tcPr>
                <w:p>
                  <w:pPr>
                    <w:spacing w:line="240" w:lineRule="auto"/>
                    <w:ind w:firstLine="0" w:firstLineChars="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规划内容</w:t>
                  </w:r>
                </w:p>
              </w:tc>
              <w:tc>
                <w:tcPr>
                  <w:tcW w:w="2197"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本项目</w:t>
                  </w:r>
                  <w:r>
                    <w:rPr>
                      <w:rFonts w:ascii="Times New Roman" w:hAnsi="Times New Roman" w:eastAsia="宋体" w:cs="Times New Roman"/>
                      <w:b/>
                      <w:color w:val="auto"/>
                      <w:sz w:val="21"/>
                      <w:szCs w:val="21"/>
                    </w:rPr>
                    <w:t>内容</w:t>
                  </w:r>
                </w:p>
              </w:tc>
              <w:tc>
                <w:tcPr>
                  <w:tcW w:w="84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2"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rPr>
                    <w:t>总体定位</w:t>
                  </w:r>
                </w:p>
              </w:tc>
              <w:tc>
                <w:tcPr>
                  <w:tcW w:w="4250" w:type="dxa"/>
                  <w:shd w:val="clear" w:color="auto" w:fill="auto"/>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kern w:val="0"/>
                      <w:sz w:val="21"/>
                      <w:szCs w:val="21"/>
                    </w:rPr>
                    <w:t>以“智能制造和科技服务”为核心，以“创新、生态”为引领，形成集新兴制造、科技创新、商务商贸、文化展示、生态休闲等功能的智造之城、科创之城、宜居之城。</w:t>
                  </w:r>
                </w:p>
              </w:tc>
              <w:tc>
                <w:tcPr>
                  <w:tcW w:w="2197"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本项目属于C2924 泡沫塑料制造，为制造业。</w:t>
                  </w:r>
                </w:p>
              </w:tc>
              <w:tc>
                <w:tcPr>
                  <w:tcW w:w="84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2" w:type="dxa"/>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空间布局</w:t>
                  </w:r>
                </w:p>
              </w:tc>
              <w:tc>
                <w:tcPr>
                  <w:tcW w:w="4250" w:type="dxa"/>
                  <w:shd w:val="clear" w:color="auto" w:fill="auto"/>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规划形成“两心三轴五区”的布局结构。</w:t>
                  </w:r>
                </w:p>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“两心”即商务商贸中心、科创研发中心。</w:t>
                  </w:r>
                </w:p>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“三轴”即花城大道产业发展轴、惠民路产城融合发展轴、海阳路城市综合服务发展轴。</w:t>
                  </w:r>
                </w:p>
                <w:p>
                  <w:pPr>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“五区”居住片区、商务商贸片区、科创研发片区、工业片区、物流片区。</w:t>
                  </w:r>
                </w:p>
              </w:tc>
              <w:tc>
                <w:tcPr>
                  <w:tcW w:w="2197" w:type="dxa"/>
                  <w:noWrap w:val="0"/>
                  <w:vAlign w:val="center"/>
                </w:tcPr>
                <w:p>
                  <w:pPr>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本项目位于</w:t>
                  </w:r>
                  <w:r>
                    <w:rPr>
                      <w:rFonts w:hint="eastAsia" w:ascii="Times New Roman" w:hAnsi="Times New Roman" w:eastAsia="宋体" w:cs="Times New Roman"/>
                      <w:bCs/>
                      <w:color w:val="auto"/>
                      <w:sz w:val="21"/>
                      <w:szCs w:val="21"/>
                    </w:rPr>
                    <w:t>如皋</w:t>
                  </w:r>
                  <w:r>
                    <w:rPr>
                      <w:rFonts w:hint="eastAsia" w:ascii="Times New Roman" w:hAnsi="Times New Roman" w:eastAsia="宋体" w:cs="Times New Roman"/>
                      <w:bCs/>
                      <w:color w:val="auto"/>
                      <w:sz w:val="21"/>
                      <w:szCs w:val="21"/>
                      <w:lang w:val="en-US" w:eastAsia="zh-CN"/>
                    </w:rPr>
                    <w:t>市城北</w:t>
                  </w:r>
                  <w:r>
                    <w:rPr>
                      <w:rFonts w:hint="eastAsia" w:ascii="Times New Roman" w:hAnsi="Times New Roman" w:eastAsia="宋体" w:cs="Times New Roman"/>
                      <w:bCs/>
                      <w:color w:val="auto"/>
                      <w:sz w:val="21"/>
                      <w:szCs w:val="21"/>
                    </w:rPr>
                    <w:t>街道陆桥村9组</w:t>
                  </w:r>
                  <w:r>
                    <w:rPr>
                      <w:rFonts w:hint="eastAsia" w:ascii="Times New Roman" w:hAnsi="Times New Roman" w:eastAsia="宋体" w:cs="Times New Roman"/>
                      <w:color w:val="auto"/>
                      <w:sz w:val="21"/>
                      <w:szCs w:val="21"/>
                    </w:rPr>
                    <w:t>，位于</w:t>
                  </w:r>
                  <w:r>
                    <w:rPr>
                      <w:rFonts w:hint="eastAsia" w:cs="Times New Roman"/>
                      <w:color w:val="auto"/>
                      <w:sz w:val="21"/>
                      <w:szCs w:val="21"/>
                      <w:lang w:val="en-US" w:eastAsia="zh-CN"/>
                    </w:rPr>
                    <w:t>工业</w:t>
                  </w:r>
                  <w:r>
                    <w:rPr>
                      <w:rFonts w:hint="eastAsia" w:ascii="Times New Roman" w:hAnsi="Times New Roman" w:eastAsia="宋体" w:cs="Times New Roman"/>
                      <w:color w:val="auto"/>
                      <w:sz w:val="21"/>
                      <w:szCs w:val="21"/>
                    </w:rPr>
                    <w:t>片区内。用地性质为工业用地，选址位于乡村发展区</w:t>
                  </w:r>
                  <w:r>
                    <w:rPr>
                      <w:rFonts w:hint="eastAsia" w:cs="Times New Roman"/>
                      <w:color w:val="auto"/>
                      <w:sz w:val="21"/>
                      <w:szCs w:val="21"/>
                      <w:lang w:eastAsia="zh-CN"/>
                    </w:rPr>
                    <w:t>。</w:t>
                  </w:r>
                </w:p>
              </w:tc>
              <w:tc>
                <w:tcPr>
                  <w:tcW w:w="84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2" w:type="dxa"/>
                  <w:noWrap w:val="0"/>
                  <w:vAlign w:val="center"/>
                </w:tcPr>
                <w:p>
                  <w:pPr>
                    <w:pStyle w:val="8"/>
                    <w:tabs>
                      <w:tab w:val="left" w:pos="1018"/>
                    </w:tabs>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sz w:val="21"/>
                      <w:szCs w:val="21"/>
                    </w:rPr>
                    <w:t>产业布局</w:t>
                  </w:r>
                </w:p>
              </w:tc>
              <w:tc>
                <w:tcPr>
                  <w:tcW w:w="4250" w:type="dxa"/>
                  <w:shd w:val="clear" w:color="auto" w:fill="auto"/>
                  <w:noWrap w:val="0"/>
                  <w:vAlign w:val="center"/>
                </w:tcPr>
                <w:p>
                  <w:pPr>
                    <w:pStyle w:val="8"/>
                    <w:tabs>
                      <w:tab w:val="left" w:pos="1018"/>
                    </w:tabs>
                    <w:spacing w:line="240" w:lineRule="auto"/>
                    <w:ind w:firstLine="0" w:firstLineChars="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rPr>
                    <w:t>规划工业用地主要集中在花城大道以西、惠民路以北区域，保留现状新北路-益寿路-惠民路-花城大道围合区域内的科创城及相关企业，在万新河-海阳路-雪袁线（S355）-紫光路围合区域内布局生产研发用地，与南侧科创园共同构成开发区的科创研发中心。规划在万新河-益寿北路-园区东路-花城大道-柴湾路-紫光路围合区域内布局科技创新转化区，在惠民路-益寿路-起凤路-老通扬路-花城大道-白茅港-雪袁线（S355）-邓桥路围合区域布局新能源及新能源汽车产业，在惠民路-花城大道-仁寿路-藕池路-如泰运河-如海运河-邓西路围合区域布局智能装备产业。规划在红旗路-龙池路-跃龙路-邓桥路围合区域布局物流仓储用地。</w:t>
                  </w:r>
                </w:p>
              </w:tc>
              <w:tc>
                <w:tcPr>
                  <w:tcW w:w="2197" w:type="dxa"/>
                  <w:noWrap w:val="0"/>
                  <w:vAlign w:val="center"/>
                </w:tcPr>
                <w:p>
                  <w:pPr>
                    <w:pStyle w:val="8"/>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根据产业布局</w:t>
                  </w:r>
                  <w:r>
                    <w:rPr>
                      <w:rFonts w:ascii="Times New Roman" w:hAnsi="Times New Roman" w:eastAsia="宋体" w:cs="Times New Roman"/>
                      <w:color w:val="auto"/>
                      <w:sz w:val="21"/>
                      <w:szCs w:val="21"/>
                    </w:rPr>
                    <w:t>规划</w:t>
                  </w:r>
                  <w:r>
                    <w:rPr>
                      <w:rFonts w:hint="eastAsia" w:ascii="Times New Roman" w:hAnsi="Times New Roman" w:eastAsia="宋体" w:cs="Times New Roman"/>
                      <w:color w:val="auto"/>
                      <w:sz w:val="21"/>
                      <w:szCs w:val="21"/>
                    </w:rPr>
                    <w:t>范围，本项目</w:t>
                  </w:r>
                  <w:r>
                    <w:rPr>
                      <w:rFonts w:ascii="Times New Roman" w:hAnsi="Times New Roman" w:eastAsia="宋体" w:cs="Times New Roman"/>
                      <w:color w:val="auto"/>
                      <w:sz w:val="21"/>
                      <w:szCs w:val="21"/>
                    </w:rPr>
                    <w:t>位于</w:t>
                  </w:r>
                  <w:r>
                    <w:rPr>
                      <w:rFonts w:hint="eastAsia" w:ascii="Times New Roman" w:hAnsi="Times New Roman" w:eastAsia="宋体" w:cs="Times New Roman"/>
                      <w:color w:val="auto"/>
                      <w:sz w:val="21"/>
                      <w:szCs w:val="21"/>
                    </w:rPr>
                    <w:t>智能装备产业园。本项目产品EPP泡沫制品</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符合产业定位</w:t>
                  </w:r>
                  <w:r>
                    <w:rPr>
                      <w:rFonts w:hint="eastAsia" w:ascii="Times New Roman" w:hAnsi="Times New Roman" w:eastAsia="宋体" w:cs="Times New Roman"/>
                      <w:color w:val="auto"/>
                      <w:sz w:val="21"/>
                      <w:szCs w:val="21"/>
                    </w:rPr>
                    <w:t>。</w:t>
                  </w:r>
                </w:p>
              </w:tc>
              <w:tc>
                <w:tcPr>
                  <w:tcW w:w="84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82"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基础设施</w:t>
                  </w:r>
                </w:p>
              </w:tc>
              <w:tc>
                <w:tcPr>
                  <w:tcW w:w="4250"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供热：以大唐热电厂为热源，以过热蒸汽为介质，采用开式热力网供汽，实施集中供热，不得自行配置燃煤锅炉；</w:t>
                  </w:r>
                </w:p>
                <w:p>
                  <w:pPr>
                    <w:pStyle w:val="77"/>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污水：经开区污水经收集统一送往如皋市恒发水处理有限公司、宏皓表面水处理有限公司（表面处理园及一类污染物工业废水）集中处理，尾水分别排入通扬运河、文革河；</w:t>
                  </w:r>
                </w:p>
                <w:p>
                  <w:pPr>
                    <w:pStyle w:val="77"/>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燃气：如皋经开区形成以天然气为主的用气格局，积极争取天然气配额，拓展天然气利用领域，提高天然气气化率。天然气由如皋市政天然气管网提供</w:t>
                  </w:r>
                </w:p>
              </w:tc>
              <w:tc>
                <w:tcPr>
                  <w:tcW w:w="2197"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本</w:t>
                  </w:r>
                  <w:r>
                    <w:rPr>
                      <w:rFonts w:hint="eastAsia" w:ascii="Times New Roman" w:hAnsi="Times New Roman" w:eastAsia="宋体" w:cs="Times New Roman"/>
                      <w:color w:val="auto"/>
                      <w:sz w:val="21"/>
                      <w:szCs w:val="21"/>
                    </w:rPr>
                    <w:t>项目不涉及供气，供热</w:t>
                  </w:r>
                  <w:r>
                    <w:rPr>
                      <w:rFonts w:hint="eastAsia" w:ascii="Times New Roman" w:hAnsi="Times New Roman" w:eastAsia="宋体" w:cs="Times New Roman"/>
                      <w:color w:val="auto"/>
                      <w:sz w:val="21"/>
                      <w:szCs w:val="21"/>
                      <w:lang w:val="en-US" w:eastAsia="zh-CN"/>
                    </w:rPr>
                    <w:t>依托</w:t>
                  </w:r>
                  <w:r>
                    <w:rPr>
                      <w:rFonts w:hint="eastAsia" w:ascii="Times New Roman" w:hAnsi="Times New Roman" w:eastAsia="宋体" w:cs="Times New Roman"/>
                      <w:color w:val="auto"/>
                      <w:sz w:val="21"/>
                      <w:szCs w:val="21"/>
                    </w:rPr>
                    <w:t>大唐热电厂</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生活污水经</w:t>
                  </w:r>
                  <w:r>
                    <w:rPr>
                      <w:rFonts w:hint="eastAsia" w:eastAsia="宋体" w:cs="Times New Roman"/>
                      <w:color w:val="auto"/>
                      <w:sz w:val="21"/>
                      <w:szCs w:val="21"/>
                      <w:lang w:val="en-US" w:eastAsia="zh-CN"/>
                    </w:rPr>
                    <w:t>租赁方</w:t>
                  </w:r>
                  <w:r>
                    <w:rPr>
                      <w:rFonts w:hint="eastAsia" w:ascii="Times New Roman" w:hAnsi="Times New Roman" w:eastAsia="宋体" w:cs="Times New Roman"/>
                      <w:color w:val="auto"/>
                      <w:sz w:val="21"/>
                      <w:szCs w:val="21"/>
                    </w:rPr>
                    <w:t>化粪池处理接至如皋恒发水处理有限公司。</w:t>
                  </w:r>
                </w:p>
              </w:tc>
              <w:tc>
                <w:tcPr>
                  <w:tcW w:w="84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bl>
          <w:p>
            <w:pPr>
              <w:tabs>
                <w:tab w:val="left" w:pos="918"/>
              </w:tabs>
              <w:spacing w:line="360" w:lineRule="auto"/>
              <w:ind w:firstLine="420"/>
              <w:rPr>
                <w:rFonts w:hint="eastAsia" w:ascii="Times New Roman" w:hAnsi="Times New Roman" w:eastAsia="宋体" w:cs="Times New Roman"/>
                <w:bCs/>
                <w:color w:val="auto"/>
                <w:sz w:val="21"/>
                <w:szCs w:val="21"/>
              </w:rPr>
            </w:pPr>
          </w:p>
          <w:p>
            <w:pPr>
              <w:tabs>
                <w:tab w:val="left" w:pos="918"/>
              </w:tabs>
              <w:spacing w:line="360" w:lineRule="auto"/>
              <w:ind w:firstLine="420"/>
              <w:rPr>
                <w:rFonts w:hint="eastAsia"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综上所述，本项目符合</w:t>
            </w:r>
            <w:r>
              <w:rPr>
                <w:rFonts w:ascii="Times New Roman" w:hAnsi="Times New Roman" w:eastAsia="宋体" w:cs="Times New Roman"/>
                <w:bCs/>
                <w:color w:val="auto"/>
                <w:sz w:val="24"/>
                <w:szCs w:val="24"/>
              </w:rPr>
              <w:t>《如皋经济技术开发区发展规划（2018-2030）环境影响报告书</w:t>
            </w:r>
            <w:r>
              <w:rPr>
                <w:rFonts w:hint="eastAsia" w:ascii="Times New Roman" w:hAnsi="Times New Roman" w:eastAsia="宋体" w:cs="Times New Roman"/>
                <w:bCs/>
                <w:color w:val="auto"/>
                <w:sz w:val="24"/>
                <w:szCs w:val="24"/>
              </w:rPr>
              <w:t>》中相关规划内容。</w:t>
            </w:r>
          </w:p>
          <w:p>
            <w:pPr>
              <w:tabs>
                <w:tab w:val="left" w:pos="918"/>
              </w:tabs>
              <w:spacing w:line="360" w:lineRule="auto"/>
              <w:ind w:firstLine="422"/>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二</w:t>
            </w:r>
            <w:r>
              <w:rPr>
                <w:rFonts w:hint="eastAsia" w:ascii="Times New Roman" w:hAnsi="Times New Roman" w:eastAsia="宋体" w:cs="Times New Roman"/>
                <w:b/>
                <w:color w:val="auto"/>
                <w:sz w:val="24"/>
                <w:szCs w:val="24"/>
              </w:rPr>
              <w:t>）与</w:t>
            </w:r>
            <w:r>
              <w:rPr>
                <w:rFonts w:ascii="Times New Roman" w:hAnsi="Times New Roman" w:eastAsia="宋体" w:cs="Times New Roman"/>
                <w:b/>
                <w:color w:val="auto"/>
                <w:sz w:val="24"/>
                <w:szCs w:val="24"/>
              </w:rPr>
              <w:t>《如皋经济技术开发区发展规划（2018-2030）环境影响报告书</w:t>
            </w:r>
            <w:r>
              <w:rPr>
                <w:rFonts w:hint="eastAsia" w:ascii="Times New Roman" w:hAnsi="Times New Roman" w:eastAsia="宋体" w:cs="Times New Roman"/>
                <w:b/>
                <w:color w:val="auto"/>
                <w:sz w:val="24"/>
                <w:szCs w:val="24"/>
              </w:rPr>
              <w:t>》结论相符性分析</w:t>
            </w:r>
          </w:p>
          <w:p>
            <w:pPr>
              <w:spacing w:line="360" w:lineRule="auto"/>
              <w:ind w:firstLine="4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2</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bCs/>
                <w:color w:val="auto"/>
                <w:sz w:val="24"/>
                <w:szCs w:val="24"/>
              </w:rPr>
              <w:t>规划结论</w:t>
            </w:r>
            <w:r>
              <w:rPr>
                <w:rFonts w:ascii="Times New Roman" w:hAnsi="Times New Roman" w:eastAsia="宋体" w:cs="Times New Roman"/>
                <w:b/>
                <w:color w:val="auto"/>
                <w:sz w:val="24"/>
                <w:szCs w:val="24"/>
              </w:rPr>
              <w:t>相符性分析</w:t>
            </w:r>
          </w:p>
          <w:tbl>
            <w:tblPr>
              <w:tblStyle w:val="30"/>
              <w:tblW w:w="78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08"/>
              <w:gridCol w:w="4222"/>
              <w:gridCol w:w="2213"/>
              <w:gridCol w:w="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要素</w:t>
                  </w:r>
                </w:p>
              </w:tc>
              <w:tc>
                <w:tcPr>
                  <w:tcW w:w="4222" w:type="dxa"/>
                  <w:noWrap w:val="0"/>
                  <w:vAlign w:val="center"/>
                </w:tcPr>
                <w:p>
                  <w:pPr>
                    <w:spacing w:line="240" w:lineRule="auto"/>
                    <w:ind w:firstLine="0" w:firstLineChars="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结论内容</w:t>
                  </w:r>
                </w:p>
              </w:tc>
              <w:tc>
                <w:tcPr>
                  <w:tcW w:w="2213"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本项目</w:t>
                  </w:r>
                  <w:r>
                    <w:rPr>
                      <w:rFonts w:ascii="Times New Roman" w:hAnsi="Times New Roman" w:eastAsia="宋体" w:cs="Times New Roman"/>
                      <w:b/>
                      <w:color w:val="auto"/>
                      <w:sz w:val="21"/>
                      <w:szCs w:val="21"/>
                    </w:rPr>
                    <w:t>内容</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大气</w:t>
                  </w:r>
                </w:p>
              </w:tc>
              <w:tc>
                <w:tcPr>
                  <w:tcW w:w="4222" w:type="dxa"/>
                  <w:noWrap w:val="0"/>
                  <w:vAlign w:val="center"/>
                </w:tcPr>
                <w:p>
                  <w:pPr>
                    <w:numPr>
                      <w:ilvl w:val="0"/>
                      <w:numId w:val="1"/>
                    </w:num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SO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、NO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最大日均浓度与环境现状浓度叠加能满足环境标准，年均预测浓度与环境现状浓度叠加能满足环境标准；PM</w:t>
                  </w:r>
                  <w:r>
                    <w:rPr>
                      <w:rFonts w:hint="eastAsia" w:ascii="Times New Roman" w:hAnsi="Times New Roman" w:eastAsia="宋体" w:cs="Times New Roman"/>
                      <w:color w:val="auto"/>
                      <w:sz w:val="21"/>
                      <w:szCs w:val="21"/>
                      <w:vertAlign w:val="subscript"/>
                    </w:rPr>
                    <w:t>10</w:t>
                  </w:r>
                  <w:r>
                    <w:rPr>
                      <w:rFonts w:hint="eastAsia" w:ascii="Times New Roman" w:hAnsi="Times New Roman" w:eastAsia="宋体" w:cs="Times New Roman"/>
                      <w:color w:val="auto"/>
                      <w:sz w:val="21"/>
                      <w:szCs w:val="21"/>
                    </w:rPr>
                    <w:t>预测浓度与环境现状浓度叠加后超过环境空气质量标准；</w:t>
                  </w:r>
                </w:p>
                <w:p>
                  <w:pPr>
                    <w:pStyle w:val="77"/>
                    <w:numPr>
                      <w:ilvl w:val="0"/>
                      <w:numId w:val="1"/>
                    </w:numPr>
                    <w:spacing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远期新增的HCl、硫酸雾、非甲烷总烃、H</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S、甲苯、二甲苯、VOCs小时预测最大浓度值与环境现状浓度叠加均能满足环境标准。</w:t>
                  </w:r>
                </w:p>
                <w:p>
                  <w:pPr>
                    <w:pStyle w:val="77"/>
                    <w:numPr>
                      <w:ilvl w:val="0"/>
                      <w:numId w:val="1"/>
                    </w:numPr>
                    <w:spacing w:line="240" w:lineRule="auto"/>
                    <w:ind w:firstLine="0" w:firstLineChars="0"/>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各关心点SO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、NO</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最大日均、年均浓度，HCl、硫酸雾、非甲烷总烃、H</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S、甲苯、二甲苯、VOCs最大小时浓度与环境现状浓度叠加后能达到相应标准限值。</w:t>
                  </w:r>
                </w:p>
              </w:tc>
              <w:tc>
                <w:tcPr>
                  <w:tcW w:w="2213"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本项目</w:t>
                  </w:r>
                  <w:r>
                    <w:rPr>
                      <w:rFonts w:hint="eastAsia" w:ascii="Times New Roman" w:hAnsi="Times New Roman" w:eastAsia="宋体" w:cs="Times New Roman"/>
                      <w:color w:val="auto"/>
                      <w:sz w:val="21"/>
                      <w:szCs w:val="21"/>
                    </w:rPr>
                    <w:t>不排放HCl、硫酸雾、H</w:t>
                  </w:r>
                  <w:r>
                    <w:rPr>
                      <w:rFonts w:hint="eastAsia" w:ascii="Times New Roman" w:hAnsi="Times New Roman" w:eastAsia="宋体" w:cs="Times New Roman"/>
                      <w:color w:val="auto"/>
                      <w:sz w:val="21"/>
                      <w:szCs w:val="21"/>
                      <w:vertAlign w:val="subscript"/>
                    </w:rPr>
                    <w:t>2</w:t>
                  </w:r>
                  <w:r>
                    <w:rPr>
                      <w:rFonts w:hint="eastAsia" w:ascii="Times New Roman" w:hAnsi="Times New Roman" w:eastAsia="宋体" w:cs="Times New Roman"/>
                      <w:color w:val="auto"/>
                      <w:sz w:val="21"/>
                      <w:szCs w:val="21"/>
                    </w:rPr>
                    <w:t>S、甲苯、二甲苯</w:t>
                  </w:r>
                  <w:r>
                    <w:rPr>
                      <w:rFonts w:hint="eastAsia" w:eastAsia="宋体" w:cs="Times New Roman"/>
                      <w:color w:val="auto"/>
                      <w:sz w:val="21"/>
                      <w:szCs w:val="21"/>
                      <w:lang w:eastAsia="zh-CN"/>
                    </w:rPr>
                    <w:t>，</w:t>
                  </w:r>
                  <w:r>
                    <w:rPr>
                      <w:rFonts w:hint="eastAsia" w:ascii="Times New Roman" w:hAnsi="Times New Roman" w:eastAsia="宋体" w:cs="Times New Roman"/>
                      <w:color w:val="auto"/>
                      <w:sz w:val="21"/>
                      <w:szCs w:val="21"/>
                    </w:rPr>
                    <w:t>产生的</w:t>
                  </w:r>
                  <w:r>
                    <w:rPr>
                      <w:rFonts w:hint="eastAsia" w:eastAsia="宋体" w:cs="Times New Roman"/>
                      <w:color w:val="auto"/>
                      <w:sz w:val="21"/>
                      <w:szCs w:val="21"/>
                      <w:lang w:val="en-US" w:eastAsia="zh-CN"/>
                    </w:rPr>
                    <w:t>少量无组织</w:t>
                  </w:r>
                  <w:r>
                    <w:rPr>
                      <w:rFonts w:hint="eastAsia" w:ascii="Times New Roman" w:hAnsi="Times New Roman" w:eastAsia="宋体" w:cs="Times New Roman"/>
                      <w:color w:val="auto"/>
                      <w:sz w:val="21"/>
                      <w:szCs w:val="21"/>
                    </w:rPr>
                    <w:t>非甲烷总烃经过相应措施处理后达标排放</w:t>
                  </w:r>
                  <w:r>
                    <w:rPr>
                      <w:rFonts w:ascii="Times New Roman" w:hAnsi="Times New Roman" w:eastAsia="宋体" w:cs="Times New Roman"/>
                      <w:color w:val="auto"/>
                      <w:sz w:val="21"/>
                      <w:szCs w:val="21"/>
                    </w:rPr>
                    <w:t>，对</w:t>
                  </w:r>
                  <w:r>
                    <w:rPr>
                      <w:rFonts w:hint="eastAsia" w:eastAsia="宋体" w:cs="Times New Roman"/>
                      <w:color w:val="auto"/>
                      <w:sz w:val="21"/>
                      <w:szCs w:val="21"/>
                      <w:lang w:val="en-US" w:eastAsia="zh-CN"/>
                    </w:rPr>
                    <w:t>大气</w:t>
                  </w:r>
                  <w:r>
                    <w:rPr>
                      <w:rFonts w:ascii="Times New Roman" w:hAnsi="Times New Roman" w:eastAsia="宋体" w:cs="Times New Roman"/>
                      <w:color w:val="auto"/>
                      <w:sz w:val="21"/>
                      <w:szCs w:val="21"/>
                    </w:rPr>
                    <w:t>环境影响较小。</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水环境</w:t>
                  </w:r>
                </w:p>
              </w:tc>
              <w:tc>
                <w:tcPr>
                  <w:tcW w:w="4222" w:type="dxa"/>
                  <w:noWrap w:val="0"/>
                  <w:vAlign w:val="center"/>
                </w:tcPr>
                <w:p>
                  <w:pPr>
                    <w:numPr>
                      <w:ilvl w:val="0"/>
                      <w:numId w:val="2"/>
                    </w:num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经开区规划实施后，随着工业废水、生活污水接管率的提升，区域内河网水环境得到改善；</w:t>
                  </w:r>
                </w:p>
                <w:p>
                  <w:pPr>
                    <w:pStyle w:val="77"/>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2、恒发污水处理厂尾水排放COD、氨氮较现状对通扬运河影响削弱；</w:t>
                  </w:r>
                </w:p>
                <w:p>
                  <w:pPr>
                    <w:pStyle w:val="77"/>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3、如皋宏皓表面水处理有限公司尾水经人工湿地净化后达Ⅴ类标准排放，其中COD、氨氮和总磷污染物对区域水质影响较小，第一类污染物增量对区域水质影响较小。</w:t>
                  </w:r>
                </w:p>
              </w:tc>
              <w:tc>
                <w:tcPr>
                  <w:tcW w:w="2213" w:type="dxa"/>
                  <w:noWrap w:val="0"/>
                  <w:vAlign w:val="center"/>
                </w:tcPr>
                <w:p>
                  <w:pPr>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本项目实行“雨污分流”制，雨水经</w:t>
                  </w:r>
                  <w:r>
                    <w:rPr>
                      <w:rFonts w:hint="eastAsia" w:cs="Times New Roman"/>
                      <w:color w:val="auto"/>
                      <w:sz w:val="21"/>
                      <w:szCs w:val="21"/>
                      <w:lang w:val="en-US" w:eastAsia="zh-CN"/>
                    </w:rPr>
                    <w:t>租赁方</w:t>
                  </w:r>
                  <w:r>
                    <w:rPr>
                      <w:rFonts w:hint="eastAsia" w:ascii="Times New Roman" w:hAnsi="Times New Roman" w:eastAsia="宋体" w:cs="Times New Roman"/>
                      <w:color w:val="auto"/>
                      <w:sz w:val="21"/>
                      <w:szCs w:val="21"/>
                    </w:rPr>
                    <w:t>厂区集中收集后排入市政雨水管网，最终汇入通扬运河；项目生活污水经</w:t>
                  </w:r>
                  <w:r>
                    <w:rPr>
                      <w:rFonts w:hint="eastAsia" w:cs="Times New Roman"/>
                      <w:color w:val="auto"/>
                      <w:sz w:val="21"/>
                      <w:szCs w:val="21"/>
                      <w:lang w:val="en-US" w:eastAsia="zh-CN"/>
                    </w:rPr>
                    <w:t>租赁方</w:t>
                  </w:r>
                  <w:r>
                    <w:rPr>
                      <w:rFonts w:hint="eastAsia" w:ascii="Times New Roman" w:hAnsi="Times New Roman" w:eastAsia="宋体" w:cs="Times New Roman"/>
                      <w:color w:val="auto"/>
                      <w:sz w:val="21"/>
                      <w:szCs w:val="21"/>
                    </w:rPr>
                    <w:t>化粪池处理接至如皋恒发水处理有限公司</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rPr>
                    <w:t>对水环境影响较小。</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地下水</w:t>
                  </w:r>
                </w:p>
              </w:tc>
              <w:tc>
                <w:tcPr>
                  <w:tcW w:w="4222"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高浓度的污染物事故状态无防护措施条件下，主要对周边小范围内的浅层地下水会产生一定影响，20年内对周围地下水影响较小，不会对应急水资源产生明显影响</w:t>
                  </w:r>
                </w:p>
              </w:tc>
              <w:tc>
                <w:tcPr>
                  <w:tcW w:w="2213"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bCs/>
                      <w:color w:val="auto"/>
                      <w:sz w:val="21"/>
                      <w:szCs w:val="21"/>
                    </w:rPr>
                    <w:t>本项目对污染区地面进行防渗处理，防止洒落地面的污染物渗入地下，从而避免对地下水的污染。</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生态环境</w:t>
                  </w:r>
                </w:p>
              </w:tc>
              <w:tc>
                <w:tcPr>
                  <w:tcW w:w="4222"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经开区建设对区域生态结构、生态服务功能和生物多样性具有不可避免的影响，但通过合理的规划与建设能在很大程度上减轻不利影响，可以基本上保证生态环境质量不降低</w:t>
                  </w:r>
                </w:p>
              </w:tc>
              <w:tc>
                <w:tcPr>
                  <w:tcW w:w="2213"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本项目为产业园区内用地且用地范围内无环境保护目标，不涉及生态影响。</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环境风险</w:t>
                  </w:r>
                </w:p>
              </w:tc>
              <w:tc>
                <w:tcPr>
                  <w:tcW w:w="4222" w:type="dxa"/>
                  <w:noWrap w:val="0"/>
                  <w:vAlign w:val="center"/>
                </w:tcPr>
                <w:p>
                  <w:pPr>
                    <w:pStyle w:val="77"/>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存在风险主要包括火灾爆炸、有毒有害物质在运输、贮存、使用过程中发生泄漏，污水处理厂发生事故排放，经预测，事故经处理后对人体及周边水环境的影响可降至最低。在如皋经开区按《江苏省突发环境事件应急预案编制导则（试行）》（工业园区版）制定突发环境事件应急预案并严格落实各项环境风险防范措施的前提下，经开区的环境风险是可以接受的。</w:t>
                  </w:r>
                </w:p>
              </w:tc>
              <w:tc>
                <w:tcPr>
                  <w:tcW w:w="2213"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本项目在企业落实提出的各项风险防范措施后，项目对环境的风险影响可接受。</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8"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优化调整建议与环境准入</w:t>
                  </w:r>
                </w:p>
              </w:tc>
              <w:tc>
                <w:tcPr>
                  <w:tcW w:w="4222" w:type="dxa"/>
                  <w:noWrap w:val="0"/>
                  <w:vAlign w:val="center"/>
                </w:tcPr>
                <w:p>
                  <w:pPr>
                    <w:pStyle w:val="77"/>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禁止建设生产工艺、设备，以及单位产品能耗、污染物排放和资源利用效率等均不能达到同行业国际先进水平的项目；禁止建设不能满足环评测算出的环境防护距离的项目，或环评事故风险防范和应急措施难以落实到位的企业；禁止建设与经开区空间冲突或经环保论证与周边企业、规划用地等环境不相容或存在重大环境风险隐患且无法消除的项目；禁止建设超过经开区重点污染物总量管控指标，新增重点污染物排放量且无总量指标来源等不符合总量控制要求的项目。为缓解区域HCl、NO</w:t>
                  </w:r>
                  <w:r>
                    <w:rPr>
                      <w:rFonts w:hint="eastAsia" w:ascii="Times New Roman" w:hAnsi="Times New Roman" w:eastAsia="宋体" w:cs="Times New Roman"/>
                      <w:color w:val="auto"/>
                      <w:sz w:val="21"/>
                      <w:szCs w:val="21"/>
                      <w:vertAlign w:val="subscript"/>
                    </w:rPr>
                    <w:t>x</w:t>
                  </w:r>
                  <w:r>
                    <w:rPr>
                      <w:rFonts w:hint="eastAsia" w:ascii="Times New Roman" w:hAnsi="Times New Roman" w:eastAsia="宋体" w:cs="Times New Roman"/>
                      <w:color w:val="auto"/>
                      <w:sz w:val="21"/>
                      <w:szCs w:val="21"/>
                    </w:rPr>
                    <w:t>、TVOC浓度上升问题，控制区域PM</w:t>
                  </w:r>
                  <w:r>
                    <w:rPr>
                      <w:rFonts w:hint="eastAsia" w:ascii="Times New Roman" w:hAnsi="Times New Roman" w:eastAsia="宋体" w:cs="Times New Roman"/>
                      <w:color w:val="auto"/>
                      <w:sz w:val="21"/>
                      <w:szCs w:val="21"/>
                      <w:vertAlign w:val="subscript"/>
                    </w:rPr>
                    <w:t>2.5</w:t>
                  </w:r>
                  <w:r>
                    <w:rPr>
                      <w:rFonts w:hint="eastAsia" w:ascii="Times New Roman" w:hAnsi="Times New Roman" w:eastAsia="宋体" w:cs="Times New Roman"/>
                      <w:color w:val="auto"/>
                      <w:sz w:val="21"/>
                      <w:szCs w:val="21"/>
                    </w:rPr>
                    <w:t>浓度，经开区应严格控制HCl、NO</w:t>
                  </w:r>
                  <w:r>
                    <w:rPr>
                      <w:rFonts w:hint="eastAsia" w:ascii="Times New Roman" w:hAnsi="Times New Roman" w:eastAsia="宋体" w:cs="Times New Roman"/>
                      <w:color w:val="auto"/>
                      <w:sz w:val="21"/>
                      <w:szCs w:val="21"/>
                      <w:vertAlign w:val="subscript"/>
                    </w:rPr>
                    <w:t>x</w:t>
                  </w:r>
                  <w:r>
                    <w:rPr>
                      <w:rFonts w:hint="eastAsia" w:ascii="Times New Roman" w:hAnsi="Times New Roman" w:eastAsia="宋体" w:cs="Times New Roman"/>
                      <w:color w:val="auto"/>
                      <w:sz w:val="21"/>
                      <w:szCs w:val="21"/>
                    </w:rPr>
                    <w:t>、TVOC排放量大的企业入区。</w:t>
                  </w:r>
                </w:p>
              </w:tc>
              <w:tc>
                <w:tcPr>
                  <w:tcW w:w="2213" w:type="dxa"/>
                  <w:noWrap w:val="0"/>
                  <w:vAlign w:val="center"/>
                </w:tcPr>
                <w:p>
                  <w:pPr>
                    <w:pStyle w:val="8"/>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本项目属于C2924 泡沫塑料制造，产生的污染物经过相应措施</w:t>
                  </w:r>
                  <w:r>
                    <w:rPr>
                      <w:rFonts w:hint="eastAsia" w:eastAsia="宋体" w:cs="Times New Roman"/>
                      <w:color w:val="auto"/>
                      <w:sz w:val="21"/>
                      <w:szCs w:val="21"/>
                      <w:lang w:val="en-US" w:eastAsia="zh-CN"/>
                    </w:rPr>
                    <w:t>可</w:t>
                  </w:r>
                  <w:r>
                    <w:rPr>
                      <w:rFonts w:hint="eastAsia" w:ascii="Times New Roman" w:hAnsi="Times New Roman" w:eastAsia="宋体" w:cs="Times New Roman"/>
                      <w:color w:val="auto"/>
                      <w:sz w:val="21"/>
                      <w:szCs w:val="21"/>
                    </w:rPr>
                    <w:t>达标排放，本项目排污许可类别为登记管理，无需申请污染物排放总量，且本项目不涉及HCl、NOx的排放，TVOC排放量较小。</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符合</w:t>
                  </w:r>
                </w:p>
              </w:tc>
            </w:tr>
          </w:tbl>
          <w:p>
            <w:pPr>
              <w:tabs>
                <w:tab w:val="left" w:pos="918"/>
              </w:tabs>
              <w:spacing w:line="360" w:lineRule="auto"/>
              <w:ind w:firstLine="420"/>
              <w:rPr>
                <w:rFonts w:hint="eastAsia" w:ascii="Times New Roman" w:hAnsi="Times New Roman" w:eastAsia="宋体" w:cs="Times New Roman"/>
                <w:bCs/>
                <w:color w:val="auto"/>
                <w:sz w:val="21"/>
                <w:szCs w:val="21"/>
              </w:rPr>
            </w:pPr>
          </w:p>
          <w:p>
            <w:pPr>
              <w:tabs>
                <w:tab w:val="left" w:pos="918"/>
              </w:tabs>
              <w:spacing w:line="360" w:lineRule="auto"/>
              <w:ind w:firstLine="420"/>
              <w:rPr>
                <w:rFonts w:hint="eastAsia"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rPr>
              <w:t>综上所述，本项目符合</w:t>
            </w:r>
            <w:r>
              <w:rPr>
                <w:rFonts w:ascii="Times New Roman" w:hAnsi="Times New Roman" w:eastAsia="宋体" w:cs="Times New Roman"/>
                <w:bCs/>
                <w:color w:val="auto"/>
                <w:sz w:val="24"/>
                <w:szCs w:val="24"/>
              </w:rPr>
              <w:t>《如皋经济技术开发区发展规划（2018-2030）环境影响报告书</w:t>
            </w:r>
            <w:r>
              <w:rPr>
                <w:rFonts w:hint="eastAsia" w:ascii="Times New Roman" w:hAnsi="Times New Roman" w:eastAsia="宋体" w:cs="Times New Roman"/>
                <w:bCs/>
                <w:color w:val="auto"/>
                <w:sz w:val="24"/>
                <w:szCs w:val="24"/>
              </w:rPr>
              <w:t>》结论中相关内容。</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rPr>
              <w:t>）</w:t>
            </w:r>
            <w:r>
              <w:rPr>
                <w:rFonts w:ascii="Times New Roman" w:hAnsi="Times New Roman" w:eastAsia="宋体" w:cs="Times New Roman"/>
                <w:b/>
                <w:color w:val="auto"/>
                <w:sz w:val="24"/>
                <w:szCs w:val="24"/>
              </w:rPr>
              <w:t>与《&lt;如皋经济技术开发区发展规划（2018-2030）环境影响报告书&gt;的审查意见》相符性分析</w:t>
            </w:r>
          </w:p>
          <w:p>
            <w:pPr>
              <w:spacing w:line="360" w:lineRule="auto"/>
              <w:ind w:firstLine="42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对照《&lt;如皋经济技术开发区发展规划（2018-2030）环境影响报告书&gt;的审查意见》，</w:t>
            </w:r>
            <w:r>
              <w:rPr>
                <w:rFonts w:hint="eastAsia" w:ascii="Times New Roman" w:hAnsi="Times New Roman" w:eastAsia="宋体" w:cs="Times New Roman"/>
                <w:color w:val="auto"/>
                <w:sz w:val="24"/>
                <w:szCs w:val="24"/>
              </w:rPr>
              <w:t>本</w:t>
            </w:r>
            <w:r>
              <w:rPr>
                <w:rFonts w:ascii="Times New Roman" w:hAnsi="Times New Roman" w:eastAsia="宋体" w:cs="Times New Roman"/>
                <w:color w:val="auto"/>
                <w:sz w:val="24"/>
                <w:szCs w:val="24"/>
              </w:rPr>
              <w:t>项目符合相关要求。</w:t>
            </w:r>
            <w:r>
              <w:rPr>
                <w:rFonts w:hint="eastAsia" w:ascii="Times New Roman" w:hAnsi="Times New Roman" w:eastAsia="宋体" w:cs="Times New Roman"/>
                <w:color w:val="auto"/>
                <w:sz w:val="24"/>
                <w:szCs w:val="24"/>
              </w:rPr>
              <w:t>本</w:t>
            </w:r>
            <w:r>
              <w:rPr>
                <w:rFonts w:ascii="Times New Roman" w:hAnsi="Times New Roman" w:eastAsia="宋体" w:cs="Times New Roman"/>
                <w:color w:val="auto"/>
                <w:sz w:val="24"/>
                <w:szCs w:val="24"/>
              </w:rPr>
              <w:t>项目与规划环评审查意见相符性分析见表1-</w:t>
            </w:r>
            <w:r>
              <w:rPr>
                <w:rFonts w:hint="eastAsia" w:ascii="Times New Roman" w:hAnsi="Times New Roman" w:eastAsia="宋体" w:cs="Times New Roman"/>
                <w:color w:val="auto"/>
                <w:sz w:val="24"/>
                <w:szCs w:val="24"/>
              </w:rPr>
              <w:t>3</w:t>
            </w:r>
            <w:r>
              <w:rPr>
                <w:rFonts w:ascii="Times New Roman" w:hAnsi="Times New Roman" w:eastAsia="宋体" w:cs="Times New Roman"/>
                <w:color w:val="auto"/>
                <w:sz w:val="24"/>
                <w:szCs w:val="24"/>
              </w:rPr>
              <w:t>。</w:t>
            </w:r>
          </w:p>
          <w:p>
            <w:pPr>
              <w:spacing w:line="360" w:lineRule="auto"/>
              <w:ind w:firstLine="422"/>
              <w:jc w:val="center"/>
              <w:rPr>
                <w:rFonts w:ascii="Times New Roman" w:hAnsi="Times New Roman" w:eastAsia="宋体" w:cs="Times New Roman"/>
                <w:b/>
                <w:color w:val="auto"/>
                <w:sz w:val="24"/>
                <w:szCs w:val="24"/>
              </w:rPr>
            </w:pPr>
          </w:p>
          <w:p>
            <w:pPr>
              <w:spacing w:line="360" w:lineRule="auto"/>
              <w:ind w:firstLine="422"/>
              <w:jc w:val="center"/>
              <w:rPr>
                <w:rFonts w:ascii="Times New Roman" w:hAnsi="Times New Roman" w:eastAsia="宋体" w:cs="Times New Roman"/>
                <w:b/>
                <w:color w:val="auto"/>
                <w:sz w:val="24"/>
                <w:szCs w:val="24"/>
              </w:rPr>
            </w:pPr>
          </w:p>
          <w:p>
            <w:pPr>
              <w:spacing w:line="360" w:lineRule="auto"/>
              <w:ind w:firstLine="422"/>
              <w:jc w:val="center"/>
              <w:rPr>
                <w:rFonts w:ascii="Times New Roman" w:hAnsi="Times New Roman" w:eastAsia="宋体" w:cs="Times New Roman"/>
                <w:b/>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3</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bCs/>
                <w:color w:val="auto"/>
                <w:sz w:val="24"/>
                <w:szCs w:val="24"/>
              </w:rPr>
              <w:t>“规划环评审查意见”</w:t>
            </w:r>
            <w:r>
              <w:rPr>
                <w:rFonts w:ascii="Times New Roman" w:hAnsi="Times New Roman" w:eastAsia="宋体" w:cs="Times New Roman"/>
                <w:b/>
                <w:color w:val="auto"/>
                <w:sz w:val="24"/>
                <w:szCs w:val="24"/>
              </w:rPr>
              <w:t>相符性分析</w:t>
            </w:r>
          </w:p>
          <w:tbl>
            <w:tblPr>
              <w:tblStyle w:val="30"/>
              <w:tblW w:w="7877"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5"/>
              <w:gridCol w:w="4118"/>
              <w:gridCol w:w="2480"/>
              <w:gridCol w:w="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序号</w:t>
                  </w:r>
                </w:p>
              </w:tc>
              <w:tc>
                <w:tcPr>
                  <w:tcW w:w="4118" w:type="dxa"/>
                  <w:noWrap w:val="0"/>
                  <w:vAlign w:val="center"/>
                </w:tcPr>
                <w:p>
                  <w:pPr>
                    <w:spacing w:line="240" w:lineRule="auto"/>
                    <w:ind w:firstLine="0" w:firstLineChars="0"/>
                    <w:jc w:val="center"/>
                    <w:rPr>
                      <w:rFonts w:hint="eastAsia"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审查意见</w:t>
                  </w:r>
                </w:p>
              </w:tc>
              <w:tc>
                <w:tcPr>
                  <w:tcW w:w="2480"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rPr>
                    <w:t>本项目</w:t>
                  </w:r>
                  <w:r>
                    <w:rPr>
                      <w:rFonts w:ascii="Times New Roman" w:hAnsi="Times New Roman" w:eastAsia="宋体" w:cs="Times New Roman"/>
                      <w:b/>
                      <w:color w:val="auto"/>
                      <w:sz w:val="21"/>
                      <w:szCs w:val="21"/>
                    </w:rPr>
                    <w:t>内容</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1</w:t>
                  </w:r>
                </w:p>
              </w:tc>
              <w:tc>
                <w:tcPr>
                  <w:tcW w:w="4118" w:type="dxa"/>
                  <w:noWrap w:val="0"/>
                  <w:vAlign w:val="center"/>
                </w:tcPr>
                <w:p>
                  <w:pPr>
                    <w:spacing w:line="240" w:lineRule="auto"/>
                    <w:ind w:firstLine="0" w:firstLineChars="0"/>
                    <w:jc w:val="center"/>
                    <w:rPr>
                      <w:rFonts w:hint="eastAsia" w:ascii="Times New Roman" w:hAnsi="Times New Roman" w:eastAsia="宋体" w:cs="Times New Roman"/>
                      <w:color w:val="auto"/>
                      <w:kern w:val="0"/>
                      <w:sz w:val="21"/>
                      <w:szCs w:val="21"/>
                    </w:rPr>
                  </w:pPr>
                  <w:r>
                    <w:rPr>
                      <w:rFonts w:hint="eastAsia" w:ascii="Times New Roman" w:hAnsi="Times New Roman" w:eastAsia="宋体" w:cs="Times New Roman"/>
                      <w:color w:val="auto"/>
                      <w:kern w:val="0"/>
                      <w:sz w:val="21"/>
                      <w:szCs w:val="21"/>
                    </w:rPr>
                    <w:t>做好与省市国土空间规划和区域“三线一单”（生态保护红线、环境质量底线、资源利用上线和生态环境准入清单）的协调衔接。</w:t>
                  </w:r>
                </w:p>
              </w:tc>
              <w:tc>
                <w:tcPr>
                  <w:tcW w:w="2480"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本项目符合“三线一单”相关要求</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2</w:t>
                  </w:r>
                </w:p>
              </w:tc>
              <w:tc>
                <w:tcPr>
                  <w:tcW w:w="4118"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加快开发区产业转型升级和结构优化，现有不符合开发区产业发展定位、用地规划等要求的制革、印染等企业应逐步升级改造、搬迁、淘汰。</w:t>
                  </w:r>
                </w:p>
              </w:tc>
              <w:tc>
                <w:tcPr>
                  <w:tcW w:w="2480" w:type="dxa"/>
                  <w:noWrap w:val="0"/>
                  <w:vAlign w:val="center"/>
                </w:tcPr>
                <w:p>
                  <w:pPr>
                    <w:pStyle w:val="8"/>
                    <w:tabs>
                      <w:tab w:val="left" w:pos="1018"/>
                    </w:tabs>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本项目属于C2924 泡沫塑料制造，不属于制革、印染企业。</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3</w:t>
                  </w:r>
                </w:p>
              </w:tc>
              <w:tc>
                <w:tcPr>
                  <w:tcW w:w="4118"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在生态保护红线范围内，严禁不符合管控要求的各类开发建设活动。</w:t>
                  </w:r>
                </w:p>
              </w:tc>
              <w:tc>
                <w:tcPr>
                  <w:tcW w:w="2480"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本项目不涉及生态保护红线。</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4</w:t>
                  </w:r>
                </w:p>
              </w:tc>
              <w:tc>
                <w:tcPr>
                  <w:tcW w:w="4118"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严守环境质量底线，强化污染物排放总量管控。</w:t>
                  </w:r>
                </w:p>
              </w:tc>
              <w:tc>
                <w:tcPr>
                  <w:tcW w:w="2480"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本项目污染物排放符合相关标准。</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5"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5</w:t>
                  </w:r>
                </w:p>
              </w:tc>
              <w:tc>
                <w:tcPr>
                  <w:tcW w:w="4118"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严格入区项目生态环境准入，推动高质量发展。禁止新增印染等与主导产业不相关且污染物排放量大的项目入区；其中纺织服装产业园应明确禁止新增印染产能，现在印染企业逐步关停，优先鼓励依托周边既有项目和相关专业园区，解决开发区印染产业配套问题。</w:t>
                  </w:r>
                </w:p>
              </w:tc>
              <w:tc>
                <w:tcPr>
                  <w:tcW w:w="2480"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本项目属于</w:t>
                  </w:r>
                  <w:r>
                    <w:rPr>
                      <w:rFonts w:hint="eastAsia" w:eastAsia="宋体" w:cs="Times New Roman"/>
                      <w:color w:val="auto"/>
                      <w:sz w:val="21"/>
                      <w:szCs w:val="21"/>
                      <w:lang w:eastAsia="zh-CN"/>
                    </w:rPr>
                    <w:t>新建（迁建）项目</w:t>
                  </w:r>
                  <w:r>
                    <w:rPr>
                      <w:rFonts w:hint="eastAsia" w:ascii="Times New Roman" w:hAnsi="Times New Roman" w:eastAsia="宋体" w:cs="Times New Roman"/>
                      <w:color w:val="auto"/>
                      <w:sz w:val="21"/>
                      <w:szCs w:val="21"/>
                    </w:rPr>
                    <w:t>，位于智能装备产业园、属于C2924 泡沫塑料制造，不涉及印染行业以及印染产能，不属于入区项目生态环境准入负面清单。</w:t>
                  </w:r>
                </w:p>
              </w:tc>
              <w:tc>
                <w:tcPr>
                  <w:tcW w:w="834" w:type="dxa"/>
                  <w:noWrap w:val="0"/>
                  <w:vAlign w:val="center"/>
                </w:tcPr>
                <w:p>
                  <w:pPr>
                    <w:pStyle w:val="8"/>
                    <w:tabs>
                      <w:tab w:val="left" w:pos="1018"/>
                    </w:tabs>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符合</w:t>
                  </w:r>
                </w:p>
              </w:tc>
            </w:tr>
          </w:tbl>
          <w:p>
            <w:pPr>
              <w:autoSpaceDE w:val="0"/>
              <w:autoSpaceDN w:val="0"/>
              <w:adjustRightInd w:val="0"/>
              <w:snapToGrid w:val="0"/>
              <w:spacing w:line="360" w:lineRule="auto"/>
              <w:ind w:firstLine="420"/>
              <w:jc w:val="left"/>
              <w:rPr>
                <w:rFonts w:hint="eastAsia" w:ascii="Times New Roman" w:hAnsi="Times New Roman" w:eastAsia="宋体" w:cs="Times New Roman"/>
                <w:color w:val="auto"/>
                <w:kern w:val="0"/>
                <w:sz w:val="21"/>
                <w:szCs w:val="21"/>
              </w:rPr>
            </w:pPr>
          </w:p>
          <w:p>
            <w:pPr>
              <w:autoSpaceDE w:val="0"/>
              <w:autoSpaceDN w:val="0"/>
              <w:adjustRightInd w:val="0"/>
              <w:snapToGrid w:val="0"/>
              <w:spacing w:line="360" w:lineRule="auto"/>
              <w:ind w:firstLine="42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rPr>
              <w:t>综上所述，本项目符合</w:t>
            </w:r>
            <w:r>
              <w:rPr>
                <w:rFonts w:ascii="Times New Roman" w:hAnsi="Times New Roman" w:eastAsia="宋体" w:cs="Times New Roman"/>
                <w:color w:val="auto"/>
                <w:kern w:val="0"/>
                <w:sz w:val="24"/>
                <w:szCs w:val="24"/>
              </w:rPr>
              <w:t>如皋经济技术开发区发展规划（2018-2030）</w:t>
            </w:r>
            <w:r>
              <w:rPr>
                <w:rFonts w:hint="eastAsia" w:ascii="Times New Roman" w:hAnsi="Times New Roman" w:eastAsia="宋体" w:cs="Times New Roman"/>
                <w:color w:val="auto"/>
                <w:sz w:val="24"/>
                <w:szCs w:val="24"/>
              </w:rPr>
              <w:t>。</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）与如皋经济技术开发区生态环境准入清单相符性分析</w:t>
            </w:r>
          </w:p>
          <w:p>
            <w:pPr>
              <w:adjustRightInd w:val="0"/>
              <w:snapToGrid w:val="0"/>
              <w:spacing w:line="360" w:lineRule="auto"/>
              <w:ind w:firstLine="420"/>
              <w:rPr>
                <w:rFonts w:ascii="Times New Roman" w:hAnsi="Times New Roman" w:eastAsia="宋体" w:cs="Times New Roman"/>
                <w:bCs/>
                <w:color w:val="auto"/>
                <w:kern w:val="0"/>
                <w:sz w:val="24"/>
                <w:szCs w:val="24"/>
                <w:lang w:bidi="ar"/>
              </w:rPr>
            </w:pPr>
            <w:r>
              <w:rPr>
                <w:rFonts w:hint="eastAsia" w:ascii="Times New Roman" w:hAnsi="Times New Roman" w:eastAsia="宋体" w:cs="Times New Roman"/>
                <w:bCs/>
                <w:color w:val="auto"/>
                <w:sz w:val="24"/>
                <w:szCs w:val="24"/>
              </w:rPr>
              <w:t>对照《如皋经济技术开发区发展规划（2018-2030）环境影响报告书》中环境准入清单，本项目符合相关要求，本项目与规划环评准入清单相符性分析见表1-4。</w:t>
            </w:r>
          </w:p>
          <w:p>
            <w:pPr>
              <w:adjustRightInd w:val="0"/>
              <w:spacing w:line="360" w:lineRule="auto"/>
              <w:ind w:firstLine="0" w:firstLineChars="0"/>
              <w:jc w:val="center"/>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表</w:t>
            </w:r>
            <w:r>
              <w:rPr>
                <w:rFonts w:hint="eastAsia" w:ascii="Times New Roman" w:hAnsi="Times New Roman" w:eastAsia="宋体" w:cs="Times New Roman"/>
                <w:b/>
                <w:color w:val="auto"/>
                <w:sz w:val="24"/>
                <w:szCs w:val="24"/>
              </w:rPr>
              <w:t xml:space="preserve">1-4 </w:t>
            </w:r>
            <w:r>
              <w:rPr>
                <w:rFonts w:ascii="Times New Roman" w:hAnsi="Times New Roman" w:eastAsia="宋体" w:cs="Times New Roman"/>
                <w:b/>
                <w:color w:val="auto"/>
                <w:sz w:val="24"/>
                <w:szCs w:val="24"/>
              </w:rPr>
              <w:t xml:space="preserve"> </w:t>
            </w:r>
            <w:r>
              <w:rPr>
                <w:rFonts w:hint="eastAsia" w:ascii="Times New Roman" w:hAnsi="Times New Roman" w:eastAsia="宋体" w:cs="Times New Roman"/>
                <w:b/>
                <w:color w:val="auto"/>
                <w:sz w:val="24"/>
                <w:szCs w:val="24"/>
              </w:rPr>
              <w:t>园区</w:t>
            </w:r>
            <w:r>
              <w:rPr>
                <w:rFonts w:ascii="Times New Roman" w:hAnsi="Times New Roman" w:eastAsia="宋体" w:cs="Times New Roman"/>
                <w:b/>
                <w:color w:val="auto"/>
                <w:sz w:val="24"/>
                <w:szCs w:val="24"/>
              </w:rPr>
              <w:t>生态环境准入清单</w:t>
            </w:r>
          </w:p>
          <w:tbl>
            <w:tblPr>
              <w:tblStyle w:val="30"/>
              <w:tblW w:w="78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277"/>
              <w:gridCol w:w="4419"/>
              <w:gridCol w:w="17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noWrap w:val="0"/>
                  <w:vAlign w:val="center"/>
                </w:tcPr>
                <w:p>
                  <w:pPr>
                    <w:widowControl/>
                    <w:adjustRightInd w:val="0"/>
                    <w:snapToGrid w:val="0"/>
                    <w:spacing w:line="240" w:lineRule="auto"/>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清单类型</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b/>
                      <w:bCs/>
                      <w:color w:val="auto"/>
                      <w:sz w:val="21"/>
                      <w:szCs w:val="21"/>
                    </w:rPr>
                  </w:pPr>
                  <w:r>
                    <w:rPr>
                      <w:rFonts w:ascii="Times New Roman" w:hAnsi="Times New Roman" w:eastAsia="宋体" w:cs="Times New Roman"/>
                      <w:b/>
                      <w:bCs/>
                      <w:color w:val="auto"/>
                      <w:sz w:val="21"/>
                      <w:szCs w:val="21"/>
                    </w:rPr>
                    <w:t>要求</w:t>
                  </w:r>
                </w:p>
              </w:tc>
              <w:tc>
                <w:tcPr>
                  <w:tcW w:w="1752"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restart"/>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行业准入</w:t>
                  </w:r>
                </w:p>
              </w:tc>
              <w:tc>
                <w:tcPr>
                  <w:tcW w:w="1277"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节能与新能源汽车及氢能产业</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禁止建设VOCs排放量超过总量管控指标的项目，除金属表面处理园外，禁止建设含可剥离的电镀工艺的项目</w:t>
                  </w:r>
                </w:p>
              </w:tc>
              <w:tc>
                <w:tcPr>
                  <w:tcW w:w="1752" w:type="dxa"/>
                  <w:vMerge w:val="restart"/>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本项目为</w:t>
                  </w:r>
                  <w:r>
                    <w:rPr>
                      <w:rFonts w:hint="eastAsia" w:cs="Times New Roman"/>
                      <w:color w:val="auto"/>
                      <w:szCs w:val="21"/>
                      <w:lang w:val="en-US" w:eastAsia="zh-CN"/>
                    </w:rPr>
                    <w:t>C2924 泡沫塑料制造</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本项目位于</w:t>
                  </w:r>
                  <w:r>
                    <w:rPr>
                      <w:rFonts w:hint="eastAsia" w:ascii="Times New Roman" w:hAnsi="Times New Roman" w:eastAsia="宋体" w:cs="Times New Roman"/>
                      <w:color w:val="auto"/>
                      <w:sz w:val="21"/>
                      <w:szCs w:val="21"/>
                    </w:rPr>
                    <w:t>智能装备产业园</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不涉及一类污染物，本项目排污许可类别为登记管理，无需申请污染物排放总量，不涉及印染行业以及印染产能，不属于禁止引入项目。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1277"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智能装备产业</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禁止建设VOCs排放量超过总量管控指标的项目；含一类污染物的项目</w:t>
                  </w:r>
                </w:p>
              </w:tc>
              <w:tc>
                <w:tcPr>
                  <w:tcW w:w="1752"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1277"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纺织服装产业</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禁止新增印染项目、现有印染企业逐步关停、搬迁；禁止使用含高VOCs含量的助剂、溶剂的项目</w:t>
                  </w:r>
                </w:p>
              </w:tc>
              <w:tc>
                <w:tcPr>
                  <w:tcW w:w="1752"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1277"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长寿生物科技产业</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禁止含化工工艺的项目、禁止新建有化学反应的项目以及牛奶及乳制品项目、禁止建设可能对食品安全产生不良影响的项目以及其他对周边环境有特定要求的项目</w:t>
                  </w:r>
                </w:p>
              </w:tc>
              <w:tc>
                <w:tcPr>
                  <w:tcW w:w="1752"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1277"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现代物流园</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禁止危险化学品储运</w:t>
                  </w:r>
                </w:p>
              </w:tc>
              <w:tc>
                <w:tcPr>
                  <w:tcW w:w="1752"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426"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c>
                <w:tcPr>
                  <w:tcW w:w="1277"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辅助产业</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禁止建设单位面积污染物排放高于主导行业的项目，禁止《有毒有害大气污染物名录》（2018）中气体及排放恶臭污染物（氨、硫化氢、苯乙烯）的项目；禁止建设生产和使用高VOCs含量的溶剂型涂料、油墨、胶粘剂等项目</w:t>
                  </w:r>
                </w:p>
              </w:tc>
              <w:tc>
                <w:tcPr>
                  <w:tcW w:w="1752" w:type="dxa"/>
                  <w:vMerge w:val="continue"/>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空间布局约束</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1、严格执行《江苏省长江经济带发展负面清单实施细则》《关于促进长三角地区经济社会与生态环境保护协调发展的指导意见》、水十条、土十条、《</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263</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专项行动实施方案》《江苏省通榆河水污染防治条例》等文件要求；</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2、禁止铁路、公路及主要城市道路防护绿带、水系防护绿带、高压走廊防护绿地、工业区与居住区之间的防护绿带、市政设施周围防护绿带内的开发建设；</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3、在紧邻镇南集中居住区的东侧和南侧工业用地内优先布置企业办公楼以及成品仓库等无污染车间</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并且镇南集中居住区上风向东侧和南侧建设100米生态防护绿地（含路），北侧控制50米生态防护绿地（含路）；近期鹿门西集中居住区周边工业用地暂缓开发，远期鹿门西集中居住区拆迁，远期在居住区拆迁完成前进行开发建设时居住区东侧、南侧须建设100米生态防护绿地（含路），西侧和北侧建设50米生态防护绿地（含路）且周边工业用地内优先布置企业办公楼以及成品仓库等无污染车间；鹿门东集中居住区与东侧现有居住点形成集中居住片区，建议南侧、西侧和北侧建设50米生态防护绿地（含路）且周边工业用地内优先布置企业办公楼以及成品仓库等无污染车间；</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4、禁止在如海运河如城饮用水水源保护区内进行不符合主体功能定位的各类开发活动；禁止在如海运河清水通道维护区内进行不符合生态空间区域规划管控要求的开发建设；</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5、现状属于《如皋市土地利用总体规划（2006-2020）》中的永久基本农田，在新一轮国土空间规划批复之前，禁止占用；</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6、除表面处理园38.54ha、文革河以北、邓园路以西、跃龙路以南、龙池路以东地块40.29ha外，其他工业用地内禁止电镀或引进含不可剥离电镀工序的企业。</w:t>
                  </w:r>
                </w:p>
              </w:tc>
              <w:tc>
                <w:tcPr>
                  <w:tcW w:w="1752"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本项目利用现有厂房，不新增用地，用地性质为工业用地，不涉及基本农田，且距离如</w:t>
                  </w:r>
                  <w:r>
                    <w:rPr>
                      <w:rFonts w:hint="eastAsia" w:ascii="Times New Roman" w:hAnsi="Times New Roman" w:eastAsia="宋体" w:cs="Times New Roman"/>
                      <w:color w:val="auto"/>
                      <w:sz w:val="21"/>
                      <w:szCs w:val="21"/>
                      <w:lang w:val="en-US" w:eastAsia="zh-CN"/>
                    </w:rPr>
                    <w:t>泰</w:t>
                  </w:r>
                  <w:r>
                    <w:rPr>
                      <w:rFonts w:hint="eastAsia" w:ascii="Times New Roman" w:hAnsi="Times New Roman" w:eastAsia="宋体" w:cs="Times New Roman"/>
                      <w:color w:val="auto"/>
                      <w:sz w:val="21"/>
                      <w:szCs w:val="21"/>
                    </w:rPr>
                    <w:t>运河(如皋市)清水通道维护区约</w:t>
                  </w:r>
                  <w:r>
                    <w:rPr>
                      <w:rFonts w:hint="eastAsia" w:cs="Times New Roman"/>
                      <w:color w:val="auto"/>
                      <w:sz w:val="21"/>
                      <w:szCs w:val="21"/>
                      <w:lang w:val="en-US" w:eastAsia="zh-CN"/>
                    </w:rPr>
                    <w:t>1950</w:t>
                  </w:r>
                  <w:r>
                    <w:rPr>
                      <w:rFonts w:hint="eastAsia" w:ascii="Times New Roman" w:hAnsi="Times New Roman" w:eastAsia="宋体" w:cs="Times New Roman"/>
                      <w:color w:val="auto"/>
                      <w:sz w:val="21"/>
                      <w:szCs w:val="21"/>
                    </w:rPr>
                    <w:t>m，不在其生态空间管控范围内。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污染物排放管控</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1、经开区近期外排量COD529.26吨/年、NH</w:t>
                  </w:r>
                  <w:r>
                    <w:rPr>
                      <w:rFonts w:ascii="Times New Roman" w:hAnsi="Times New Roman" w:eastAsia="宋体" w:cs="Times New Roman"/>
                      <w:color w:val="auto"/>
                      <w:sz w:val="21"/>
                      <w:szCs w:val="21"/>
                      <w:vertAlign w:val="subscript"/>
                    </w:rPr>
                    <w:t>3</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N</w:t>
                  </w:r>
                  <w:r>
                    <w:rPr>
                      <w:rFonts w:ascii="Times New Roman" w:hAnsi="Times New Roman" w:eastAsia="宋体" w:cs="Times New Roman"/>
                      <w:color w:val="auto"/>
                      <w:sz w:val="21"/>
                      <w:szCs w:val="21"/>
                    </w:rPr>
                    <w:t>26.98吨/年、总氮185.32吨/年、总磷5.71吨/年；远期外排量COD541.12吨/年、NH</w:t>
                  </w:r>
                  <w:r>
                    <w:rPr>
                      <w:rFonts w:ascii="Times New Roman" w:hAnsi="Times New Roman" w:eastAsia="宋体" w:cs="Times New Roman"/>
                      <w:color w:val="auto"/>
                      <w:sz w:val="21"/>
                      <w:szCs w:val="21"/>
                      <w:vertAlign w:val="subscript"/>
                    </w:rPr>
                    <w:t>3</w:t>
                  </w:r>
                  <w:r>
                    <w:rPr>
                      <w:rFonts w:ascii="Times New Roman" w:hAnsi="Times New Roman" w:eastAsia="宋体" w:cs="Times New Roman"/>
                      <w:color w:val="auto"/>
                      <w:sz w:val="21"/>
                      <w:szCs w:val="21"/>
                    </w:rPr>
                    <w:t>-N27.06吨/年、总氮181.91吨/年、总磷5.41吨/年；经开区重金属近期总铬0.479吨/年、总镉0.01吨/年、总铅0.096吨/年、汞0.001吨/年；远期总铬0.462吨/年、总镉0.009吨/年、总铅0.092吨/年、总汞0.0009吨/年；</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2、经开区SO</w:t>
                  </w:r>
                  <w:r>
                    <w:rPr>
                      <w:rFonts w:ascii="Times New Roman" w:hAnsi="Times New Roman" w:eastAsia="宋体" w:cs="Times New Roman"/>
                      <w:color w:val="auto"/>
                      <w:sz w:val="21"/>
                      <w:szCs w:val="21"/>
                      <w:vertAlign w:val="subscript"/>
                    </w:rPr>
                    <w:t>2</w:t>
                  </w:r>
                  <w:r>
                    <w:rPr>
                      <w:rFonts w:ascii="Times New Roman" w:hAnsi="Times New Roman" w:eastAsia="宋体" w:cs="Times New Roman"/>
                      <w:color w:val="auto"/>
                      <w:sz w:val="21"/>
                      <w:szCs w:val="21"/>
                    </w:rPr>
                    <w:t>总量近期70.77吨/年、远期82.95吨/年；NOx总量近期91.36吨/年、远期98.84吨/年；烟粉尘近期72.2吨/年、远期113.05吨/年；VOCs近期235.34吨/年；远期272.06吨/年；</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3、污水不能接管的项目、污水管网尚未敷设到位地块的开发建设。</w:t>
                  </w:r>
                </w:p>
              </w:tc>
              <w:tc>
                <w:tcPr>
                  <w:tcW w:w="1752"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本项目排污许可类别为登记管理，无需申请污染物排放总量。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环境风险防控</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1、禁止硫酸、盐酸、硝酸、甲苯、二甲苯等</w:t>
                  </w:r>
                  <w:r>
                    <w:rPr>
                      <w:rFonts w:hint="eastAsia" w:ascii="Times New Roman" w:hAnsi="Times New Roman" w:eastAsia="宋体" w:cs="Times New Roman"/>
                      <w:color w:val="auto"/>
                      <w:sz w:val="21"/>
                      <w:szCs w:val="21"/>
                    </w:rPr>
                    <w:t>泄漏</w:t>
                  </w:r>
                  <w:r>
                    <w:rPr>
                      <w:rFonts w:ascii="Times New Roman" w:hAnsi="Times New Roman" w:eastAsia="宋体" w:cs="Times New Roman"/>
                      <w:color w:val="auto"/>
                      <w:sz w:val="21"/>
                      <w:szCs w:val="21"/>
                    </w:rPr>
                    <w:t>环境风险值大于10</w:t>
                  </w:r>
                  <w:r>
                    <w:rPr>
                      <w:rFonts w:ascii="Times New Roman" w:hAnsi="Times New Roman" w:eastAsia="宋体" w:cs="Times New Roman"/>
                      <w:color w:val="auto"/>
                      <w:sz w:val="21"/>
                      <w:szCs w:val="21"/>
                      <w:vertAlign w:val="superscript"/>
                    </w:rPr>
                    <w:t>-6</w:t>
                  </w:r>
                  <w:r>
                    <w:rPr>
                      <w:rFonts w:ascii="Times New Roman" w:hAnsi="Times New Roman" w:eastAsia="宋体" w:cs="Times New Roman"/>
                      <w:color w:val="auto"/>
                      <w:sz w:val="21"/>
                      <w:szCs w:val="21"/>
                    </w:rPr>
                    <w:t>的项目；</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2、禁止风险情况下，最大影响浓度大于污染物半致死浓度的项目；</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3、禁止防渗防漏措施不到位易造成地下水、土壤环境污染的项目。</w:t>
                  </w:r>
                </w:p>
              </w:tc>
              <w:tc>
                <w:tcPr>
                  <w:tcW w:w="1752" w:type="dxa"/>
                  <w:noWrap w:val="0"/>
                  <w:vAlign w:val="center"/>
                </w:tcPr>
                <w:p>
                  <w:pPr>
                    <w:pStyle w:val="78"/>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jc w:val="center"/>
                    <w:textAlignment w:val="auto"/>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本项目不涉及</w:t>
                  </w:r>
                  <w:r>
                    <w:rPr>
                      <w:rFonts w:ascii="Times New Roman" w:hAnsi="Times New Roman" w:eastAsia="宋体" w:cs="Times New Roman"/>
                      <w:color w:val="auto"/>
                      <w:sz w:val="21"/>
                      <w:szCs w:val="21"/>
                    </w:rPr>
                    <w:t>硫酸、盐酸、硝酸、甲苯、二甲苯</w:t>
                  </w:r>
                  <w:r>
                    <w:rPr>
                      <w:rFonts w:hint="eastAsia" w:ascii="Times New Roman" w:hAnsi="Times New Roman" w:eastAsia="宋体" w:cs="Times New Roman"/>
                      <w:color w:val="auto"/>
                      <w:sz w:val="21"/>
                      <w:szCs w:val="21"/>
                    </w:rPr>
                    <w:t>等环境风险物质</w:t>
                  </w:r>
                  <w:r>
                    <w:rPr>
                      <w:rFonts w:hint="eastAsia" w:ascii="Times New Roman" w:hAnsi="Times New Roman" w:eastAsia="宋体" w:cs="Times New Roman"/>
                      <w:color w:val="auto"/>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资源开发效率要求</w:t>
                  </w:r>
                </w:p>
              </w:tc>
              <w:tc>
                <w:tcPr>
                  <w:tcW w:w="4419" w:type="dxa"/>
                  <w:noWrap w:val="0"/>
                  <w:vAlign w:val="center"/>
                </w:tcPr>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1、禁止建设占用永久基本农田的项目；</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2、禁止建设单位工业用地工业增加值近期≤18.69亿元/km</w:t>
                  </w:r>
                  <w:r>
                    <w:rPr>
                      <w:rFonts w:ascii="Times New Roman" w:hAnsi="Times New Roman" w:eastAsia="宋体" w:cs="Times New Roman"/>
                      <w:color w:val="auto"/>
                      <w:sz w:val="21"/>
                      <w:szCs w:val="21"/>
                      <w:vertAlign w:val="superscript"/>
                    </w:rPr>
                    <w:t>2</w:t>
                  </w:r>
                  <w:r>
                    <w:rPr>
                      <w:rFonts w:ascii="Times New Roman" w:hAnsi="Times New Roman" w:eastAsia="宋体" w:cs="Times New Roman"/>
                      <w:color w:val="auto"/>
                      <w:sz w:val="21"/>
                      <w:szCs w:val="21"/>
                    </w:rPr>
                    <w:t>、远期≤23.44亿元/km</w:t>
                  </w:r>
                  <w:r>
                    <w:rPr>
                      <w:rFonts w:ascii="Times New Roman" w:hAnsi="Times New Roman" w:eastAsia="宋体" w:cs="Times New Roman"/>
                      <w:color w:val="auto"/>
                      <w:sz w:val="21"/>
                      <w:szCs w:val="21"/>
                      <w:vertAlign w:val="superscript"/>
                    </w:rPr>
                    <w:t>2</w:t>
                  </w:r>
                  <w:r>
                    <w:rPr>
                      <w:rFonts w:ascii="Times New Roman" w:hAnsi="Times New Roman" w:eastAsia="宋体" w:cs="Times New Roman"/>
                      <w:color w:val="auto"/>
                      <w:sz w:val="21"/>
                      <w:szCs w:val="21"/>
                    </w:rPr>
                    <w:t>、单位工业增加值新鲜水耗近期≥3.89m</w:t>
                  </w:r>
                  <w:r>
                    <w:rPr>
                      <w:rFonts w:ascii="Times New Roman" w:hAnsi="Times New Roman" w:eastAsia="宋体" w:cs="Times New Roman"/>
                      <w:color w:val="auto"/>
                      <w:sz w:val="21"/>
                      <w:szCs w:val="21"/>
                      <w:vertAlign w:val="superscript"/>
                    </w:rPr>
                    <w:t>3</w:t>
                  </w:r>
                  <w:r>
                    <w:rPr>
                      <w:rFonts w:ascii="Times New Roman" w:hAnsi="Times New Roman" w:eastAsia="宋体" w:cs="Times New Roman"/>
                      <w:color w:val="auto"/>
                      <w:sz w:val="21"/>
                      <w:szCs w:val="21"/>
                    </w:rPr>
                    <w:t>/万元、远期≥2.75m</w:t>
                  </w:r>
                  <w:r>
                    <w:rPr>
                      <w:rFonts w:ascii="Times New Roman" w:hAnsi="Times New Roman" w:eastAsia="宋体" w:cs="Times New Roman"/>
                      <w:color w:val="auto"/>
                      <w:sz w:val="21"/>
                      <w:szCs w:val="21"/>
                      <w:vertAlign w:val="superscript"/>
                    </w:rPr>
                    <w:t>3</w:t>
                  </w:r>
                  <w:r>
                    <w:rPr>
                      <w:rFonts w:ascii="Times New Roman" w:hAnsi="Times New Roman" w:eastAsia="宋体" w:cs="Times New Roman"/>
                      <w:color w:val="auto"/>
                      <w:sz w:val="21"/>
                      <w:szCs w:val="21"/>
                    </w:rPr>
                    <w:t>/万元、单位工业增加值综合能耗近期≥0.161吨标煤/万元、远期≥0.111吨标煤/万元、工业用水重复利用率近期≤86.25%、远期≤88.5%的项目；</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3、建设用地总量近期不超过3390.07ha，远期不超过4310.77ha；工业用水近期不超过916万t/a、远期不超过1098t/a；工业用标煤近期不超过38.25万t/a、远期不超过44.16万t/a；</w:t>
                  </w:r>
                </w:p>
                <w:p>
                  <w:pPr>
                    <w:widowControl/>
                    <w:adjustRightInd w:val="0"/>
                    <w:snapToGrid w:val="0"/>
                    <w:spacing w:line="240" w:lineRule="auto"/>
                    <w:ind w:firstLine="0" w:firstLineChars="0"/>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4、禁止需自建燃煤设施的项目。</w:t>
                  </w:r>
                </w:p>
              </w:tc>
              <w:tc>
                <w:tcPr>
                  <w:tcW w:w="1752" w:type="dxa"/>
                  <w:noWrap w:val="0"/>
                  <w:vAlign w:val="center"/>
                </w:tcPr>
                <w:p>
                  <w:pPr>
                    <w:widowControl/>
                    <w:adjustRightInd w:val="0"/>
                    <w:snapToGrid w:val="0"/>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本项目无燃煤设施，且用地性质为工业用地，不涉及基本农田。</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eastAsia" w:ascii="Times New Roman" w:hAnsi="Times New Roman" w:eastAsia="宋体" w:cs="Times New Roman"/>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777" w:type="dxa"/>
            <w:shd w:val="clear" w:color="auto" w:fill="auto"/>
            <w:vAlign w:val="center"/>
          </w:tcPr>
          <w:p>
            <w:pPr>
              <w:spacing w:line="360" w:lineRule="auto"/>
              <w:ind w:firstLine="0" w:firstLineChars="0"/>
              <w:jc w:val="center"/>
              <w:rPr>
                <w:rFonts w:ascii="Times New Roman" w:hAnsi="Times New Roman" w:eastAsia="宋体" w:cs="Times New Roman"/>
                <w:kern w:val="0"/>
                <w:sz w:val="21"/>
                <w:szCs w:val="21"/>
                <w:lang w:val="en-US" w:eastAsia="zh-CN" w:bidi="ar-SA"/>
              </w:rPr>
            </w:pPr>
            <w:r>
              <w:rPr>
                <w:rFonts w:hint="eastAsia" w:ascii="Times New Roman" w:hAnsi="Times New Roman" w:eastAsia="宋体" w:cs="Times New Roman"/>
                <w:b/>
                <w:bCs w:val="0"/>
                <w:color w:val="auto"/>
                <w:sz w:val="24"/>
                <w:szCs w:val="24"/>
              </w:rPr>
              <w:t>其他符合性分析</w:t>
            </w:r>
          </w:p>
        </w:tc>
        <w:tc>
          <w:tcPr>
            <w:tcW w:w="8093" w:type="dxa"/>
            <w:gridSpan w:val="4"/>
            <w:shd w:val="clear" w:color="auto" w:fill="auto"/>
            <w:vAlign w:val="center"/>
          </w:tcPr>
          <w:p>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（一）</w:t>
            </w:r>
            <w:r>
              <w:rPr>
                <w:rFonts w:hint="eastAsia" w:ascii="Times New Roman" w:hAnsi="Times New Roman" w:eastAsia="宋体" w:cs="Times New Roman"/>
                <w:b/>
                <w:bCs/>
                <w:color w:val="auto"/>
                <w:sz w:val="24"/>
                <w:szCs w:val="24"/>
              </w:rPr>
              <w:t>产业政策相符性分析</w:t>
            </w:r>
          </w:p>
          <w:p>
            <w:pPr>
              <w:spacing w:line="360" w:lineRule="auto"/>
              <w:ind w:firstLine="42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本项目为</w:t>
            </w:r>
            <w:r>
              <w:rPr>
                <w:rFonts w:hint="eastAsia" w:cs="Times New Roman"/>
                <w:color w:val="auto"/>
                <w:sz w:val="24"/>
                <w:szCs w:val="24"/>
                <w:lang w:val="en-US" w:eastAsia="zh-CN"/>
              </w:rPr>
              <w:t>C2924 泡沫塑料制造</w:t>
            </w:r>
            <w:r>
              <w:rPr>
                <w:rFonts w:hint="eastAsia" w:ascii="Times New Roman" w:hAnsi="Times New Roman" w:eastAsia="宋体" w:cs="Times New Roman"/>
                <w:color w:val="auto"/>
                <w:sz w:val="24"/>
                <w:szCs w:val="24"/>
              </w:rPr>
              <w:t>，对照《产业结构调整指导目录（2024年本）》</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不属于其中的限制类</w:t>
            </w:r>
            <w:r>
              <w:rPr>
                <w:rFonts w:hint="eastAsia" w:ascii="Times New Roman" w:hAnsi="Times New Roman" w:eastAsia="宋体" w:cs="Times New Roman"/>
                <w:color w:val="auto"/>
                <w:sz w:val="24"/>
                <w:szCs w:val="24"/>
                <w:lang w:eastAsia="zh-CN"/>
              </w:rPr>
              <w:t>或淘汰类</w:t>
            </w:r>
            <w:r>
              <w:rPr>
                <w:rFonts w:hint="eastAsia" w:ascii="Times New Roman" w:hAnsi="Times New Roman" w:eastAsia="宋体" w:cs="Times New Roman"/>
                <w:color w:val="auto"/>
                <w:sz w:val="24"/>
                <w:szCs w:val="24"/>
              </w:rPr>
              <w:t>，为允许类</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rPr>
              <w:t>对照《环境保护综合名录（2021年版）》本项目不在</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高污染、高环境风险</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产品名录内。</w:t>
            </w:r>
            <w:r>
              <w:rPr>
                <w:rFonts w:hint="eastAsia" w:ascii="Times New Roman" w:hAnsi="Times New Roman" w:eastAsia="宋体" w:cs="Times New Roman"/>
                <w:color w:val="auto"/>
                <w:sz w:val="24"/>
                <w:szCs w:val="24"/>
              </w:rPr>
              <w:t>对照关于印发《江苏省“两高”项目管理目录（202</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rPr>
              <w:t>年版）》的通知（苏发改规发〔2025〕4号），</w:t>
            </w:r>
            <w:r>
              <w:rPr>
                <w:rFonts w:ascii="Times New Roman" w:hAnsi="Times New Roman" w:eastAsia="宋体" w:cs="Times New Roman"/>
                <w:color w:val="auto"/>
                <w:sz w:val="24"/>
                <w:szCs w:val="24"/>
              </w:rPr>
              <w:t>本项目不在“</w:t>
            </w:r>
            <w:r>
              <w:rPr>
                <w:rFonts w:hint="eastAsia" w:ascii="Times New Roman" w:hAnsi="Times New Roman" w:eastAsia="宋体" w:cs="Times New Roman"/>
                <w:color w:val="auto"/>
                <w:sz w:val="24"/>
                <w:szCs w:val="24"/>
              </w:rPr>
              <w:t>高能耗、高排放</w:t>
            </w:r>
            <w:r>
              <w:rPr>
                <w:rFonts w:ascii="Times New Roman" w:hAnsi="Times New Roman" w:eastAsia="宋体" w:cs="Times New Roman"/>
                <w:color w:val="auto"/>
                <w:sz w:val="24"/>
                <w:szCs w:val="24"/>
              </w:rPr>
              <w:t>”产品名录内；</w:t>
            </w:r>
            <w:r>
              <w:rPr>
                <w:rFonts w:hint="eastAsia" w:ascii="Times New Roman" w:hAnsi="Times New Roman" w:eastAsia="宋体" w:cs="Times New Roman"/>
                <w:color w:val="auto"/>
                <w:sz w:val="24"/>
                <w:szCs w:val="24"/>
                <w:lang w:eastAsia="zh-CN"/>
              </w:rPr>
              <w:t>对照《市场准入负面清单》（2025年版）</w:t>
            </w:r>
            <w:r>
              <w:rPr>
                <w:rFonts w:hint="eastAsia" w:ascii="Times New Roman" w:hAnsi="Times New Roman" w:eastAsia="宋体" w:cs="Times New Roman"/>
                <w:color w:val="auto"/>
                <w:sz w:val="24"/>
                <w:szCs w:val="24"/>
                <w:lang w:val="en-US" w:eastAsia="zh-CN"/>
              </w:rPr>
              <w:t>，本项目不属于</w:t>
            </w:r>
            <w:r>
              <w:rPr>
                <w:rFonts w:hint="eastAsia" w:ascii="Times New Roman" w:hAnsi="Times New Roman" w:eastAsia="宋体" w:cs="Times New Roman"/>
                <w:color w:val="auto"/>
                <w:sz w:val="24"/>
                <w:szCs w:val="24"/>
              </w:rPr>
              <w:t>其中的限制类</w:t>
            </w:r>
            <w:r>
              <w:rPr>
                <w:rFonts w:hint="eastAsia" w:ascii="Times New Roman" w:hAnsi="Times New Roman" w:eastAsia="宋体" w:cs="Times New Roman"/>
                <w:color w:val="auto"/>
                <w:sz w:val="24"/>
                <w:szCs w:val="24"/>
                <w:lang w:eastAsia="zh-CN"/>
              </w:rPr>
              <w:t>、淘汰类或禁止类</w:t>
            </w:r>
            <w:r>
              <w:rPr>
                <w:rFonts w:hint="eastAsia" w:ascii="Times New Roman" w:hAnsi="Times New Roman" w:eastAsia="宋体" w:cs="Times New Roman"/>
                <w:color w:val="auto"/>
                <w:sz w:val="24"/>
                <w:szCs w:val="24"/>
              </w:rPr>
              <w:t>，为允许类</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rPr>
              <w:t>因此，本项目的建设符合国家有关法律、法规和政策规定。</w:t>
            </w:r>
          </w:p>
          <w:p>
            <w:pPr>
              <w:spacing w:line="360" w:lineRule="auto"/>
              <w:ind w:firstLine="422"/>
              <w:jc w:val="left"/>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（二）</w:t>
            </w:r>
            <w:r>
              <w:rPr>
                <w:rFonts w:hint="eastAsia" w:ascii="Times New Roman" w:hAnsi="Times New Roman" w:eastAsia="宋体" w:cs="Times New Roman"/>
                <w:b/>
                <w:bCs/>
                <w:color w:val="auto"/>
                <w:sz w:val="24"/>
                <w:szCs w:val="24"/>
              </w:rPr>
              <w:t>选址及用地规划相符性分析</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位于如皋市城北街道陆桥村9组，位于如皋经济技术开发区内，根据2021年如皋市自然资源和规划局发布的《如皋经济技术开发区控制性详细规划》中的土地利用规划图，本项目所在地用地性质规划为工业用地，选址位于乡村发展区，不涉及基本农田及生态红线。项目用地符合如皋市城北街道土地利用总体规划和城镇规划，符合《如皋经济技术开发区控制性详细规划》。</w:t>
            </w:r>
          </w:p>
          <w:p>
            <w:pPr>
              <w:spacing w:line="360" w:lineRule="auto"/>
              <w:ind w:firstLine="420"/>
              <w:rPr>
                <w:rFonts w:ascii="Times New Roman" w:hAnsi="Times New Roman" w:eastAsia="宋体" w:cs="Times New Roman"/>
                <w:b/>
                <w:color w:val="auto"/>
                <w:sz w:val="24"/>
                <w:szCs w:val="24"/>
              </w:rPr>
            </w:pPr>
            <w:r>
              <w:rPr>
                <w:rFonts w:hint="eastAsia" w:ascii="Times New Roman" w:hAnsi="Times New Roman" w:eastAsia="宋体" w:cs="Times New Roman"/>
                <w:color w:val="auto"/>
                <w:sz w:val="24"/>
                <w:szCs w:val="24"/>
              </w:rPr>
              <w:t>项目用地不属于国家《自然资源要素支撑产业高质量发展指导目录（2024 年本）》中禁止、限制用地类项目</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因此，本项目选址合理且符合用地规划。</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lang w:eastAsia="zh-CN"/>
              </w:rPr>
              <w:t>）</w:t>
            </w:r>
            <w:r>
              <w:rPr>
                <w:rFonts w:hint="eastAsia" w:ascii="Times New Roman" w:hAnsi="Times New Roman" w:eastAsia="宋体" w:cs="Times New Roman"/>
                <w:b/>
                <w:color w:val="auto"/>
                <w:sz w:val="24"/>
                <w:szCs w:val="24"/>
              </w:rPr>
              <w:t>“三线一单”相符性分析</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1.</w:t>
            </w:r>
            <w:r>
              <w:rPr>
                <w:rFonts w:hint="eastAsia" w:ascii="Times New Roman" w:hAnsi="Times New Roman" w:eastAsia="宋体" w:cs="Times New Roman"/>
                <w:b/>
                <w:color w:val="auto"/>
                <w:sz w:val="24"/>
                <w:szCs w:val="24"/>
              </w:rPr>
              <w:t>生态红线</w:t>
            </w:r>
          </w:p>
          <w:p>
            <w:pPr>
              <w:pStyle w:val="77"/>
              <w:spacing w:line="360" w:lineRule="auto"/>
              <w:ind w:firstLine="480" w:firstLineChars="200"/>
              <w:rPr>
                <w:color w:val="auto"/>
                <w:sz w:val="24"/>
                <w:szCs w:val="24"/>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对照《自然资源部·生态环境部·国家林业和草原局关于加强生态保护红线管理的通知(试行)》(自然资发(2022)142号)、《自然资源部办公厅发关于同意江苏省启用“三区三线”划定成果作为报批建设项目用地用海依据的函》(自然资办函(2022)2207号)，“三区三线”指的是根据农业空间、生态空间、城镇空间三个区域，分别划定的永久基本农田保护红线、生态保护红线、城镇开发边界。本项目位于</w:t>
            </w:r>
            <w:r>
              <w:rPr>
                <w:rFonts w:hint="eastAsia" w:ascii="Times New Roman" w:hAnsi="Times New Roman" w:eastAsia="宋体" w:cs="Times New Roman"/>
                <w:color w:val="auto"/>
                <w:kern w:val="0"/>
                <w:sz w:val="24"/>
                <w:szCs w:val="24"/>
                <w:lang w:val="en-US" w:eastAsia="zh-CN"/>
              </w:rPr>
              <w:t>如皋市城北街道陆桥村9组</w:t>
            </w:r>
            <w:r>
              <w:rPr>
                <w:rFonts w:hint="default" w:ascii="Times New Roman" w:hAnsi="Times New Roman" w:cs="Times New Roman"/>
                <w:color w:val="auto"/>
                <w:sz w:val="24"/>
                <w:szCs w:val="24"/>
                <w:lang w:val="en-US" w:eastAsia="zh-CN"/>
              </w:rPr>
              <w:t>，距离国家级生态保护红线长江如皋段刀鲚国家级水产种质资源保护区约为</w:t>
            </w:r>
            <w:r>
              <w:rPr>
                <w:rFonts w:hint="eastAsia" w:cs="Times New Roman"/>
                <w:color w:val="auto"/>
                <w:sz w:val="24"/>
                <w:szCs w:val="24"/>
                <w:lang w:val="en-US" w:eastAsia="zh-CN"/>
              </w:rPr>
              <w:t>39.12</w:t>
            </w:r>
            <w:r>
              <w:rPr>
                <w:rFonts w:hint="default" w:ascii="Times New Roman" w:hAnsi="Times New Roman" w:cs="Times New Roman"/>
                <w:color w:val="auto"/>
                <w:sz w:val="24"/>
                <w:szCs w:val="24"/>
                <w:lang w:val="en-US" w:eastAsia="zh-CN"/>
              </w:rPr>
              <w:t>km</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项目所在地南侧距离如泰运河（如皋市）清水通道维护区约19</w:t>
            </w:r>
            <w:r>
              <w:rPr>
                <w:rFonts w:hint="eastAsia" w:cs="Times New Roman"/>
                <w:color w:val="auto"/>
                <w:sz w:val="24"/>
                <w:szCs w:val="24"/>
                <w:lang w:val="en-US" w:eastAsia="zh-CN"/>
              </w:rPr>
              <w:t>5</w:t>
            </w:r>
            <w:r>
              <w:rPr>
                <w:rFonts w:hint="eastAsia" w:ascii="Times New Roman" w:hAnsi="Times New Roman" w:eastAsia="宋体" w:cs="Times New Roman"/>
                <w:color w:val="auto"/>
                <w:sz w:val="24"/>
                <w:szCs w:val="24"/>
                <w:lang w:val="en-US" w:eastAsia="zh-CN"/>
              </w:rPr>
              <w:t>0m，不在生态空间管控范围内，</w:t>
            </w:r>
            <w:r>
              <w:rPr>
                <w:rFonts w:hint="default" w:ascii="Times New Roman" w:hAnsi="Times New Roman" w:cs="Times New Roman"/>
                <w:color w:val="auto"/>
                <w:sz w:val="24"/>
                <w:szCs w:val="24"/>
                <w:lang w:val="en-US" w:eastAsia="zh-CN"/>
              </w:rPr>
              <w:t>不涉及“三区三线”，故项目建设与自然资办函(2022)2207号相符</w:t>
            </w:r>
            <w:r>
              <w:rPr>
                <w:color w:val="auto"/>
                <w:sz w:val="24"/>
                <w:szCs w:val="24"/>
              </w:rPr>
              <w:t>。</w:t>
            </w:r>
          </w:p>
          <w:p>
            <w:pPr>
              <w:spacing w:line="360" w:lineRule="auto"/>
              <w:ind w:firstLine="420"/>
              <w:rPr>
                <w:rFonts w:ascii="Times New Roman" w:hAnsi="Times New Roman" w:eastAsia="宋体" w:cs="Times New Roman"/>
                <w:color w:val="auto"/>
                <w:sz w:val="24"/>
                <w:szCs w:val="24"/>
              </w:rPr>
            </w:pPr>
            <w:r>
              <w:rPr>
                <w:rFonts w:hint="eastAsia" w:ascii="Times New Roman" w:hAnsi="Times New Roman" w:cs="Times New Roman"/>
                <w:color w:val="auto"/>
                <w:sz w:val="24"/>
                <w:szCs w:val="24"/>
                <w:lang w:val="en-US" w:eastAsia="zh-CN"/>
              </w:rPr>
              <w:t>（2）</w:t>
            </w:r>
            <w:r>
              <w:rPr>
                <w:rFonts w:hint="eastAsia"/>
                <w:color w:val="auto"/>
                <w:sz w:val="24"/>
                <w:szCs w:val="24"/>
              </w:rPr>
              <w:t>与《江苏2023年生态环境分区管控动态更新成果》相符性分析</w:t>
            </w:r>
            <w:r>
              <w:rPr>
                <w:rFonts w:ascii="Times New Roman" w:hAnsi="Times New Roman" w:eastAsia="宋体" w:cs="Times New Roman"/>
                <w:color w:val="auto"/>
                <w:sz w:val="24"/>
                <w:szCs w:val="24"/>
              </w:rPr>
              <w:t>。</w:t>
            </w:r>
          </w:p>
          <w:p>
            <w:pPr>
              <w:autoSpaceDE w:val="0"/>
              <w:autoSpaceDN w:val="0"/>
              <w:adjustRightInd w:val="0"/>
              <w:snapToGrid w:val="0"/>
              <w:spacing w:line="360" w:lineRule="auto"/>
              <w:ind w:firstLine="472" w:firstLineChars="200"/>
              <w:rPr>
                <w:rFonts w:hint="eastAsia" w:ascii="Times New Roman" w:hAnsi="Times New Roman" w:eastAsia="宋体" w:cs="Times New Roman"/>
                <w:b/>
                <w:bCs/>
                <w:sz w:val="24"/>
                <w:szCs w:val="24"/>
              </w:rPr>
            </w:pPr>
            <w:r>
              <w:rPr>
                <w:rFonts w:hint="eastAsia" w:ascii="Times New Roman" w:hAnsi="Times New Roman" w:eastAsia="宋体" w:cs="Times New Roman"/>
                <w:color w:val="auto"/>
                <w:spacing w:val="-2"/>
                <w:sz w:val="24"/>
                <w:szCs w:val="24"/>
              </w:rPr>
              <w:t>本项目位于</w:t>
            </w:r>
            <w:r>
              <w:rPr>
                <w:rFonts w:hint="eastAsia" w:ascii="Times New Roman" w:hAnsi="Times New Roman" w:eastAsia="宋体" w:cs="Times New Roman"/>
                <w:color w:val="auto"/>
                <w:kern w:val="0"/>
                <w:sz w:val="24"/>
                <w:szCs w:val="24"/>
                <w:lang w:val="en-US" w:eastAsia="zh-CN"/>
              </w:rPr>
              <w:t>如皋市城北街道陆桥村9组</w:t>
            </w:r>
            <w:r>
              <w:rPr>
                <w:rFonts w:hint="eastAsia" w:ascii="Times New Roman" w:hAnsi="Times New Roman" w:eastAsia="宋体" w:cs="Times New Roman"/>
                <w:color w:val="auto"/>
                <w:spacing w:val="-2"/>
                <w:sz w:val="24"/>
                <w:szCs w:val="24"/>
              </w:rPr>
              <w:t>，属于《江苏省2023年度生态环境分区管控动态更新成果》中长江流域、淮河流域、沿海地区、如皋经济技术开发区（</w:t>
            </w:r>
            <w:r>
              <w:rPr>
                <w:rFonts w:hint="eastAsia" w:ascii="Times New Roman" w:hAnsi="Times New Roman" w:eastAsia="宋体" w:cs="Times New Roman"/>
                <w:color w:val="auto"/>
                <w:spacing w:val="-2"/>
                <w:sz w:val="24"/>
                <w:szCs w:val="24"/>
                <w:lang w:val="en-US" w:eastAsia="zh-CN"/>
              </w:rPr>
              <w:t>重点</w:t>
            </w:r>
            <w:r>
              <w:rPr>
                <w:rFonts w:hint="eastAsia" w:ascii="Times New Roman" w:hAnsi="Times New Roman" w:eastAsia="宋体" w:cs="Times New Roman"/>
                <w:color w:val="auto"/>
                <w:spacing w:val="-2"/>
                <w:sz w:val="24"/>
                <w:szCs w:val="24"/>
              </w:rPr>
              <w:t>管控单元）</w:t>
            </w:r>
            <w:r>
              <w:rPr>
                <w:rFonts w:ascii="Times New Roman" w:hAnsi="Times New Roman" w:eastAsia="宋体" w:cs="Times New Roman"/>
                <w:color w:val="auto"/>
                <w:sz w:val="24"/>
                <w:szCs w:val="24"/>
              </w:rPr>
              <w:t>，具体分析如下表</w:t>
            </w:r>
            <w:r>
              <w:rPr>
                <w:rFonts w:hint="eastAsia" w:ascii="Times New Roman" w:hAnsi="Times New Roman" w:eastAsia="宋体" w:cs="Times New Roman"/>
                <w:sz w:val="24"/>
                <w:szCs w:val="24"/>
              </w:rPr>
              <w:t>。本项目与江苏省生态环境分区管控动态更新成果位置关系见附图4</w:t>
            </w:r>
            <w:r>
              <w:rPr>
                <w:rFonts w:hint="eastAsia" w:cs="Times New Roman"/>
                <w:sz w:val="24"/>
                <w:szCs w:val="24"/>
                <w:lang w:eastAsia="zh-CN"/>
              </w:rPr>
              <w:t>。</w:t>
            </w:r>
          </w:p>
          <w:p>
            <w:pPr>
              <w:adjustRightInd w:val="0"/>
              <w:spacing w:line="360" w:lineRule="auto"/>
              <w:ind w:firstLine="482" w:firstLineChars="200"/>
              <w:jc w:val="both"/>
              <w:rPr>
                <w:rFonts w:ascii="Times New Roman" w:hAnsi="Times New Roman" w:eastAsia="宋体" w:cs="Times New Roman"/>
                <w:sz w:val="24"/>
                <w:szCs w:val="24"/>
              </w:rPr>
            </w:pPr>
            <w:r>
              <w:rPr>
                <w:rFonts w:hint="eastAsia" w:ascii="Times New Roman" w:hAnsi="Times New Roman" w:eastAsia="宋体" w:cs="Times New Roman"/>
                <w:b/>
                <w:bCs/>
                <w:sz w:val="24"/>
                <w:szCs w:val="24"/>
              </w:rPr>
              <w:t>表1-</w:t>
            </w:r>
            <w:r>
              <w:rPr>
                <w:rFonts w:hint="eastAsia" w:ascii="Times New Roman" w:hAnsi="Times New Roman" w:eastAsia="宋体" w:cs="Times New Roman"/>
                <w:b/>
                <w:bCs/>
                <w:sz w:val="24"/>
                <w:szCs w:val="24"/>
                <w:lang w:val="en-US" w:eastAsia="zh-CN"/>
              </w:rPr>
              <w:t>5</w:t>
            </w:r>
            <w:r>
              <w:rPr>
                <w:rFonts w:hint="eastAsia" w:ascii="Times New Roman" w:hAnsi="Times New Roman" w:eastAsia="宋体" w:cs="Times New Roman"/>
                <w:b/>
                <w:bCs/>
                <w:sz w:val="24"/>
                <w:szCs w:val="24"/>
              </w:rPr>
              <w:t xml:space="preserve"> 与</w:t>
            </w:r>
            <w:r>
              <w:rPr>
                <w:rFonts w:hint="eastAsia" w:ascii="Times New Roman" w:hAnsi="Times New Roman" w:eastAsia="宋体" w:cs="Times New Roman"/>
                <w:b/>
                <w:bCs/>
                <w:color w:val="auto"/>
                <w:sz w:val="24"/>
                <w:szCs w:val="24"/>
              </w:rPr>
              <w:t>《江苏省2023年度生态环境分区管控动态更新成果》</w:t>
            </w:r>
            <w:r>
              <w:rPr>
                <w:rFonts w:hint="eastAsia" w:ascii="Times New Roman" w:hAnsi="Times New Roman" w:eastAsia="宋体" w:cs="Times New Roman"/>
                <w:b/>
                <w:bCs/>
                <w:sz w:val="24"/>
                <w:szCs w:val="24"/>
              </w:rPr>
              <w:t>相符性分析</w:t>
            </w:r>
          </w:p>
          <w:tbl>
            <w:tblPr>
              <w:tblStyle w:val="31"/>
              <w:tblW w:w="78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3"/>
              <w:gridCol w:w="4465"/>
              <w:gridCol w:w="2239"/>
              <w:gridCol w:w="4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管控类别</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管控要求</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本项目情况</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b/>
                      <w:bCs/>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874"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长江流域生态环境准入清单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始终把长江生态修复放在首位，坚持共抓大保护、不搞大开发，引导长江流域产业转型升级和布局优化调整，实现科学发展、有序发展、高质量发展。2.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3.禁止在沿江地区新建或扩建化学工业园区，禁止新建或扩建以大宗进口油气资源为原料 的石油加工、石油化工、基础有机无机化工、煤化工项目；禁止在长江干流和主要支流岸线1公里范围内新建危化品码头。4.强化港口布局优化，禁止建设不符合国家港</w:t>
                  </w:r>
                  <w:r>
                    <w:rPr>
                      <w:rFonts w:hint="eastAsia" w:ascii="Times New Roman" w:hAnsi="Times New Roman" w:eastAsia="宋体" w:cs="Times New Roman"/>
                      <w:color w:val="auto"/>
                      <w:kern w:val="0"/>
                      <w:sz w:val="21"/>
                      <w:szCs w:val="21"/>
                      <w:highlight w:val="none"/>
                      <w:lang w:val="en-US" w:eastAsia="zh-CN" w:bidi="ar-SA"/>
                    </w:rPr>
                    <w:t>口布局规划和《江苏省沿江沿海港口布局规划 （2015-2030年）》《江苏省内河港口布局规划（2017-2035年）》的码头项目，禁止建设未纳入《长江干线过江通道布局规划》的过江干线通道项目。5.禁止新建独立焦化项目。</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本项目不在国家确定的生态保护红线和永久基本农田范围内，不属于长江流域内禁止建设类项目，不属于化工行业，不涉及港口码头，不涉及焦化。</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污染物排放管</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根据《江苏省长江水污染防治条例》实施污染物总量控制制度。2.全面加强和规范长江入河排污口管理，有效管控入河污染物排放，形成权责清晰、监控到位、管理规范的长江入河排污口监管体系，加快改善长江水环境质量。</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eastAsia" w:ascii="Times New Roman" w:hAnsi="Times New Roman" w:eastAsia="宋体" w:cs="Times New Roman"/>
                      <w:color w:val="auto"/>
                      <w:sz w:val="21"/>
                      <w:szCs w:val="21"/>
                    </w:rPr>
                    <w:t>本项目排污许可类别为登记管理，无需申请污染物排放总量</w:t>
                  </w:r>
                  <w:r>
                    <w:rPr>
                      <w:rFonts w:hint="default" w:ascii="Times New Roman" w:hAnsi="Times New Roman" w:eastAsia="宋体" w:cs="Times New Roman"/>
                      <w:color w:val="auto"/>
                      <w:kern w:val="0"/>
                      <w:sz w:val="21"/>
                      <w:szCs w:val="21"/>
                      <w:highlight w:val="none"/>
                      <w:lang w:val="en-US" w:eastAsia="en-US" w:bidi="ar-SA"/>
                    </w:rPr>
                    <w:t>。</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 防范沿江环境风险。深化沿江石化、化工、医药、纺织、印染、化纤、危化品和石油类仓储、涉重金属和危险废物处置等重点企业环境风险防控。</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2.加强饮用水水源保护。优化水源保护区划定，推动饮用水水源地规范化建设。</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本项目不属于重点行业。不涉及饮用水水源保护地。符合要求。</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禁止在长江干支流岸线管控范围内新建、扩建化工园区和化工项目。禁止在长江干流岸线和重要支流岸线管控范围内新建、改建、扩建尾矿库，但是以提升安全、生态环境保护水平为目的的改建除外。</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874"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淮河流域生态环境准入清单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禁止在淮河流域新建化学制浆造纸企业，禁止在淮河流域新建制革、化工、印染、电镀、酿造等污染严重的小型企业。2.落实《江苏省通榆河水污染防治条例》，在通榆河一级保护区、二级保护区，禁止新建、改建、扩建制浆、造纸、化工、制革、酿造、染料、印染、电镀、炼油、铅酸蓄电池和排放水污染物的黑色金属冶炼及压延加工项目、有色金属冶炼及压延加工项目、金属制品项目等 污染环境的项目。3.在通榆河一级保护区，禁止新建、扩建直接或者间接向水体排放污染物的项目，禁止建设工业固体废物集中贮存、利用、处置设施或者场所以及城市生活垃圾填埋场，禁止新建规模化畜禽养殖场。</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1.本项目不属于化学制浆造纸、制革、化工、印染、电镀、酿造行业； 2.本项目不在通榆河一级保护区、二级保护区范围内；</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污染物排放管</w:t>
                  </w:r>
                </w:p>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按照《淮河流域水污染防治暂行条例》实施排污总量控制制度。</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eastAsia" w:ascii="Times New Roman" w:hAnsi="Times New Roman" w:eastAsia="宋体" w:cs="Times New Roman"/>
                      <w:color w:val="auto"/>
                      <w:sz w:val="21"/>
                      <w:szCs w:val="21"/>
                    </w:rPr>
                    <w:t>本项目排污许可类别为登记管理，无需申请污染物排放总量</w:t>
                  </w:r>
                  <w:r>
                    <w:rPr>
                      <w:rFonts w:hint="default" w:ascii="Times New Roman" w:hAnsi="Times New Roman" w:eastAsia="宋体" w:cs="Times New Roman"/>
                      <w:color w:val="auto"/>
                      <w:kern w:val="0"/>
                      <w:sz w:val="21"/>
                      <w:szCs w:val="21"/>
                      <w:highlight w:val="none"/>
                      <w:lang w:val="en-US" w:eastAsia="en-US" w:bidi="ar-SA"/>
                    </w:rPr>
                    <w:t>。</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禁止运输剧毒化学品以及国家规定禁止通过内河运输的其他危险化学品的船舶进入通榆河及主要供水河道。</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本项目不涉及剧毒化学品以及国家规定禁止通过内河运输的其他危险化学品。</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限制缺水地区发展耗水型产业，调整缺水地区的产业结构，严格控制高耗水、高耗能和重污染的建设项目。</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本项目所在地不属于缺水地区，不属于高耗水、高耗能和重污染的建设项目。</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874"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b/>
                      <w:bCs/>
                      <w:color w:val="auto"/>
                      <w:kern w:val="0"/>
                      <w:sz w:val="21"/>
                      <w:szCs w:val="21"/>
                      <w:highlight w:val="none"/>
                      <w:lang w:val="en-US" w:eastAsia="zh-CN" w:bidi="ar-SA"/>
                    </w:rPr>
                    <w:t>沿海地区生态环境准入清单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禁止在沿海陆域内新建不具备有效治理措施的化学制浆造纸、化工、印染、制革、电镀、酿造、炼油、岸边冲滩拆船以及其他严重污染海洋环境的工业生产项目。2.沿海地区严格控制新建医药、农药和染料中间体项目。</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污染物排放管控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按照《江苏省海洋环境保护条例》实施重点海域排污总量控制制度。</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eastAsia" w:ascii="Times New Roman" w:hAnsi="Times New Roman" w:eastAsia="宋体" w:cs="Times New Roman"/>
                      <w:color w:val="auto"/>
                      <w:sz w:val="21"/>
                      <w:szCs w:val="21"/>
                    </w:rPr>
                    <w:t>本项目排污许可类别为登记管理，无需申请污染物排放总量</w:t>
                  </w:r>
                  <w:r>
                    <w:rPr>
                      <w:rFonts w:hint="default" w:ascii="Times New Roman" w:hAnsi="Times New Roman" w:eastAsia="宋体" w:cs="Times New Roman"/>
                      <w:color w:val="auto"/>
                      <w:kern w:val="0"/>
                      <w:sz w:val="21"/>
                      <w:szCs w:val="21"/>
                      <w:highlight w:val="none"/>
                      <w:lang w:val="en-US" w:eastAsia="en-US" w:bidi="ar-SA"/>
                    </w:rPr>
                    <w:t>。</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1.禁止向海洋倾倒汞及汞化合物、强放射性物质等国家规定的一类废弃物。2.加强对赤潮、浒苔绿潮、溢油、危险化学品泄漏及海洋核辐射等海上突发性海洋灾害事故的应急监视，防治突发性海洋环境灾害。3.沿海地区应加强危险货物运输风险、船舶污染事故风险应急管控。</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both"/>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至2025年，大陆自然岸线保有率不低于36.1%。</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不涉及</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874" w:type="dxa"/>
                  <w:gridSpan w:val="4"/>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SA"/>
                    </w:rPr>
                    <w:t>如皋经济技术开发区生态环境准入清单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空间布局约束</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1.重点发展电子电器、机械、轮胎汽配、特色食品、纺织服装、新能源新材料等产业。 2.纺织服饰禁止引入印染，新能源新材料禁止引入含化工工艺。</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本项目建设符合如皋经济技术开发区发展规划。本项目的建设符合国家、地方现行产业政策要求，项目建设不占用永久基本农田。</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污染物排放管控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1水环境污染物排放量：废水排水量、化学需氧量、氨氮、总磷分别不得超过：2069.55万吨/年、1088.43吨/年、121.36吨/年、11.24吨/年。 2.大气污染物排放量：二氧化硫、粉尘分别不得超过：660.98吨/年、23.09吨/年。3.落实工业园区（集中区）污染物排放限值限量管理要求，实行园区主要污染物排放浓度、排放总量双控。</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eastAsia" w:ascii="Times New Roman" w:hAnsi="Times New Roman" w:eastAsia="宋体" w:cs="Times New Roman"/>
                      <w:color w:val="auto"/>
                      <w:sz w:val="21"/>
                      <w:szCs w:val="21"/>
                    </w:rPr>
                    <w:t>本项目排污许可类别为登记管理，无需申请污染物排放总量</w:t>
                  </w:r>
                  <w:r>
                    <w:rPr>
                      <w:rFonts w:hint="default" w:ascii="Times New Roman" w:hAnsi="Times New Roman" w:eastAsia="宋体" w:cs="Times New Roman"/>
                      <w:color w:val="auto"/>
                      <w:kern w:val="0"/>
                      <w:sz w:val="21"/>
                      <w:szCs w:val="21"/>
                      <w:highlight w:val="none"/>
                      <w:lang w:val="en-US" w:eastAsia="en-US" w:bidi="ar-SA"/>
                    </w:rPr>
                    <w:t>。</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环境风险防控</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1.建立健全区域环境风险防范体系和生态安全保障体系，建立应急响应联动机制，完善应急预案，提升开发区环境风险防控和应急响应能力，保障区域环境安全。 2.建立完善包括环境空气、地表水、地下水、土壤、底泥等环境要素的监控体系，做好长期跟踪监测与管理。 3.按照相关管理要求申报、处置废弃危险化学品。强化对危险废物的收集、贮存和处置的监督管理，实现危险废物监管无盲区、无死角。 4.加强区内重要风险源以及危险化学品储运的管控。</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项目建成后，企业落实各项风险防范措施，完备应急物资，定期进行应急演练。</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713"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资源利用效率要求</w:t>
                  </w:r>
                </w:p>
              </w:tc>
              <w:tc>
                <w:tcPr>
                  <w:tcW w:w="4465"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en-US" w:bidi="ar-SA"/>
                    </w:rPr>
                    <w:t>1.严格园区产业环境准入，引进项目的生产工艺、设备、污染治理技术，以及单位产品能耗、物耗、污染物排放和资源利用率均需达到同行业国际先进水平。 2.严格执行《关于划定高污染燃料禁燃区的通知》（皋政发〔2013〕162号）的相关要求，落实相应的禁燃区管控要求。禁止销售使用燃料为“Ⅱ类”（较严），具体包括：除单台出力大于等于20蒸吨/小时锅炉以外燃用的煤炭及其制品；石油焦、油页岩、原油、重油、渣油、煤焦油。</w:t>
                  </w:r>
                </w:p>
              </w:tc>
              <w:tc>
                <w:tcPr>
                  <w:tcW w:w="2239"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本项目利用现有土地生产，不新增用地。</w:t>
                  </w:r>
                </w:p>
              </w:tc>
              <w:tc>
                <w:tcPr>
                  <w:tcW w:w="457" w:type="dxa"/>
                  <w:tcBorders>
                    <w:tl2br w:val="nil"/>
                    <w:tr2bl w:val="nil"/>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en-US" w:bidi="ar-SA"/>
                    </w:rPr>
                  </w:pPr>
                  <w:r>
                    <w:rPr>
                      <w:rFonts w:hint="default" w:ascii="Times New Roman" w:hAnsi="Times New Roman" w:eastAsia="宋体" w:cs="Times New Roman"/>
                      <w:color w:val="auto"/>
                      <w:kern w:val="0"/>
                      <w:sz w:val="21"/>
                      <w:szCs w:val="21"/>
                      <w:highlight w:val="none"/>
                      <w:lang w:val="en-US" w:eastAsia="zh-CN" w:bidi="ar-SA"/>
                    </w:rPr>
                    <w:t>相符</w:t>
                  </w:r>
                </w:p>
              </w:tc>
            </w:tr>
          </w:tbl>
          <w:p>
            <w:pPr>
              <w:autoSpaceDE w:val="0"/>
              <w:autoSpaceDN w:val="0"/>
              <w:adjustRightInd w:val="0"/>
              <w:snapToGrid w:val="0"/>
              <w:spacing w:line="360" w:lineRule="auto"/>
              <w:ind w:firstLine="420" w:firstLineChars="200"/>
              <w:rPr>
                <w:rFonts w:ascii="Times New Roman" w:hAnsi="Times New Roman" w:eastAsia="宋体" w:cs="Times New Roman"/>
                <w:sz w:val="21"/>
                <w:szCs w:val="21"/>
              </w:rPr>
            </w:pPr>
          </w:p>
          <w:p>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综上所述，本项目符合《江苏省2023年度生态环境分区管控动态更新成果》的要求。</w:t>
            </w:r>
          </w:p>
          <w:p>
            <w:pPr>
              <w:spacing w:line="360" w:lineRule="auto"/>
              <w:ind w:firstLine="42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（3）与</w:t>
            </w:r>
            <w:r>
              <w:rPr>
                <w:rFonts w:hint="default" w:ascii="Times New Roman" w:hAnsi="Times New Roman" w:eastAsia="宋体" w:cs="Times New Roman"/>
                <w:color w:val="auto"/>
                <w:sz w:val="24"/>
                <w:szCs w:val="24"/>
                <w:lang w:val="en-US" w:eastAsia="zh-CN"/>
              </w:rPr>
              <w:t>《市政府办公室关于印发南通市“三线一单”生态环境分区管控实施方案的通知》（通政办规〔2021〕4号）</w:t>
            </w:r>
            <w:r>
              <w:rPr>
                <w:rFonts w:hint="eastAsia" w:ascii="Times New Roman" w:hAnsi="Times New Roman" w:eastAsia="宋体" w:cs="Times New Roman"/>
                <w:color w:val="auto"/>
                <w:sz w:val="24"/>
                <w:szCs w:val="24"/>
                <w:lang w:val="en-US" w:eastAsia="zh-CN"/>
              </w:rPr>
              <w:t>的相符性分析</w:t>
            </w:r>
          </w:p>
          <w:p>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文件附件3中南通市生态环境总体准入管控要求中的空间约束、污染物排放管控、环境风险防控、资源利用效率要求，本项目不属于禁止、淘汰类项目。项目所在地南侧距离如泰运河（如皋市）清水通道维护区约1</w:t>
            </w:r>
            <w:r>
              <w:rPr>
                <w:rFonts w:hint="eastAsia" w:cs="Times New Roman"/>
                <w:color w:val="auto"/>
                <w:sz w:val="24"/>
                <w:szCs w:val="24"/>
                <w:lang w:val="en-US" w:eastAsia="zh-CN"/>
              </w:rPr>
              <w:t>950</w:t>
            </w:r>
            <w:r>
              <w:rPr>
                <w:rFonts w:hint="eastAsia" w:ascii="Times New Roman" w:hAnsi="Times New Roman" w:eastAsia="宋体" w:cs="Times New Roman"/>
                <w:color w:val="auto"/>
                <w:sz w:val="24"/>
                <w:szCs w:val="24"/>
                <w:lang w:val="en-US" w:eastAsia="zh-CN"/>
              </w:rPr>
              <w:t>m，不在生态空间管控范围内；各污染物经处理后达标排放，本项目排污总量在如皋市内平衡，不会突破生态环境承载力。企业加强风险管控。综上所述，本项目符合市政府办公室关于印发南通市“三线一单”生态环境分区管控实施方案的通知（通政办规〔2021〕4号）相关要求。</w:t>
            </w:r>
          </w:p>
          <w:p>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（4）与市政府办公室关于印发《如皋市“三线一单”生态环境分区管控实施方案》的通知（皋政办发〔2021〕166号）的相符性分析</w:t>
            </w:r>
          </w:p>
          <w:p>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对照《市政府办公室关于印发如皋市“三线一单”生态环境分区管控实施方案的通知》，本项目位于</w:t>
            </w:r>
            <w:r>
              <w:rPr>
                <w:rFonts w:hint="eastAsia" w:ascii="Times New Roman" w:hAnsi="Times New Roman" w:eastAsia="宋体" w:cs="Times New Roman"/>
                <w:color w:val="auto"/>
                <w:sz w:val="24"/>
                <w:szCs w:val="24"/>
              </w:rPr>
              <w:t>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rPr>
              <w:t>用地性质为工业用地</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选址位于</w:t>
            </w:r>
            <w:r>
              <w:rPr>
                <w:rFonts w:hint="eastAsia" w:cs="Times New Roman"/>
                <w:color w:val="auto"/>
                <w:sz w:val="24"/>
                <w:szCs w:val="24"/>
                <w:lang w:val="en-US" w:eastAsia="zh-CN"/>
              </w:rPr>
              <w:t>乡村发展区</w:t>
            </w:r>
            <w:r>
              <w:rPr>
                <w:rFonts w:hint="eastAsia" w:ascii="Times New Roman" w:hAnsi="Times New Roman" w:eastAsia="宋体" w:cs="Times New Roman"/>
                <w:color w:val="auto"/>
                <w:sz w:val="24"/>
                <w:szCs w:val="24"/>
                <w:lang w:val="en-US" w:eastAsia="zh-CN"/>
              </w:rPr>
              <w:t>，不涉及基本农田及生态红线。项目不属于禁止、淘汰类项目，不涉及相关燃料、涂装化工及地下水开采等，项目不在生态空间管控区域规划范围内，不属于化工、钢铁行业。项目建成后废气、废水达标排放，固废合理处置。项目建成后将制定环境风险应急预案，同时企业内储备有足够的环境应急物资，实现环境风险联防联控，故能满足环境风险防控的相关要求。因此，符合《市政府办公室关于印发如皋市“三线一单”生态环境分区管控实施方案的通知》（皋政办发〔2021〕166号）的要求</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2.</w:t>
            </w:r>
            <w:r>
              <w:rPr>
                <w:rFonts w:hint="eastAsia" w:ascii="Times New Roman" w:hAnsi="Times New Roman" w:eastAsia="宋体" w:cs="Times New Roman"/>
                <w:b/>
                <w:color w:val="auto"/>
                <w:sz w:val="24"/>
                <w:szCs w:val="24"/>
              </w:rPr>
              <w:t>质量底线</w:t>
            </w:r>
          </w:p>
          <w:p>
            <w:pPr>
              <w:spacing w:line="360" w:lineRule="auto"/>
              <w:ind w:firstLine="42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 xml:space="preserve">大气环境：根据《南通市生态环境状况公报》（2024年），2024年如皋市空气主要污染指标因子均满足《环境空气质量标准》（GB3095-2012）二级标准，因此判定本区域为达标区。 </w:t>
            </w:r>
          </w:p>
          <w:p>
            <w:pPr>
              <w:spacing w:line="360" w:lineRule="auto"/>
              <w:ind w:firstLine="42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水环境：根据《南通市生态环境状况公报》（2024年），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 xml:space="preserve">声环境： </w:t>
            </w:r>
            <w:r>
              <w:rPr>
                <w:rFonts w:hint="default" w:ascii="Times New Roman" w:hAnsi="Times New Roman" w:eastAsia="宋体" w:cs="Times New Roman"/>
                <w:color w:val="auto"/>
                <w:sz w:val="24"/>
                <w:szCs w:val="32"/>
              </w:rPr>
              <w:t>根据《南通市生态环境状况公报》（202</w:t>
            </w:r>
            <w:r>
              <w:rPr>
                <w:rFonts w:hint="eastAsia" w:cs="Times New Roman"/>
                <w:color w:val="auto"/>
                <w:sz w:val="24"/>
                <w:szCs w:val="32"/>
                <w:lang w:val="en-US" w:eastAsia="zh-CN"/>
              </w:rPr>
              <w:t>4</w:t>
            </w:r>
            <w:r>
              <w:rPr>
                <w:rFonts w:hint="default" w:ascii="Times New Roman" w:hAnsi="Times New Roman" w:eastAsia="宋体" w:cs="Times New Roman"/>
                <w:color w:val="auto"/>
                <w:sz w:val="24"/>
                <w:szCs w:val="32"/>
              </w:rPr>
              <w:t>年），202</w:t>
            </w:r>
            <w:r>
              <w:rPr>
                <w:rFonts w:hint="eastAsia" w:cs="Times New Roman"/>
                <w:color w:val="auto"/>
                <w:sz w:val="24"/>
                <w:szCs w:val="32"/>
                <w:lang w:val="en-US" w:eastAsia="zh-CN"/>
              </w:rPr>
              <w:t>4</w:t>
            </w:r>
            <w:r>
              <w:rPr>
                <w:rFonts w:hint="default" w:ascii="Times New Roman" w:hAnsi="Times New Roman" w:eastAsia="宋体" w:cs="Times New Roman"/>
                <w:color w:val="auto"/>
                <w:sz w:val="24"/>
                <w:szCs w:val="32"/>
              </w:rPr>
              <w:t>年如皋市区域声环境昼间平均等效声级别值为49.4dB(A)，区域声环境等级处于一级水平</w:t>
            </w:r>
            <w:r>
              <w:rPr>
                <w:rFonts w:hint="eastAsia" w:cs="Times New Roman"/>
                <w:color w:val="auto"/>
                <w:sz w:val="24"/>
                <w:szCs w:val="32"/>
                <w:lang w:eastAsia="zh-CN"/>
              </w:rPr>
              <w:t>，</w:t>
            </w:r>
            <w:r>
              <w:rPr>
                <w:rFonts w:hint="default" w:ascii="Times New Roman" w:hAnsi="Times New Roman" w:eastAsia="宋体" w:cs="Times New Roman"/>
                <w:color w:val="auto"/>
                <w:sz w:val="24"/>
                <w:szCs w:val="32"/>
              </w:rPr>
              <w:t>如皋市功能区噪声均符合相应功能区要求</w:t>
            </w:r>
            <w:r>
              <w:rPr>
                <w:rFonts w:ascii="Times New Roman" w:hAnsi="Times New Roman" w:eastAsia="宋体" w:cs="Times New Roman"/>
                <w:color w:val="auto"/>
                <w:sz w:val="24"/>
                <w:szCs w:val="24"/>
              </w:rPr>
              <w:t>。</w:t>
            </w:r>
          </w:p>
          <w:p>
            <w:pPr>
              <w:spacing w:line="360" w:lineRule="auto"/>
              <w:ind w:firstLine="422"/>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3.</w:t>
            </w:r>
            <w:r>
              <w:rPr>
                <w:rFonts w:hint="eastAsia" w:ascii="Times New Roman" w:hAnsi="Times New Roman" w:eastAsia="宋体" w:cs="Times New Roman"/>
                <w:b/>
                <w:color w:val="auto"/>
                <w:sz w:val="24"/>
                <w:szCs w:val="24"/>
              </w:rPr>
              <w:t>资源利用上线</w:t>
            </w:r>
          </w:p>
          <w:p>
            <w:pPr>
              <w:spacing w:line="360" w:lineRule="auto"/>
              <w:ind w:firstLine="42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项目用水由当地的自来水部门供给，用电来自当地供电网</w:t>
            </w:r>
            <w:r>
              <w:rPr>
                <w:rFonts w:hint="eastAsia" w:cs="Times New Roman"/>
                <w:color w:val="auto"/>
                <w:sz w:val="24"/>
                <w:szCs w:val="24"/>
                <w:lang w:eastAsia="zh-CN"/>
              </w:rPr>
              <w:t>，</w:t>
            </w:r>
            <w:r>
              <w:rPr>
                <w:rFonts w:hint="eastAsia"/>
                <w:sz w:val="24"/>
                <w:szCs w:val="24"/>
                <w:lang w:val="en-US" w:eastAsia="zh-CN"/>
              </w:rPr>
              <w:t>蒸汽来自</w:t>
            </w:r>
            <w:r>
              <w:rPr>
                <w:rFonts w:hint="eastAsia" w:cs="Times New Roman"/>
                <w:b w:val="0"/>
                <w:bCs w:val="0"/>
                <w:color w:val="auto"/>
                <w:sz w:val="24"/>
                <w:szCs w:val="32"/>
                <w:lang w:val="en-US" w:eastAsia="zh-CN"/>
              </w:rPr>
              <w:t>江苏大唐国际如皋热电有限责任公司</w:t>
            </w:r>
            <w:r>
              <w:rPr>
                <w:rFonts w:hint="eastAsia" w:ascii="Times New Roman" w:hAnsi="Times New Roman" w:eastAsia="宋体" w:cs="Times New Roman"/>
                <w:color w:val="auto"/>
                <w:sz w:val="24"/>
                <w:szCs w:val="24"/>
              </w:rPr>
              <w:t>。本项目</w:t>
            </w:r>
            <w:r>
              <w:rPr>
                <w:rFonts w:ascii="Times New Roman" w:hAnsi="Times New Roman" w:eastAsia="宋体" w:cs="Times New Roman"/>
                <w:color w:val="auto"/>
                <w:sz w:val="24"/>
                <w:szCs w:val="24"/>
              </w:rPr>
              <w:t>的用水、用电</w:t>
            </w:r>
            <w:r>
              <w:rPr>
                <w:rFonts w:hint="eastAsia" w:cs="Times New Roman"/>
                <w:color w:val="auto"/>
                <w:sz w:val="24"/>
                <w:szCs w:val="24"/>
                <w:lang w:eastAsia="zh-CN"/>
              </w:rPr>
              <w:t>、</w:t>
            </w:r>
            <w:r>
              <w:rPr>
                <w:rFonts w:hint="eastAsia" w:cs="Times New Roman"/>
                <w:color w:val="auto"/>
                <w:sz w:val="24"/>
                <w:szCs w:val="24"/>
                <w:lang w:val="en-US" w:eastAsia="zh-CN"/>
              </w:rPr>
              <w:t>用汽</w:t>
            </w:r>
            <w:r>
              <w:rPr>
                <w:rFonts w:ascii="Times New Roman" w:hAnsi="Times New Roman" w:eastAsia="宋体" w:cs="Times New Roman"/>
                <w:color w:val="auto"/>
                <w:sz w:val="24"/>
                <w:szCs w:val="24"/>
              </w:rPr>
              <w:t>不会对自来水厂、供电单位</w:t>
            </w:r>
            <w:r>
              <w:rPr>
                <w:rFonts w:hint="eastAsia" w:cs="Times New Roman"/>
                <w:color w:val="auto"/>
                <w:sz w:val="24"/>
                <w:szCs w:val="24"/>
                <w:lang w:eastAsia="zh-CN"/>
              </w:rPr>
              <w:t>、</w:t>
            </w:r>
            <w:r>
              <w:rPr>
                <w:rFonts w:hint="eastAsia" w:cs="Times New Roman"/>
                <w:color w:val="auto"/>
                <w:sz w:val="24"/>
                <w:szCs w:val="24"/>
                <w:lang w:val="en-US" w:eastAsia="zh-CN"/>
              </w:rPr>
              <w:t>供热单位</w:t>
            </w:r>
            <w:r>
              <w:rPr>
                <w:rFonts w:ascii="Times New Roman" w:hAnsi="Times New Roman" w:eastAsia="宋体" w:cs="Times New Roman"/>
                <w:color w:val="auto"/>
                <w:sz w:val="24"/>
                <w:szCs w:val="24"/>
              </w:rPr>
              <w:t>产生负担。本项目选址于</w:t>
            </w:r>
            <w:r>
              <w:rPr>
                <w:rFonts w:hint="eastAsia" w:ascii="Times New Roman" w:hAnsi="Times New Roman" w:eastAsia="宋体" w:cs="Times New Roman"/>
                <w:color w:val="auto"/>
                <w:sz w:val="24"/>
                <w:szCs w:val="24"/>
              </w:rPr>
              <w:t>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w:t>
            </w:r>
            <w:r>
              <w:rPr>
                <w:rFonts w:ascii="Times New Roman" w:hAnsi="Times New Roman" w:eastAsia="宋体" w:cs="Times New Roman"/>
                <w:color w:val="auto"/>
                <w:sz w:val="24"/>
                <w:szCs w:val="24"/>
              </w:rPr>
              <w:t>，项目用地性质为工业用地，符合用地规划。因此本项目不会超出资源利用上线。</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4.</w:t>
            </w:r>
            <w:r>
              <w:rPr>
                <w:rFonts w:hint="eastAsia" w:ascii="Times New Roman" w:hAnsi="Times New Roman" w:eastAsia="宋体" w:cs="Times New Roman"/>
                <w:b/>
                <w:color w:val="auto"/>
                <w:sz w:val="24"/>
                <w:szCs w:val="24"/>
              </w:rPr>
              <w:t>环境准入负面清单</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本项目位于如皋市城北街道陆桥村</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组，属于</w:t>
            </w:r>
            <w:r>
              <w:rPr>
                <w:rFonts w:hint="eastAsia" w:cs="Times New Roman"/>
                <w:sz w:val="24"/>
                <w:szCs w:val="24"/>
                <w:lang w:val="en-US" w:eastAsia="zh-CN"/>
              </w:rPr>
              <w:t>C2924 泡沫塑料制造</w:t>
            </w:r>
            <w:r>
              <w:rPr>
                <w:rFonts w:hint="eastAsia" w:ascii="Times New Roman" w:hAnsi="Times New Roman" w:eastAsia="宋体" w:cs="Times New Roman"/>
                <w:color w:val="auto"/>
                <w:sz w:val="24"/>
                <w:szCs w:val="24"/>
              </w:rPr>
              <w:t>，对照</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长江经济带发展负面清单指南(试行，2022年版)》江苏省实施细则条款</w:t>
            </w:r>
            <w:r>
              <w:rPr>
                <w:rFonts w:hint="eastAsia" w:ascii="Times New Roman" w:hAnsi="Times New Roman" w:eastAsia="宋体" w:cs="Times New Roman"/>
                <w:color w:val="auto"/>
                <w:sz w:val="24"/>
                <w:szCs w:val="24"/>
                <w:lang w:eastAsia="zh-CN"/>
              </w:rPr>
              <w:t>（苏长江办发〔2022〕55号）</w:t>
            </w:r>
            <w:r>
              <w:rPr>
                <w:rFonts w:hint="eastAsia" w:ascii="Times New Roman" w:hAnsi="Times New Roman" w:eastAsia="宋体" w:cs="Times New Roman"/>
                <w:color w:val="auto"/>
                <w:sz w:val="24"/>
                <w:szCs w:val="24"/>
              </w:rPr>
              <w:t>，本项目合理安全储存原料。生产过程中三废均得到有效处置，不会对周围环境造成负面影响。本项目不在“长江经济带产业发展负面清单”范围内，符合要求。</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对照《市场准入负面清单》（202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eastAsia="zh-CN"/>
              </w:rPr>
              <w:t>版</w:t>
            </w:r>
            <w:r>
              <w:rPr>
                <w:rFonts w:hint="eastAsia" w:ascii="Times New Roman" w:hAnsi="Times New Roman" w:eastAsia="宋体" w:cs="Times New Roman"/>
                <w:color w:val="auto"/>
                <w:sz w:val="24"/>
                <w:szCs w:val="24"/>
              </w:rPr>
              <w:t>），本项目属于</w:t>
            </w:r>
            <w:r>
              <w:rPr>
                <w:rFonts w:hint="eastAsia" w:cs="Times New Roman"/>
                <w:sz w:val="24"/>
                <w:szCs w:val="24"/>
                <w:lang w:val="en-US" w:eastAsia="zh-CN"/>
              </w:rPr>
              <w:t>C2924 泡沫塑料制造</w:t>
            </w:r>
            <w:r>
              <w:rPr>
                <w:rFonts w:hint="eastAsia" w:ascii="Times New Roman" w:hAnsi="Times New Roman" w:eastAsia="宋体" w:cs="Times New Roman"/>
                <w:color w:val="auto"/>
                <w:sz w:val="24"/>
                <w:szCs w:val="24"/>
              </w:rPr>
              <w:t>，不在其禁止项目范围内，因此符合《市场准入负面清单》（202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eastAsia="zh-CN"/>
              </w:rPr>
              <w:t>版</w:t>
            </w:r>
            <w:r>
              <w:rPr>
                <w:rFonts w:hint="eastAsia" w:ascii="Times New Roman" w:hAnsi="Times New Roman" w:eastAsia="宋体" w:cs="Times New Roman"/>
                <w:color w:val="auto"/>
                <w:sz w:val="24"/>
                <w:szCs w:val="24"/>
              </w:rPr>
              <w:t>）相关要求。</w:t>
            </w: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与《江苏省通榆河水污染防治条例》相符性分析</w:t>
            </w:r>
          </w:p>
          <w:p>
            <w:pPr>
              <w:spacing w:line="360" w:lineRule="auto"/>
              <w:ind w:firstLine="42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通榆河一级保护区为通榆河及其两侧各一公里、主要供水河道及其两侧各一公里区域。通榆河包括焦港河，主要供水河道如皋市境内有：如泰运河（介于焦港河和如海运河之间段）、如海运河。</w:t>
            </w:r>
          </w:p>
          <w:p>
            <w:pPr>
              <w:spacing w:line="360" w:lineRule="auto"/>
              <w:ind w:firstLine="420"/>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本项目所在地距离最近焦港河全线、如海运河全线、如泰运河（介于焦港河和如海运河中间段）均在1km范围外，不在通榆河</w:t>
            </w:r>
            <w:r>
              <w:rPr>
                <w:rFonts w:hint="eastAsia" w:ascii="Times New Roman" w:hAnsi="Times New Roman" w:eastAsia="宋体" w:cs="Times New Roman"/>
                <w:color w:val="auto"/>
                <w:sz w:val="24"/>
                <w:szCs w:val="24"/>
                <w:lang w:val="en-US" w:eastAsia="zh-CN"/>
              </w:rPr>
              <w:t>各级</w:t>
            </w:r>
            <w:r>
              <w:rPr>
                <w:rFonts w:ascii="Times New Roman" w:hAnsi="Times New Roman" w:eastAsia="宋体" w:cs="Times New Roman"/>
                <w:color w:val="auto"/>
                <w:sz w:val="24"/>
                <w:szCs w:val="24"/>
              </w:rPr>
              <w:t>保护区范围内</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eastAsia="zh-CN"/>
              </w:rPr>
              <w:t>后期雨水</w:t>
            </w:r>
            <w:r>
              <w:rPr>
                <w:rFonts w:hint="eastAsia" w:ascii="Times New Roman" w:hAnsi="Times New Roman" w:eastAsia="宋体" w:cs="Times New Roman"/>
                <w:color w:val="auto"/>
                <w:sz w:val="24"/>
                <w:szCs w:val="24"/>
              </w:rPr>
              <w:t>收集后排入雨水管网。项目生活污水经</w:t>
            </w:r>
            <w:r>
              <w:rPr>
                <w:rFonts w:hint="eastAsia" w:cs="Times New Roman"/>
                <w:color w:val="auto"/>
                <w:sz w:val="24"/>
                <w:szCs w:val="24"/>
                <w:lang w:val="en-US" w:eastAsia="zh-CN"/>
              </w:rPr>
              <w:t>租赁方</w:t>
            </w:r>
            <w:r>
              <w:rPr>
                <w:rFonts w:hint="eastAsia" w:ascii="Times New Roman" w:hAnsi="Times New Roman" w:eastAsia="宋体" w:cs="Times New Roman"/>
                <w:color w:val="auto"/>
                <w:sz w:val="24"/>
                <w:szCs w:val="24"/>
              </w:rPr>
              <w:t>化粪池处理接至如皋恒发水处理有限公司。因此，本项目的建设符合《江苏省通榆河水污染防治条例》。</w:t>
            </w:r>
          </w:p>
          <w:p>
            <w:pPr>
              <w:spacing w:line="360" w:lineRule="auto"/>
              <w:ind w:firstLine="422"/>
              <w:rPr>
                <w:rFonts w:hint="eastAsia"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val="en-US" w:eastAsia="zh-CN"/>
              </w:rPr>
              <w:t>（五）</w:t>
            </w:r>
            <w:r>
              <w:rPr>
                <w:rFonts w:hint="eastAsia" w:ascii="Times New Roman" w:hAnsi="Times New Roman" w:eastAsia="宋体" w:cs="Times New Roman"/>
                <w:b/>
                <w:bCs/>
                <w:color w:val="auto"/>
                <w:sz w:val="24"/>
                <w:szCs w:val="24"/>
              </w:rPr>
              <w:t>与生态环境部</w:t>
            </w:r>
            <w:r>
              <w:rPr>
                <w:rFonts w:hint="eastAsia" w:ascii="Times New Roman" w:hAnsi="Times New Roman" w:eastAsia="宋体" w:cs="Times New Roman"/>
                <w:b/>
                <w:bCs/>
                <w:snapToGrid w:val="0"/>
                <w:color w:val="auto"/>
                <w:kern w:val="0"/>
                <w:sz w:val="24"/>
                <w:szCs w:val="24"/>
              </w:rPr>
              <w:t>《关于加强高耗能、高排放建设项目生态环境源头防控的指导意见》（环环评〔2021〕45号）相符性分析</w:t>
            </w:r>
          </w:p>
          <w:p>
            <w:pPr>
              <w:spacing w:line="360" w:lineRule="auto"/>
              <w:ind w:firstLine="0" w:firstLineChars="0"/>
              <w:jc w:val="center"/>
              <w:rPr>
                <w:rFonts w:hint="eastAsia" w:ascii="Times New Roman" w:hAnsi="Times New Roman" w:eastAsia="宋体" w:cs="Times New Roman"/>
                <w:color w:val="auto"/>
                <w:sz w:val="24"/>
                <w:szCs w:val="24"/>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lang w:val="en-US" w:eastAsia="zh-CN"/>
              </w:rPr>
              <w:t>6</w:t>
            </w:r>
            <w:r>
              <w:rPr>
                <w:rFonts w:hint="eastAsia" w:ascii="Times New Roman" w:hAnsi="Times New Roman" w:eastAsia="宋体" w:cs="Times New Roman"/>
                <w:b/>
                <w:color w:val="auto"/>
                <w:sz w:val="24"/>
                <w:szCs w:val="24"/>
              </w:rPr>
              <w:t xml:space="preserve"> </w:t>
            </w:r>
            <w:r>
              <w:rPr>
                <w:rFonts w:ascii="Times New Roman" w:hAnsi="Times New Roman" w:eastAsia="宋体" w:cs="Times New Roman"/>
                <w:b/>
                <w:color w:val="auto"/>
                <w:sz w:val="24"/>
                <w:szCs w:val="24"/>
              </w:rPr>
              <w:t xml:space="preserve"> 与</w:t>
            </w:r>
            <w:r>
              <w:rPr>
                <w:rFonts w:hint="eastAsia" w:ascii="Times New Roman" w:hAnsi="Times New Roman" w:eastAsia="宋体" w:cs="Times New Roman"/>
                <w:b/>
                <w:bCs/>
                <w:snapToGrid w:val="0"/>
                <w:color w:val="auto"/>
                <w:kern w:val="0"/>
                <w:sz w:val="24"/>
                <w:szCs w:val="24"/>
              </w:rPr>
              <w:t>（环环评〔2021〕45号）</w:t>
            </w:r>
            <w:r>
              <w:rPr>
                <w:rFonts w:ascii="Times New Roman" w:hAnsi="Times New Roman" w:eastAsia="宋体" w:cs="Times New Roman"/>
                <w:b/>
                <w:color w:val="auto"/>
                <w:sz w:val="24"/>
                <w:szCs w:val="24"/>
              </w:rPr>
              <w:t>相符性</w:t>
            </w:r>
            <w:r>
              <w:rPr>
                <w:rFonts w:hint="eastAsia" w:ascii="Times New Roman" w:hAnsi="Times New Roman" w:eastAsia="宋体" w:cs="Times New Roman"/>
                <w:b/>
                <w:color w:val="auto"/>
                <w:sz w:val="24"/>
                <w:szCs w:val="24"/>
              </w:rPr>
              <w:t>分析</w:t>
            </w:r>
          </w:p>
          <w:tbl>
            <w:tblPr>
              <w:tblStyle w:val="30"/>
              <w:tblW w:w="787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20"/>
              <w:gridCol w:w="1818"/>
              <w:gridCol w:w="73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20" w:type="dxa"/>
                  <w:noWrap w:val="0"/>
                  <w:vAlign w:val="center"/>
                </w:tcPr>
                <w:p>
                  <w:pPr>
                    <w:spacing w:line="240" w:lineRule="auto"/>
                    <w:ind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文件内容</w:t>
                  </w:r>
                </w:p>
              </w:tc>
              <w:tc>
                <w:tcPr>
                  <w:tcW w:w="1818" w:type="dxa"/>
                  <w:noWrap w:val="0"/>
                  <w:vAlign w:val="center"/>
                </w:tcPr>
                <w:p>
                  <w:pPr>
                    <w:spacing w:line="240" w:lineRule="auto"/>
                    <w:ind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本项目情况</w:t>
                  </w:r>
                </w:p>
              </w:tc>
              <w:tc>
                <w:tcPr>
                  <w:tcW w:w="739" w:type="dxa"/>
                  <w:noWrap w:val="0"/>
                  <w:vAlign w:val="center"/>
                </w:tcPr>
                <w:p>
                  <w:pPr>
                    <w:spacing w:line="240" w:lineRule="auto"/>
                    <w:ind w:firstLine="0" w:firstLineChars="0"/>
                    <w:jc w:val="center"/>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是否相符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7" w:type="dxa"/>
                  <w:gridSpan w:val="3"/>
                  <w:noWrap w:val="0"/>
                  <w:vAlign w:val="center"/>
                </w:tcPr>
                <w:p>
                  <w:pPr>
                    <w:spacing w:line="240" w:lineRule="auto"/>
                    <w:ind w:firstLine="0" w:firstLineChars="0"/>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sz w:val="21"/>
                      <w:szCs w:val="21"/>
                    </w:rPr>
                    <w:t>一、加强生态环境分区管控和规划约束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20" w:type="dxa"/>
                  <w:noWrap w:val="0"/>
                  <w:vAlign w:val="center"/>
                </w:tcPr>
                <w:p>
                  <w:pPr>
                    <w:widowControl/>
                    <w:spacing w:line="240" w:lineRule="auto"/>
                    <w:ind w:firstLine="0" w:firstLineChars="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一）深入实施“三线一单”。各级生态环境部门应加快推进“三线一单”成果在“两高”行业产业布局和结构调整、重大项目选址中的应用。地方生态环境部门组织“三线一单”地市落地细化及后续更新调整时，应在生态环境准入清单中深化“两高”项目环境准入及管控要求；承接钢铁、电解铝等产业转移地区应严格落实生态环境分区管控要求，将环境质量底线作为硬约束。</w:t>
                  </w:r>
                </w:p>
              </w:tc>
              <w:tc>
                <w:tcPr>
                  <w:tcW w:w="1818"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本项目对照“三线一单”管控方案属于</w:t>
                  </w:r>
                  <w:r>
                    <w:rPr>
                      <w:rFonts w:ascii="Times New Roman" w:hAnsi="Times New Roman" w:eastAsia="宋体" w:cs="Times New Roman"/>
                      <w:color w:val="auto"/>
                      <w:kern w:val="0"/>
                      <w:sz w:val="21"/>
                      <w:szCs w:val="21"/>
                      <w:lang w:bidi="ar"/>
                    </w:rPr>
                    <w:t>重点管控</w:t>
                  </w:r>
                  <w:r>
                    <w:rPr>
                      <w:rFonts w:hint="eastAsia" w:ascii="Times New Roman" w:hAnsi="Times New Roman" w:eastAsia="宋体" w:cs="Times New Roman"/>
                      <w:color w:val="auto"/>
                      <w:kern w:val="0"/>
                      <w:sz w:val="21"/>
                      <w:szCs w:val="21"/>
                      <w:lang w:bidi="ar"/>
                    </w:rPr>
                    <w:t>单元。本项目不属于两高行业。</w:t>
                  </w:r>
                </w:p>
              </w:tc>
              <w:tc>
                <w:tcPr>
                  <w:tcW w:w="739"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相符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7" w:type="dxa"/>
                  <w:gridSpan w:val="3"/>
                  <w:noWrap w:val="0"/>
                  <w:vAlign w:val="center"/>
                </w:tcPr>
                <w:p>
                  <w:pPr>
                    <w:widowControl/>
                    <w:spacing w:line="240" w:lineRule="auto"/>
                    <w:ind w:firstLine="0" w:firstLineChars="0"/>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kern w:val="0"/>
                      <w:sz w:val="21"/>
                      <w:szCs w:val="21"/>
                      <w:lang w:bidi="ar"/>
                    </w:rPr>
                    <w:t>二、严格“两高”项目环评审批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20" w:type="dxa"/>
                  <w:noWrap w:val="0"/>
                  <w:vAlign w:val="center"/>
                </w:tcPr>
                <w:p>
                  <w:pPr>
                    <w:widowControl/>
                    <w:spacing w:line="240" w:lineRule="auto"/>
                    <w:ind w:firstLine="0" w:firstLineChars="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三）严把建设项目环境准入关。新建、改建、扩建“两高”项目须符合生态环境保护法律法规和相关法定规划，满足重点污染物排放总量控制、碳排放达峰目标、生态环境准入清单、相关规划环评和相应行业建设项目环境准入条件、环评文件审批原则要求。石化、现代煤化工项目应纳入国家产业规划。新建、扩建石化、化工、焦化、有色金属冶炼、平板玻璃项目应布设在依法合规设立并经规划环评的产业园区。各级生态环境部门和行政审批部门要严格把关，对于不符合相关法律法规的，依法不予审批。</w:t>
                  </w:r>
                </w:p>
              </w:tc>
              <w:tc>
                <w:tcPr>
                  <w:tcW w:w="1818"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本项目不属于化工、现代煤化工项目；不属于新建、扩建石化、化工、焦化、有色金属冶炼、平板玻璃项目。</w:t>
                  </w:r>
                </w:p>
              </w:tc>
              <w:tc>
                <w:tcPr>
                  <w:tcW w:w="739" w:type="dxa"/>
                  <w:noWrap w:val="0"/>
                  <w:vAlign w:val="center"/>
                </w:tcPr>
                <w:p>
                  <w:pPr>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相符</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7" w:type="dxa"/>
                  <w:gridSpan w:val="3"/>
                  <w:noWrap w:val="0"/>
                  <w:vAlign w:val="center"/>
                </w:tcPr>
                <w:p>
                  <w:pPr>
                    <w:widowControl/>
                    <w:spacing w:line="240" w:lineRule="auto"/>
                    <w:ind w:firstLine="0" w:firstLineChars="0"/>
                    <w:jc w:val="left"/>
                    <w:rPr>
                      <w:rFonts w:hint="eastAsia" w:ascii="Times New Roman" w:hAnsi="Times New Roman" w:eastAsia="宋体" w:cs="Times New Roman"/>
                      <w:b/>
                      <w:bCs/>
                      <w:color w:val="auto"/>
                      <w:sz w:val="21"/>
                      <w:szCs w:val="21"/>
                    </w:rPr>
                  </w:pPr>
                  <w:r>
                    <w:rPr>
                      <w:rFonts w:hint="eastAsia" w:ascii="Times New Roman" w:hAnsi="Times New Roman" w:eastAsia="宋体" w:cs="Times New Roman"/>
                      <w:b/>
                      <w:bCs/>
                      <w:color w:val="auto"/>
                      <w:kern w:val="0"/>
                      <w:sz w:val="21"/>
                      <w:szCs w:val="21"/>
                      <w:lang w:bidi="ar"/>
                    </w:rPr>
                    <w:t>三、推进“两高”行业减污降碳协同控制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20" w:type="dxa"/>
                  <w:noWrap w:val="0"/>
                  <w:vAlign w:val="center"/>
                </w:tcPr>
                <w:p>
                  <w:pPr>
                    <w:widowControl/>
                    <w:spacing w:line="240" w:lineRule="auto"/>
                    <w:ind w:firstLine="0" w:firstLineChars="0"/>
                    <w:jc w:val="left"/>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六）提升清洁生产和污染防治水平。新建、扩建“两高”项目应采用先进适用的工艺技术和装备，单位产品物耗、能耗、水耗等达到清洁生产先进水平，依法制定并严格落实防治土壤与地下水污染的措施。国家或地方已出台超低排放要求的“两高”行业建设项目应满足超低排放要求。鼓励使用清洁燃料，重点区域建设项目原则上不新建燃煤自备锅炉。鼓励重点区域高炉-转炉长流程钢铁企业转型为电炉短流程企业。大宗物料优先采用铁路、管道或水路运输，短途接驳优先使用新能源车辆运输。</w:t>
                  </w:r>
                </w:p>
              </w:tc>
              <w:tc>
                <w:tcPr>
                  <w:tcW w:w="1818"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本项目不属于两高行业；本项目不涉及锅炉；本项目使用电能</w:t>
                  </w:r>
                  <w:r>
                    <w:rPr>
                      <w:rFonts w:hint="eastAsia" w:cs="Times New Roman"/>
                      <w:color w:val="auto"/>
                      <w:kern w:val="0"/>
                      <w:sz w:val="21"/>
                      <w:szCs w:val="21"/>
                      <w:lang w:eastAsia="zh-CN" w:bidi="ar"/>
                    </w:rPr>
                    <w:t>、</w:t>
                  </w:r>
                  <w:r>
                    <w:rPr>
                      <w:rFonts w:hint="eastAsia" w:cs="Times New Roman"/>
                      <w:color w:val="auto"/>
                      <w:kern w:val="0"/>
                      <w:sz w:val="21"/>
                      <w:szCs w:val="21"/>
                      <w:lang w:val="en-US" w:eastAsia="zh-CN" w:bidi="ar"/>
                    </w:rPr>
                    <w:t>蒸汽</w:t>
                  </w:r>
                  <w:r>
                    <w:rPr>
                      <w:rFonts w:hint="eastAsia" w:ascii="Times New Roman" w:hAnsi="Times New Roman" w:eastAsia="宋体" w:cs="Times New Roman"/>
                      <w:color w:val="auto"/>
                      <w:kern w:val="0"/>
                      <w:sz w:val="21"/>
                      <w:szCs w:val="21"/>
                      <w:lang w:bidi="ar"/>
                    </w:rPr>
                    <w:t>。</w:t>
                  </w:r>
                </w:p>
              </w:tc>
              <w:tc>
                <w:tcPr>
                  <w:tcW w:w="739" w:type="dxa"/>
                  <w:noWrap w:val="0"/>
                  <w:vAlign w:val="center"/>
                </w:tcPr>
                <w:p>
                  <w:pPr>
                    <w:widowControl/>
                    <w:spacing w:line="240" w:lineRule="auto"/>
                    <w:ind w:firstLine="0" w:firstLineChars="0"/>
                    <w:jc w:val="center"/>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bidi="ar"/>
                    </w:rPr>
                    <w:t>相符</w:t>
                  </w:r>
                </w:p>
              </w:tc>
            </w:tr>
          </w:tbl>
          <w:p>
            <w:pPr>
              <w:widowControl/>
              <w:spacing w:line="360" w:lineRule="auto"/>
              <w:ind w:firstLine="420"/>
              <w:jc w:val="left"/>
              <w:rPr>
                <w:rFonts w:hint="eastAsia" w:ascii="Times New Roman" w:hAnsi="Times New Roman" w:eastAsia="宋体" w:cs="Times New Roman"/>
                <w:color w:val="auto"/>
                <w:kern w:val="0"/>
                <w:sz w:val="21"/>
                <w:szCs w:val="21"/>
                <w:lang w:bidi="ar"/>
              </w:rPr>
            </w:pPr>
          </w:p>
          <w:p>
            <w:pPr>
              <w:widowControl/>
              <w:spacing w:line="360" w:lineRule="auto"/>
              <w:ind w:firstLine="42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kern w:val="0"/>
                <w:sz w:val="24"/>
                <w:szCs w:val="24"/>
                <w:lang w:bidi="ar"/>
              </w:rPr>
              <w:t>根据表</w:t>
            </w:r>
            <w:r>
              <w:rPr>
                <w:rFonts w:ascii="Times New Roman" w:hAnsi="Times New Roman" w:eastAsia="宋体" w:cs="Times New Roman"/>
                <w:color w:val="auto"/>
                <w:kern w:val="0"/>
                <w:sz w:val="24"/>
                <w:szCs w:val="24"/>
                <w:lang w:bidi="ar"/>
              </w:rPr>
              <w:t>1-</w:t>
            </w:r>
            <w:r>
              <w:rPr>
                <w:rFonts w:hint="eastAsia" w:ascii="Times New Roman" w:hAnsi="Times New Roman" w:eastAsia="宋体" w:cs="Times New Roman"/>
                <w:color w:val="auto"/>
                <w:kern w:val="0"/>
                <w:sz w:val="24"/>
                <w:szCs w:val="24"/>
                <w:lang w:bidi="ar"/>
              </w:rPr>
              <w:t>9，本项目符合《关于加强高耗能、高排放建设项目生态环境源头防控的指导意见》（环环评〔</w:t>
            </w:r>
            <w:r>
              <w:rPr>
                <w:rFonts w:ascii="Times New Roman" w:hAnsi="Times New Roman" w:eastAsia="宋体" w:cs="Times New Roman"/>
                <w:color w:val="auto"/>
                <w:kern w:val="0"/>
                <w:sz w:val="24"/>
                <w:szCs w:val="24"/>
                <w:lang w:bidi="ar"/>
              </w:rPr>
              <w:t>2021</w:t>
            </w:r>
            <w:r>
              <w:rPr>
                <w:rFonts w:hint="eastAsia" w:ascii="Times New Roman" w:hAnsi="Times New Roman" w:eastAsia="宋体" w:cs="Times New Roman"/>
                <w:color w:val="auto"/>
                <w:kern w:val="0"/>
                <w:sz w:val="24"/>
                <w:szCs w:val="24"/>
                <w:lang w:bidi="ar"/>
              </w:rPr>
              <w:t>〕</w:t>
            </w:r>
            <w:r>
              <w:rPr>
                <w:rFonts w:ascii="Times New Roman" w:hAnsi="Times New Roman" w:eastAsia="宋体" w:cs="Times New Roman"/>
                <w:color w:val="auto"/>
                <w:kern w:val="0"/>
                <w:sz w:val="24"/>
                <w:szCs w:val="24"/>
                <w:lang w:bidi="ar"/>
              </w:rPr>
              <w:t>45</w:t>
            </w:r>
            <w:r>
              <w:rPr>
                <w:rFonts w:hint="eastAsia" w:ascii="Times New Roman" w:hAnsi="Times New Roman" w:eastAsia="宋体" w:cs="Times New Roman"/>
                <w:color w:val="auto"/>
                <w:kern w:val="0"/>
                <w:sz w:val="24"/>
                <w:szCs w:val="24"/>
                <w:lang w:bidi="ar"/>
              </w:rPr>
              <w:t>号）的相关要求。</w:t>
            </w:r>
          </w:p>
          <w:p>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（六）</w:t>
            </w:r>
            <w:r>
              <w:rPr>
                <w:rFonts w:hint="eastAsia" w:ascii="Times New Roman" w:hAnsi="Times New Roman" w:eastAsia="宋体" w:cs="Times New Roman"/>
                <w:b/>
                <w:bCs/>
                <w:color w:val="auto"/>
                <w:sz w:val="24"/>
                <w:szCs w:val="24"/>
              </w:rPr>
              <w:t>《市政府办公室印发&lt;关于进一步促进全市乡镇工业集聚区高质量发展的实施意见&gt;的通知》（通政办发〔2022〕70号）相符性分析</w:t>
            </w:r>
          </w:p>
          <w:p>
            <w:pPr>
              <w:spacing w:line="360" w:lineRule="auto"/>
              <w:ind w:firstLine="420"/>
              <w:rPr>
                <w:rFonts w:ascii="Times New Roman" w:hAnsi="Times New Roman" w:eastAsia="宋体" w:cs="Times New Roman"/>
                <w:b/>
                <w:bCs/>
                <w:color w:val="auto"/>
                <w:sz w:val="24"/>
                <w:szCs w:val="24"/>
              </w:rPr>
            </w:pPr>
            <w:r>
              <w:rPr>
                <w:rFonts w:hint="eastAsia" w:ascii="Times New Roman" w:hAnsi="Times New Roman" w:eastAsia="宋体" w:cs="Times New Roman"/>
                <w:color w:val="auto"/>
                <w:sz w:val="24"/>
                <w:szCs w:val="24"/>
              </w:rPr>
              <w:t>根据《市政府办公室印发&lt;关于进一步促进全市乡镇工业集聚区高质量发展的实施意见&gt;的通知》（通政办发〔2022〕70号）中“各地新建项目一律进入开发区（园区）和集聚区，按照管理权限履行好审批手续</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”本项目位于如皋经济技术开发区工业集中区，项目符合</w:t>
            </w:r>
            <w:r>
              <w:rPr>
                <w:rFonts w:ascii="Times New Roman" w:hAnsi="Times New Roman" w:eastAsia="宋体" w:cs="Times New Roman"/>
                <w:bCs/>
                <w:color w:val="auto"/>
                <w:sz w:val="24"/>
                <w:szCs w:val="24"/>
              </w:rPr>
              <w:t>如皋经济技术开发区</w:t>
            </w:r>
            <w:r>
              <w:rPr>
                <w:rFonts w:hint="eastAsia" w:ascii="Times New Roman" w:hAnsi="Times New Roman" w:eastAsia="宋体" w:cs="Times New Roman"/>
                <w:color w:val="auto"/>
                <w:sz w:val="24"/>
                <w:szCs w:val="24"/>
              </w:rPr>
              <w:t>用地规划，属于工业用地</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因此，本项目符合《市政府办公室印发&lt;关于进一步促进全市乡镇工业集聚区高质量发展的实施意见&gt;的通知》。</w:t>
            </w:r>
          </w:p>
          <w:p>
            <w:pPr>
              <w:spacing w:line="360" w:lineRule="auto"/>
              <w:ind w:firstLine="422"/>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lang w:val="en-US" w:eastAsia="zh-CN"/>
              </w:rPr>
              <w:t>七</w:t>
            </w:r>
            <w:r>
              <w:rPr>
                <w:rFonts w:hint="eastAsia" w:ascii="Times New Roman" w:hAnsi="Times New Roman" w:eastAsia="宋体" w:cs="Times New Roman"/>
                <w:b/>
                <w:bCs/>
                <w:color w:val="auto"/>
                <w:sz w:val="24"/>
                <w:szCs w:val="24"/>
                <w:lang w:eastAsia="zh-CN"/>
              </w:rPr>
              <w:t>）</w:t>
            </w:r>
            <w:r>
              <w:rPr>
                <w:rFonts w:hint="eastAsia" w:ascii="Times New Roman" w:hAnsi="Times New Roman" w:eastAsia="宋体" w:cs="Times New Roman"/>
                <w:b/>
                <w:bCs/>
                <w:color w:val="auto"/>
                <w:sz w:val="24"/>
                <w:szCs w:val="24"/>
              </w:rPr>
              <w:t>与《南通市关于加强减污降碳协同推进重点行业绿色发展的指导意见》（通办〔2024〕6号）相符性分析</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对照《南通市关于加强减污降碳协同推进重点行业绿色发展的指导意见》（通办〔2024〕6号），本项目属于</w:t>
            </w:r>
            <w:r>
              <w:rPr>
                <w:rFonts w:hint="eastAsia" w:cs="Times New Roman"/>
                <w:sz w:val="24"/>
                <w:szCs w:val="24"/>
                <w:lang w:val="en-US" w:eastAsia="zh-CN"/>
              </w:rPr>
              <w:t>C2924 泡沫塑料制造</w:t>
            </w:r>
            <w:r>
              <w:rPr>
                <w:rFonts w:hint="eastAsia" w:ascii="Times New Roman" w:hAnsi="Times New Roman" w:eastAsia="宋体" w:cs="Times New Roman"/>
                <w:color w:val="auto"/>
                <w:sz w:val="24"/>
                <w:szCs w:val="24"/>
              </w:rPr>
              <w:t>，不在分行业目标中，本项目污染物处理后达标排放，符合相关要求。</w:t>
            </w:r>
          </w:p>
          <w:p>
            <w:pPr>
              <w:spacing w:line="360" w:lineRule="auto"/>
              <w:ind w:firstLine="422"/>
              <w:rPr>
                <w:rFonts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（八）</w:t>
            </w:r>
            <w:r>
              <w:rPr>
                <w:rFonts w:hint="eastAsia" w:ascii="Times New Roman" w:hAnsi="Times New Roman" w:eastAsia="宋体" w:cs="Times New Roman"/>
                <w:b/>
                <w:bCs/>
                <w:color w:val="auto"/>
                <w:sz w:val="24"/>
                <w:szCs w:val="24"/>
              </w:rPr>
              <w:t>与市政府办公室关于印发《如皋市关于加强减污降碳协同推进重点行业绿色发展的实施方案》的通知（皋政办发〔2024〕85号）相符性分析</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对照</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如皋市关于加强减污降碳协同推进重点行业绿色发展的实施方案</w:t>
            </w:r>
            <w:r>
              <w:rPr>
                <w:rFonts w:ascii="Times New Roman" w:hAnsi="Times New Roman" w:eastAsia="宋体" w:cs="Times New Roman"/>
                <w:color w:val="auto"/>
                <w:sz w:val="24"/>
                <w:szCs w:val="24"/>
              </w:rPr>
              <w:t>的通知》（皋政办发〔2024〕85号），</w:t>
            </w:r>
            <w:r>
              <w:rPr>
                <w:rFonts w:hint="eastAsia" w:ascii="Times New Roman" w:hAnsi="Times New Roman" w:eastAsia="宋体" w:cs="Times New Roman"/>
                <w:color w:val="auto"/>
                <w:sz w:val="24"/>
                <w:szCs w:val="24"/>
              </w:rPr>
              <w:t>本项目属于</w:t>
            </w:r>
            <w:r>
              <w:rPr>
                <w:rFonts w:hint="eastAsia" w:cs="Times New Roman"/>
                <w:sz w:val="24"/>
                <w:szCs w:val="24"/>
                <w:lang w:val="en-US" w:eastAsia="zh-CN"/>
              </w:rPr>
              <w:t>C2924 泡沫塑料制造</w:t>
            </w:r>
            <w:r>
              <w:rPr>
                <w:rFonts w:hint="eastAsia" w:ascii="Times New Roman" w:hAnsi="Times New Roman" w:eastAsia="宋体" w:cs="Times New Roman"/>
                <w:color w:val="auto"/>
                <w:sz w:val="24"/>
                <w:szCs w:val="24"/>
              </w:rPr>
              <w:t>，不涉及装备制造中的铸造和电镀工序，符合要求。</w:t>
            </w:r>
          </w:p>
          <w:p>
            <w:pPr>
              <w:spacing w:line="360" w:lineRule="auto"/>
              <w:ind w:firstLine="420"/>
              <w:rPr>
                <w:rFonts w:hint="eastAsia" w:ascii="Times New Roman" w:hAnsi="Times New Roman" w:eastAsia="宋体" w:cs="Times New Roman"/>
                <w:b/>
                <w:bCs/>
                <w:color w:val="auto"/>
                <w:sz w:val="24"/>
                <w:szCs w:val="24"/>
              </w:rPr>
            </w:pPr>
            <w:r>
              <w:rPr>
                <w:rFonts w:hint="eastAsia" w:ascii="Times New Roman" w:hAnsi="Times New Roman" w:eastAsia="宋体" w:cs="Times New Roman"/>
                <w:b/>
                <w:bCs/>
                <w:color w:val="auto"/>
                <w:sz w:val="24"/>
                <w:szCs w:val="24"/>
                <w:lang w:val="en-US" w:eastAsia="zh-CN"/>
              </w:rPr>
              <w:t>（</w:t>
            </w:r>
            <w:r>
              <w:rPr>
                <w:rFonts w:hint="eastAsia" w:cs="Times New Roman"/>
                <w:b/>
                <w:bCs/>
                <w:color w:val="auto"/>
                <w:sz w:val="24"/>
                <w:szCs w:val="24"/>
                <w:lang w:val="en-US" w:eastAsia="zh-CN"/>
              </w:rPr>
              <w:t>九</w:t>
            </w:r>
            <w:r>
              <w:rPr>
                <w:rFonts w:hint="eastAsia"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rPr>
              <w:t>与新污染物相关文件相符性分析</w:t>
            </w:r>
          </w:p>
          <w:p>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对照《重点管控新污染物清单》（2023 年版）附表，本项目污染物为非甲烷总烃，不涉及重点管控新污染物清单中新污染物。</w:t>
            </w:r>
          </w:p>
          <w:p>
            <w:pPr>
              <w:spacing w:line="360" w:lineRule="auto"/>
              <w:ind w:firstLine="420" w:firstLineChars="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对照《</w:t>
            </w:r>
            <w:r>
              <w:rPr>
                <w:rFonts w:hint="eastAsia" w:cs="Times New Roman"/>
                <w:color w:val="auto"/>
                <w:sz w:val="24"/>
                <w:szCs w:val="24"/>
                <w:lang w:val="en-US" w:eastAsia="zh-CN"/>
              </w:rPr>
              <w:t>关</w:t>
            </w:r>
            <w:r>
              <w:rPr>
                <w:rFonts w:hint="eastAsia" w:ascii="Times New Roman" w:hAnsi="Times New Roman" w:eastAsia="宋体" w:cs="Times New Roman"/>
                <w:color w:val="auto"/>
                <w:sz w:val="24"/>
                <w:szCs w:val="24"/>
                <w:lang w:val="en-US" w:eastAsia="zh-CN"/>
              </w:rPr>
              <w:t>于加强重点行业涉新污染物建设项目环境影响评价工作的意见》环环评[2025]28号“</w:t>
            </w:r>
            <w:r>
              <w:rPr>
                <w:rFonts w:hint="eastAsia" w:cs="Times New Roman"/>
                <w:color w:val="auto"/>
                <w:sz w:val="24"/>
                <w:szCs w:val="24"/>
                <w:lang w:val="en-US" w:eastAsia="zh-CN"/>
              </w:rPr>
              <w:t>重</w:t>
            </w:r>
            <w:r>
              <w:rPr>
                <w:rFonts w:hint="eastAsia" w:ascii="Times New Roman" w:hAnsi="Times New Roman" w:eastAsia="宋体" w:cs="Times New Roman"/>
                <w:color w:val="auto"/>
                <w:sz w:val="24"/>
                <w:szCs w:val="24"/>
                <w:lang w:val="en-US" w:eastAsia="zh-CN"/>
              </w:rPr>
              <w:t>点关注重点管控新污染物清单、有毒有害污染物名录、优先控制化学品名录以及《关于持久性有机污染物的斯德哥尔摩公约》（简称《斯德哥尔摩公约》）附件中已发布环境质量标准、污染物排放标准、环境监测方法标准或其他具有污染治理技术的污染物。重点关注石化、涂料、纺织印染、橡胶、农药、医药等重点行业建设项目，在建设项目环评工作中做好上述新污染物识别，涉及上述新污染物的，执行本意见要求；不涉及新污染物的，无需开展相关工作”本项目污染物为非甲烷总烃，不涉及重点管控新污染物清单中新污染物。且本项目行业类别为</w:t>
            </w:r>
            <w:r>
              <w:rPr>
                <w:rFonts w:hint="eastAsia" w:cs="Times New Roman"/>
                <w:color w:val="auto"/>
                <w:sz w:val="24"/>
                <w:szCs w:val="24"/>
                <w:lang w:val="en-US" w:eastAsia="zh-CN"/>
              </w:rPr>
              <w:t>C2924 泡沫塑料制造</w:t>
            </w:r>
            <w:r>
              <w:rPr>
                <w:rFonts w:hint="eastAsia" w:ascii="Times New Roman" w:hAnsi="Times New Roman" w:eastAsia="宋体" w:cs="Times New Roman"/>
                <w:color w:val="auto"/>
                <w:sz w:val="24"/>
                <w:szCs w:val="24"/>
                <w:lang w:val="en-US" w:eastAsia="zh-CN"/>
              </w:rPr>
              <w:t>，不属于重点行业，无需开展相关工作。</w:t>
            </w:r>
          </w:p>
          <w:p>
            <w:pPr>
              <w:spacing w:line="360" w:lineRule="auto"/>
              <w:ind w:firstLine="422"/>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（十）与《江苏省工业废水与生活污水分质处理工作推进方案》（苏环办〔2023〕144号）</w:t>
            </w:r>
          </w:p>
          <w:p>
            <w:pPr>
              <w:spacing w:line="360" w:lineRule="auto"/>
              <w:ind w:firstLine="42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本项目为新建（迁建）企业，对照《江苏省工业废水与生活污水分质处理工作推荐方案》（苏环办〔2023〕144号），对照结果详见下表：</w:t>
            </w:r>
          </w:p>
          <w:p>
            <w:pPr>
              <w:spacing w:line="360" w:lineRule="auto"/>
              <w:ind w:firstLine="0" w:firstLineChars="0"/>
              <w:jc w:val="center"/>
              <w:rPr>
                <w:rFonts w:hint="eastAsia" w:ascii="Times New Roman" w:hAnsi="Times New Roman" w:eastAsia="宋体" w:cs="Times New Roman"/>
                <w:b/>
                <w:color w:val="auto"/>
                <w:sz w:val="24"/>
                <w:szCs w:val="24"/>
                <w:lang w:val="en-US" w:eastAsia="zh-CN"/>
              </w:rPr>
            </w:pPr>
            <w:r>
              <w:rPr>
                <w:rFonts w:ascii="Times New Roman" w:hAnsi="Times New Roman" w:eastAsia="宋体" w:cs="Times New Roman"/>
                <w:b/>
                <w:color w:val="auto"/>
                <w:sz w:val="24"/>
                <w:szCs w:val="24"/>
              </w:rPr>
              <w:t>表1</w:t>
            </w:r>
            <w:r>
              <w:rPr>
                <w:rFonts w:hint="eastAsia" w:ascii="Times New Roman" w:hAnsi="Times New Roman" w:eastAsia="宋体" w:cs="Times New Roman"/>
                <w:b/>
                <w:color w:val="auto"/>
                <w:sz w:val="24"/>
                <w:szCs w:val="24"/>
              </w:rPr>
              <w:t>-</w:t>
            </w:r>
            <w:r>
              <w:rPr>
                <w:rFonts w:hint="eastAsia" w:ascii="Times New Roman" w:hAnsi="Times New Roman" w:eastAsia="宋体" w:cs="Times New Roman"/>
                <w:b/>
                <w:color w:val="auto"/>
                <w:sz w:val="24"/>
                <w:szCs w:val="24"/>
                <w:lang w:val="en-US" w:eastAsia="zh-CN"/>
              </w:rPr>
              <w:t>7</w:t>
            </w:r>
            <w:r>
              <w:rPr>
                <w:rFonts w:ascii="Times New Roman" w:hAnsi="Times New Roman" w:eastAsia="宋体" w:cs="Times New Roman"/>
                <w:b/>
                <w:color w:val="auto"/>
                <w:sz w:val="24"/>
                <w:szCs w:val="24"/>
              </w:rPr>
              <w:t xml:space="preserve">  与《</w:t>
            </w:r>
            <w:r>
              <w:rPr>
                <w:rFonts w:hint="eastAsia" w:ascii="Times New Roman" w:hAnsi="Times New Roman" w:eastAsia="宋体" w:cs="Times New Roman"/>
                <w:b/>
                <w:color w:val="auto"/>
                <w:sz w:val="24"/>
                <w:szCs w:val="24"/>
              </w:rPr>
              <w:t>江苏省工业废水与生活污水分质处理工作推进方案</w:t>
            </w:r>
            <w:r>
              <w:rPr>
                <w:rFonts w:ascii="Times New Roman" w:hAnsi="Times New Roman" w:eastAsia="宋体" w:cs="Times New Roman"/>
                <w:b/>
                <w:color w:val="auto"/>
                <w:sz w:val="24"/>
                <w:szCs w:val="24"/>
              </w:rPr>
              <w:t>》对照分析</w:t>
            </w:r>
          </w:p>
          <w:tbl>
            <w:tblPr>
              <w:tblStyle w:val="30"/>
              <w:tblW w:w="787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69"/>
              <w:gridCol w:w="2189"/>
              <w:gridCol w:w="12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Cs/>
                      <w:color w:val="auto"/>
                      <w:sz w:val="21"/>
                      <w:szCs w:val="21"/>
                    </w:rPr>
                  </w:pPr>
                  <w:r>
                    <w:rPr>
                      <w:rFonts w:ascii="Times New Roman" w:eastAsia="宋体" w:cs="Times New Roman"/>
                      <w:bCs/>
                      <w:color w:val="auto"/>
                      <w:sz w:val="21"/>
                      <w:szCs w:val="21"/>
                    </w:rPr>
                    <w:t>文件内容</w:t>
                  </w:r>
                </w:p>
              </w:tc>
              <w:tc>
                <w:tcPr>
                  <w:tcW w:w="2189"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Cs/>
                      <w:color w:val="auto"/>
                      <w:sz w:val="21"/>
                      <w:szCs w:val="21"/>
                    </w:rPr>
                  </w:pPr>
                  <w:r>
                    <w:rPr>
                      <w:rFonts w:ascii="Times New Roman" w:eastAsia="宋体" w:cs="Times New Roman"/>
                      <w:bCs/>
                      <w:color w:val="auto"/>
                      <w:sz w:val="21"/>
                      <w:szCs w:val="21"/>
                    </w:rPr>
                    <w:t>本项目情况</w:t>
                  </w:r>
                </w:p>
              </w:tc>
              <w:tc>
                <w:tcPr>
                  <w:tcW w:w="1216"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Cs/>
                      <w:color w:val="auto"/>
                      <w:sz w:val="21"/>
                      <w:szCs w:val="21"/>
                    </w:rPr>
                  </w:pPr>
                  <w:r>
                    <w:rPr>
                      <w:rFonts w:ascii="Times New Roman" w:eastAsia="宋体" w:cs="Times New Roman"/>
                      <w:bCs/>
                      <w:color w:val="auto"/>
                      <w:sz w:val="21"/>
                      <w:szCs w:val="21"/>
                    </w:rPr>
                    <w:t>是否相符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74" w:type="dxa"/>
                  <w:gridSpan w:val="3"/>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both"/>
                    <w:textAlignment w:val="auto"/>
                    <w:rPr>
                      <w:rFonts w:hint="eastAsia" w:ascii="Times New Roman" w:eastAsia="宋体" w:cs="Times New Roman"/>
                      <w:b w:val="0"/>
                      <w:color w:val="auto"/>
                      <w:sz w:val="21"/>
                      <w:szCs w:val="21"/>
                    </w:rPr>
                  </w:pPr>
                  <w:r>
                    <w:rPr>
                      <w:rFonts w:hint="eastAsia" w:ascii="Times New Roman" w:eastAsia="宋体" w:cs="Times New Roman"/>
                      <w:bCs/>
                      <w:color w:val="auto"/>
                      <w:sz w:val="21"/>
                      <w:szCs w:val="21"/>
                    </w:rPr>
                    <w:t>新建企业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Cs/>
                      <w:color w:val="auto"/>
                      <w:sz w:val="21"/>
                      <w:szCs w:val="21"/>
                    </w:rPr>
                    <w:t>1、</w:t>
                  </w:r>
                  <w:r>
                    <w:rPr>
                      <w:rFonts w:ascii="Times New Roman" w:eastAsia="宋体" w:cs="Times New Roman"/>
                      <w:b w:val="0"/>
                      <w:color w:val="auto"/>
                      <w:sz w:val="21"/>
                      <w:szCs w:val="21"/>
                    </w:rPr>
                    <w:t>冶金、电镀、化工、印染、原料药制造（有工业废水处理资质且出水达到国家标准的原料药制造企业除外）等工业企业排放含重金属、难生化降解废水、高盐废水的，不得排入城镇污水集中收集处理设施</w:t>
                  </w:r>
                </w:p>
              </w:tc>
              <w:tc>
                <w:tcPr>
                  <w:tcW w:w="2189"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本项目为新建企业，属于</w:t>
                  </w:r>
                  <w:r>
                    <w:rPr>
                      <w:rFonts w:hint="eastAsia" w:ascii="Times New Roman" w:eastAsia="宋体" w:cs="Times New Roman"/>
                      <w:b w:val="0"/>
                      <w:color w:val="auto"/>
                      <w:sz w:val="21"/>
                      <w:szCs w:val="21"/>
                      <w:lang w:val="en-US" w:eastAsia="zh-CN"/>
                    </w:rPr>
                    <w:t>泡沫塑料</w:t>
                  </w:r>
                  <w:r>
                    <w:rPr>
                      <w:rFonts w:hint="eastAsia" w:ascii="Times New Roman" w:eastAsia="宋体" w:cs="Times New Roman"/>
                      <w:b w:val="0"/>
                      <w:color w:val="auto"/>
                      <w:sz w:val="21"/>
                      <w:szCs w:val="21"/>
                    </w:rPr>
                    <w:t>制造，不属于</w:t>
                  </w:r>
                  <w:r>
                    <w:rPr>
                      <w:rFonts w:ascii="Times New Roman" w:eastAsia="宋体" w:cs="Times New Roman"/>
                      <w:b w:val="0"/>
                      <w:color w:val="auto"/>
                      <w:sz w:val="21"/>
                      <w:szCs w:val="21"/>
                    </w:rPr>
                    <w:t>冶金、电镀、化工、印染、原料药制造</w:t>
                  </w:r>
                  <w:r>
                    <w:rPr>
                      <w:rFonts w:hint="eastAsia" w:ascii="Times New Roman" w:eastAsia="宋体" w:cs="Times New Roman"/>
                      <w:b w:val="0"/>
                      <w:color w:val="auto"/>
                      <w:sz w:val="21"/>
                      <w:szCs w:val="21"/>
                    </w:rPr>
                    <w:t>。</w:t>
                  </w:r>
                </w:p>
              </w:tc>
              <w:tc>
                <w:tcPr>
                  <w:tcW w:w="1216"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both"/>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ascii="Times New Roman" w:eastAsia="宋体" w:cs="Times New Roman"/>
                      <w:b w:val="0"/>
                      <w:color w:val="auto"/>
                      <w:sz w:val="21"/>
                      <w:szCs w:val="21"/>
                    </w:rPr>
                  </w:pPr>
                  <w:r>
                    <w:rPr>
                      <w:rFonts w:hint="eastAsia" w:ascii="Times New Roman" w:eastAsia="宋体" w:cs="Times New Roman"/>
                      <w:b w:val="0"/>
                      <w:color w:val="auto"/>
                      <w:sz w:val="21"/>
                      <w:szCs w:val="21"/>
                    </w:rPr>
                    <w:t>2、</w:t>
                  </w:r>
                  <w:r>
                    <w:rPr>
                      <w:rFonts w:ascii="Times New Roman" w:eastAsia="宋体" w:cs="Times New Roman"/>
                      <w:b w:val="0"/>
                      <w:color w:val="auto"/>
                      <w:sz w:val="21"/>
                      <w:szCs w:val="21"/>
                    </w:rPr>
                    <w:t>发酵酒精和白酒、啤酒、味精、制糖行业（依据行业标准修改单和排污许可证技术规范，排放浓度可协商），淀粉、酵母、柠檬酸行业（依据行业标准修改单征求意见稿，排放浓度可协商），以及肉类加工（依据行业标准，BOD5浓度可放宽至600mg/L，CODCr浓度可放宽至1000mg/L）等制造业工业企业，生产废水含优质碳源、可生化性较好、不含其它高浓度或有毒有害污染物，企业与城镇污水处理厂协商确定纳管间接排放限值，签订具备法律效力的书面合同，向当地城镇排水主管部门申领城镇污水排入排水管网许可证（以下简称排水许可证），并报当地生态环境主管部门备案后，可准予接入。</w:t>
                  </w:r>
                </w:p>
              </w:tc>
              <w:tc>
                <w:tcPr>
                  <w:tcW w:w="2189"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本项目为</w:t>
                  </w:r>
                  <w:r>
                    <w:rPr>
                      <w:rFonts w:hint="eastAsia" w:ascii="Times New Roman" w:eastAsia="宋体" w:cs="Times New Roman"/>
                      <w:b w:val="0"/>
                      <w:color w:val="auto"/>
                      <w:sz w:val="21"/>
                      <w:szCs w:val="21"/>
                      <w:lang w:val="en-US" w:eastAsia="zh-CN"/>
                    </w:rPr>
                    <w:t>泡沫塑料</w:t>
                  </w:r>
                  <w:r>
                    <w:rPr>
                      <w:rFonts w:hint="eastAsia" w:ascii="Times New Roman" w:eastAsia="宋体" w:cs="Times New Roman"/>
                      <w:b w:val="0"/>
                      <w:color w:val="auto"/>
                      <w:sz w:val="21"/>
                      <w:szCs w:val="21"/>
                    </w:rPr>
                    <w:t>制造，不涉及</w:t>
                  </w:r>
                  <w:r>
                    <w:rPr>
                      <w:rFonts w:ascii="Times New Roman" w:eastAsia="宋体" w:cs="Times New Roman"/>
                      <w:b w:val="0"/>
                      <w:color w:val="auto"/>
                      <w:sz w:val="21"/>
                      <w:szCs w:val="21"/>
                    </w:rPr>
                    <w:t>发酵酒精和白酒、啤酒、味精、制糖行业</w:t>
                  </w:r>
                  <w:r>
                    <w:rPr>
                      <w:rFonts w:hint="eastAsia" w:ascii="Times New Roman" w:eastAsia="宋体" w:cs="Times New Roman"/>
                      <w:b w:val="0"/>
                      <w:color w:val="auto"/>
                      <w:sz w:val="21"/>
                      <w:szCs w:val="21"/>
                    </w:rPr>
                    <w:t>、</w:t>
                  </w:r>
                  <w:r>
                    <w:rPr>
                      <w:rFonts w:ascii="Times New Roman" w:eastAsia="宋体" w:cs="Times New Roman"/>
                      <w:b w:val="0"/>
                      <w:color w:val="auto"/>
                      <w:sz w:val="21"/>
                      <w:szCs w:val="21"/>
                    </w:rPr>
                    <w:t>粉、酵母、柠檬酸行业</w:t>
                  </w:r>
                  <w:r>
                    <w:rPr>
                      <w:rFonts w:hint="eastAsia" w:ascii="Times New Roman" w:eastAsia="宋体" w:cs="Times New Roman"/>
                      <w:b w:val="0"/>
                      <w:color w:val="auto"/>
                      <w:sz w:val="21"/>
                      <w:szCs w:val="21"/>
                    </w:rPr>
                    <w:t>、</w:t>
                  </w:r>
                  <w:r>
                    <w:rPr>
                      <w:rFonts w:ascii="Times New Roman" w:eastAsia="宋体" w:cs="Times New Roman"/>
                      <w:b w:val="0"/>
                      <w:color w:val="auto"/>
                      <w:sz w:val="21"/>
                      <w:szCs w:val="21"/>
                    </w:rPr>
                    <w:t>肉类加工</w:t>
                  </w:r>
                  <w:r>
                    <w:rPr>
                      <w:rFonts w:hint="eastAsia" w:ascii="Times New Roman" w:eastAsia="宋体" w:cs="Times New Roman"/>
                      <w:b w:val="0"/>
                      <w:color w:val="auto"/>
                      <w:sz w:val="21"/>
                      <w:szCs w:val="21"/>
                    </w:rPr>
                    <w:t>行业。</w:t>
                  </w:r>
                </w:p>
              </w:tc>
              <w:tc>
                <w:tcPr>
                  <w:tcW w:w="1216" w:type="dxa"/>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color w:val="auto"/>
                      <w:kern w:val="0"/>
                      <w:sz w:val="21"/>
                      <w:szCs w:val="21"/>
                      <w:lang w:bidi="ar"/>
                    </w:rPr>
                    <w:t>3、除以上两种情形外，其它情况均需在建设项目环境影响评价中参照评估指南评估纳管的可行性。企业在向生态环境部门申请领取排污许可证的同时，应向城镇排水主管部门申请领取排水许可证。</w:t>
                  </w:r>
                </w:p>
              </w:tc>
              <w:tc>
                <w:tcPr>
                  <w:tcW w:w="2189" w:type="dxa"/>
                  <w:vMerge w:val="restart"/>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rFonts w:hint="eastAsia"/>
                      <w:color w:val="auto"/>
                      <w:kern w:val="0"/>
                      <w:sz w:val="21"/>
                      <w:szCs w:val="21"/>
                      <w:lang w:bidi="ar"/>
                    </w:rPr>
                  </w:pPr>
                  <w:r>
                    <w:rPr>
                      <w:color w:val="auto"/>
                      <w:kern w:val="0"/>
                      <w:sz w:val="21"/>
                      <w:szCs w:val="21"/>
                      <w:lang w:bidi="ar"/>
                    </w:rPr>
                    <w:t>本项目</w:t>
                  </w:r>
                  <w:r>
                    <w:rPr>
                      <w:rFonts w:hint="eastAsia"/>
                      <w:color w:val="auto"/>
                      <w:kern w:val="0"/>
                      <w:sz w:val="21"/>
                      <w:szCs w:val="21"/>
                      <w:lang w:bidi="ar"/>
                    </w:rPr>
                    <w:t>生活污水经租赁方化粪池处理</w:t>
                  </w:r>
                  <w:r>
                    <w:rPr>
                      <w:rFonts w:hint="eastAsia"/>
                      <w:color w:val="auto"/>
                      <w:kern w:val="0"/>
                      <w:sz w:val="21"/>
                      <w:szCs w:val="21"/>
                      <w:lang w:val="en-US" w:eastAsia="zh-CN" w:bidi="ar"/>
                    </w:rPr>
                    <w:t>达接管标准</w:t>
                  </w:r>
                  <w:r>
                    <w:rPr>
                      <w:rFonts w:hint="eastAsia"/>
                      <w:color w:val="auto"/>
                      <w:kern w:val="0"/>
                      <w:sz w:val="21"/>
                      <w:szCs w:val="21"/>
                      <w:lang w:bidi="ar"/>
                    </w:rPr>
                    <w:t>接至如皋恒发水处理有限公司</w:t>
                  </w:r>
                  <w:r>
                    <w:rPr>
                      <w:rFonts w:hint="eastAsia"/>
                      <w:color w:val="auto"/>
                      <w:kern w:val="0"/>
                      <w:sz w:val="21"/>
                      <w:szCs w:val="21"/>
                      <w:lang w:eastAsia="zh-CN" w:bidi="ar"/>
                    </w:rPr>
                    <w:t>。</w:t>
                  </w:r>
                  <w:r>
                    <w:rPr>
                      <w:rFonts w:hint="eastAsia" w:ascii="Times New Roman" w:hAnsi="Times New Roman" w:eastAsia="宋体" w:cs="Times New Roman"/>
                      <w:color w:val="auto"/>
                      <w:sz w:val="21"/>
                      <w:szCs w:val="21"/>
                    </w:rPr>
                    <w:t>本项目排污许可类别为登记管理，无需申请污染物排放总量</w:t>
                  </w:r>
                  <w:r>
                    <w:rPr>
                      <w:color w:val="auto"/>
                      <w:kern w:val="0"/>
                      <w:sz w:val="21"/>
                      <w:szCs w:val="21"/>
                      <w:lang w:bidi="ar"/>
                    </w:rPr>
                    <w:t>；本项目附近不涉及相关水源地等敏感水域，企业加强对工业废水处理管控，处理达标后接管至污水处理厂。本项目运行后严格管理废水，正常生产，达标接管。</w:t>
                  </w:r>
                </w:p>
              </w:tc>
              <w:tc>
                <w:tcPr>
                  <w:tcW w:w="1216" w:type="dxa"/>
                  <w:vMerge w:val="restart"/>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r>
                    <w:rPr>
                      <w:rFonts w:hint="eastAsia" w:ascii="Times New Roman" w:eastAsia="宋体" w:cs="Times New Roman"/>
                      <w:b w:val="0"/>
                      <w:color w:val="auto"/>
                      <w:sz w:val="21"/>
                      <w:szCs w:val="21"/>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3.1</w:t>
                  </w:r>
                  <w:r>
                    <w:rPr>
                      <w:color w:val="auto"/>
                      <w:kern w:val="0"/>
                      <w:sz w:val="21"/>
                      <w:szCs w:val="21"/>
                      <w:lang w:bidi="ar"/>
                    </w:rPr>
                    <w:t>.纳管浓度达标原则：工业企业排放的常规和特征污染物浓度均需达到相应的纳管标准和协议要求，其中部分行业污染物按照行业排放标准要求须达到直接排放限值，方可接入城镇污水处理厂。</w:t>
                  </w:r>
                </w:p>
              </w:tc>
              <w:tc>
                <w:tcPr>
                  <w:tcW w:w="2189"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color w:val="auto"/>
                      <w:sz w:val="21"/>
                      <w:szCs w:val="21"/>
                    </w:rPr>
                  </w:pPr>
                </w:p>
              </w:tc>
              <w:tc>
                <w:tcPr>
                  <w:tcW w:w="1216"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3.2</w:t>
                  </w:r>
                  <w:r>
                    <w:rPr>
                      <w:color w:val="auto"/>
                      <w:kern w:val="0"/>
                      <w:sz w:val="21"/>
                      <w:szCs w:val="21"/>
                      <w:lang w:bidi="ar"/>
                    </w:rPr>
                    <w:t>.总量达标双控原则：纳管工业企业其排放的废水和污染物总量，不得高于环评报告及批复、排污及排水许可证等核定的纳管总量控制限值；城镇污水处理厂排放的某一项特征污染物的总量不得高于所有纳管工业企业按照相应标准直接排放限值核算的该项特征污染物排放总量之和。</w:t>
                  </w:r>
                </w:p>
              </w:tc>
              <w:tc>
                <w:tcPr>
                  <w:tcW w:w="2189"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color w:val="auto"/>
                      <w:sz w:val="21"/>
                      <w:szCs w:val="21"/>
                    </w:rPr>
                  </w:pPr>
                </w:p>
              </w:tc>
              <w:tc>
                <w:tcPr>
                  <w:tcW w:w="1216"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3.3</w:t>
                  </w:r>
                  <w:r>
                    <w:rPr>
                      <w:color w:val="auto"/>
                      <w:kern w:val="0"/>
                      <w:sz w:val="21"/>
                      <w:szCs w:val="21"/>
                      <w:lang w:bidi="ar"/>
                    </w:rPr>
                    <w:t>.工业废水限量纳管原则：工业废水总量超过1万吨/日的省级以上工业园区，或者工业废水纳管量占比超过40%的城镇污水处理厂所在区域，原则上应配套专业的工业废水处理厂。</w:t>
                  </w:r>
                </w:p>
              </w:tc>
              <w:tc>
                <w:tcPr>
                  <w:tcW w:w="2189"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color w:val="auto"/>
                      <w:sz w:val="21"/>
                      <w:szCs w:val="21"/>
                    </w:rPr>
                  </w:pPr>
                </w:p>
              </w:tc>
              <w:tc>
                <w:tcPr>
                  <w:tcW w:w="1216"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3.4</w:t>
                  </w:r>
                  <w:r>
                    <w:rPr>
                      <w:color w:val="auto"/>
                      <w:kern w:val="0"/>
                      <w:sz w:val="21"/>
                      <w:szCs w:val="21"/>
                      <w:lang w:bidi="ar"/>
                    </w:rPr>
                    <w:t>.污水处理厂稳定运行原则：纳管的工业企业废水不得影响城镇污水处理厂的稳定运行和达标排放，污水处理厂出现受纳管工业废水冲击负荷影响导致排水超标或者进水可生化污染物浓度过低时，应强化纳管企业的退出管控力度。</w:t>
                  </w:r>
                </w:p>
              </w:tc>
              <w:tc>
                <w:tcPr>
                  <w:tcW w:w="2189"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color w:val="auto"/>
                      <w:sz w:val="21"/>
                      <w:szCs w:val="21"/>
                    </w:rPr>
                  </w:pPr>
                </w:p>
              </w:tc>
              <w:tc>
                <w:tcPr>
                  <w:tcW w:w="1216"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69" w:type="dxa"/>
                  <w:noWrap w:val="0"/>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left"/>
                    <w:textAlignment w:val="auto"/>
                    <w:rPr>
                      <w:color w:val="auto"/>
                      <w:kern w:val="0"/>
                      <w:sz w:val="21"/>
                      <w:szCs w:val="21"/>
                      <w:lang w:bidi="ar"/>
                    </w:rPr>
                  </w:pPr>
                  <w:r>
                    <w:rPr>
                      <w:rFonts w:hint="eastAsia"/>
                      <w:color w:val="auto"/>
                      <w:kern w:val="0"/>
                      <w:sz w:val="21"/>
                      <w:szCs w:val="21"/>
                      <w:lang w:bidi="ar"/>
                    </w:rPr>
                    <w:t>3.5</w:t>
                  </w:r>
                  <w:r>
                    <w:rPr>
                      <w:color w:val="auto"/>
                      <w:kern w:val="0"/>
                      <w:sz w:val="21"/>
                      <w:szCs w:val="21"/>
                      <w:lang w:bidi="ar"/>
                    </w:rPr>
                    <w:t>.环境质量达标原则：区域内国省考断面、水源地等敏感水域不得出现氟化物、挥发酚等特征污染物检出超标情况，否则应强化对上游汇水区域范围内排放上述特征污染物纳管企业的退出管控力度。</w:t>
                  </w:r>
                </w:p>
              </w:tc>
              <w:tc>
                <w:tcPr>
                  <w:tcW w:w="2189"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color w:val="auto"/>
                      <w:sz w:val="21"/>
                      <w:szCs w:val="21"/>
                    </w:rPr>
                  </w:pPr>
                </w:p>
              </w:tc>
              <w:tc>
                <w:tcPr>
                  <w:tcW w:w="1216" w:type="dxa"/>
                  <w:vMerge w:val="continue"/>
                  <w:noWrap w:val="0"/>
                  <w:vAlign w:val="center"/>
                </w:tcPr>
                <w:p>
                  <w:pPr>
                    <w:pStyle w:val="2"/>
                    <w:keepNext w:val="0"/>
                    <w:keepLines w:val="0"/>
                    <w:pageBreakBefore w:val="0"/>
                    <w:kinsoku/>
                    <w:wordWrap/>
                    <w:overflowPunct/>
                    <w:topLinePunct w:val="0"/>
                    <w:bidi w:val="0"/>
                    <w:adjustRightInd w:val="0"/>
                    <w:snapToGrid w:val="0"/>
                    <w:spacing w:after="0" w:line="240" w:lineRule="auto"/>
                    <w:ind w:firstLine="0" w:firstLineChars="0"/>
                    <w:jc w:val="center"/>
                    <w:textAlignment w:val="auto"/>
                    <w:rPr>
                      <w:rFonts w:hint="eastAsia" w:ascii="Times New Roman" w:eastAsia="宋体" w:cs="Times New Roman"/>
                      <w:b w:val="0"/>
                      <w:color w:val="auto"/>
                      <w:sz w:val="21"/>
                      <w:szCs w:val="21"/>
                    </w:rPr>
                  </w:pPr>
                </w:p>
              </w:tc>
            </w:tr>
          </w:tbl>
          <w:p>
            <w:pPr>
              <w:spacing w:line="360" w:lineRule="auto"/>
              <w:ind w:firstLine="422"/>
              <w:rPr>
                <w:rFonts w:hint="eastAsia" w:ascii="Times New Roman" w:hAnsi="Times New Roman" w:eastAsia="宋体" w:cs="Times New Roman"/>
                <w:b/>
                <w:color w:val="auto"/>
                <w:sz w:val="24"/>
                <w:szCs w:val="24"/>
                <w:lang w:val="en-US" w:eastAsia="zh-CN"/>
              </w:rPr>
            </w:pPr>
          </w:p>
          <w:p>
            <w:pPr>
              <w:spacing w:line="360" w:lineRule="auto"/>
              <w:ind w:firstLine="422"/>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（十</w:t>
            </w:r>
            <w:r>
              <w:rPr>
                <w:rFonts w:hint="eastAsia" w:cs="Times New Roman"/>
                <w:b/>
                <w:color w:val="auto"/>
                <w:sz w:val="24"/>
                <w:szCs w:val="24"/>
                <w:lang w:val="en-US" w:eastAsia="zh-CN"/>
              </w:rPr>
              <w:t>一</w:t>
            </w:r>
            <w:r>
              <w:rPr>
                <w:rFonts w:hint="eastAsia" w:ascii="Times New Roman" w:hAnsi="Times New Roman" w:eastAsia="宋体" w:cs="Times New Roman"/>
                <w:b/>
                <w:color w:val="auto"/>
                <w:sz w:val="24"/>
                <w:szCs w:val="24"/>
                <w:lang w:val="en-US" w:eastAsia="zh-CN"/>
              </w:rPr>
              <w:t>）</w:t>
            </w:r>
            <w:r>
              <w:rPr>
                <w:rFonts w:hint="eastAsia" w:ascii="Times New Roman" w:hAnsi="Times New Roman" w:eastAsia="宋体" w:cs="Times New Roman"/>
                <w:b/>
                <w:color w:val="auto"/>
                <w:sz w:val="24"/>
                <w:szCs w:val="24"/>
              </w:rPr>
              <w:t>与《市政府关于印发南通市空气质量持续改善行动计划实施方案的通知》（通政发[2024]24号）相符性分析</w:t>
            </w:r>
          </w:p>
          <w:p>
            <w:pPr>
              <w:spacing w:line="360" w:lineRule="auto"/>
              <w:ind w:firstLine="42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南通市2024年8月9日印发了《市政府关于印发南通市空气质量持续改善行动计划实施方案的通知》（通政发〔2024〕24号），提出①坚决遏制“两高一低”项目盲目上马；②加快退出重点行业落后产能；③推进园区、产业集群绿色低碳化改造与综合整治；④优化含VOCs原辅材料和产品结构；⑤严格合理控制煤炭消费总量；⑥推进燃煤锅炉关停整合和工业炉窑清洁能源替代；⑦持续优化调整货物运输结构；⑧加快提升机动车清洁化水平；⑨强化非道路移动源综合治理；⑩加强扬尘精细化管控；⑪加强秸秆综合利用和禁烧；⑫强化VOCs全流程、全环节综合治理；⑬推进重点行业超低排放与提标改造；⑭开展餐饮油烟、恶臭异味专项治理；⑮稳步推进大气氨污染防控；⑯健全区域大气污染防治协作机制；⑰持续加强监测和执法监管能力建设等措施，从而逐渐改善区域环境空气质量。</w:t>
            </w:r>
          </w:p>
          <w:p>
            <w:pPr>
              <w:spacing w:line="360" w:lineRule="auto"/>
              <w:ind w:firstLine="42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根据《南通市生态环境状况公报》（2024年），2024年如皋市空气主要污染指标因子均满足《环境空气质量标准》（GB3095-2012）二级标准，因此判定为达标区</w:t>
            </w:r>
            <w:r>
              <w:rPr>
                <w:rFonts w:hint="eastAsia" w:ascii="Times New Roman" w:hAnsi="Times New Roman" w:eastAsia="宋体" w:cs="Times New Roman"/>
                <w:color w:val="auto"/>
                <w:sz w:val="24"/>
                <w:szCs w:val="24"/>
                <w:lang w:val="en-US" w:eastAsia="zh-CN"/>
              </w:rPr>
              <w:t>。</w:t>
            </w:r>
          </w:p>
          <w:p>
            <w:pPr>
              <w:spacing w:line="360" w:lineRule="auto"/>
              <w:ind w:firstLine="420" w:firstLineChars="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本项目废气主要为无组织加热定型废气，通过加强通风，加强管理，符合《合成树脂工业污染物排放标准》（GB 31572-2015，含2024年修改单）及《大气污染物综合排放标准》（DB32/4041-2021）污染物排放监控浓度限值。营运期废气对周围大气环境无明显影响</w:t>
            </w:r>
            <w:r>
              <w:rPr>
                <w:rFonts w:hint="eastAsia" w:ascii="Times New Roman" w:hAnsi="Times New Roman" w:eastAsia="宋体" w:cs="Times New Roman"/>
                <w:color w:val="auto"/>
                <w:sz w:val="24"/>
                <w:szCs w:val="24"/>
                <w:lang w:val="en-US" w:eastAsia="zh-CN"/>
              </w:rPr>
              <w:t>。</w:t>
            </w:r>
          </w:p>
          <w:p>
            <w:pPr>
              <w:spacing w:line="360" w:lineRule="auto"/>
              <w:ind w:firstLine="422"/>
              <w:rPr>
                <w:rFonts w:hint="eastAsia" w:ascii="Times New Roman" w:hAnsi="Times New Roman" w:eastAsia="宋体" w:cs="Times New Roman"/>
                <w:b/>
                <w:bCs w:val="0"/>
                <w:color w:val="auto"/>
                <w:sz w:val="24"/>
              </w:rPr>
            </w:pPr>
            <w:r>
              <w:rPr>
                <w:rFonts w:hint="eastAsia" w:ascii="Times New Roman" w:hAnsi="Times New Roman" w:eastAsia="宋体" w:cs="Times New Roman"/>
                <w:b/>
                <w:bCs w:val="0"/>
                <w:color w:val="auto"/>
                <w:sz w:val="24"/>
                <w:szCs w:val="24"/>
                <w:lang w:val="en-US" w:eastAsia="zh-CN"/>
              </w:rPr>
              <w:t>（十二）</w:t>
            </w:r>
            <w:r>
              <w:rPr>
                <w:rFonts w:hint="eastAsia" w:ascii="Times New Roman" w:hAnsi="Times New Roman" w:eastAsia="宋体" w:cs="Times New Roman"/>
                <w:b/>
                <w:bCs w:val="0"/>
                <w:color w:val="auto"/>
                <w:sz w:val="24"/>
                <w:szCs w:val="24"/>
              </w:rPr>
              <w:t>与《挥发性有机物无组织排放控制标准》（GB 37822-2019）</w:t>
            </w:r>
            <w:r>
              <w:rPr>
                <w:rFonts w:hint="eastAsia" w:ascii="Times New Roman" w:hAnsi="Times New Roman" w:eastAsia="宋体" w:cs="Times New Roman"/>
                <w:b/>
                <w:bCs w:val="0"/>
                <w:color w:val="auto"/>
                <w:sz w:val="24"/>
                <w:szCs w:val="24"/>
                <w:lang w:val="en-US" w:eastAsia="zh-CN"/>
              </w:rPr>
              <w:t>相符性分析</w:t>
            </w:r>
          </w:p>
          <w:p>
            <w:pPr>
              <w:spacing w:line="360" w:lineRule="auto"/>
              <w:ind w:firstLine="420" w:firstLineChars="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根据《挥发性有机物无组织排放控制标准》（GB37822-2019），盛装 VOCs 物料的容器或包装袋应存放于室内，或存放于设置有雨棚、遮阳和防渗设施的专用场地。盛装 VOCs 物料的容器或包装袋在非取用状态时应加盖、封口，保持密闭</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对于重点地区，收集的废气中NMHC初始排放速率≥2 kg/h时，应配置VOCs处理设施，处理效率不应低于80%；采用的原辅材料符合国家有关低VOCs含量产品规定的除外。</w:t>
            </w:r>
          </w:p>
          <w:p>
            <w:pPr>
              <w:spacing w:line="360" w:lineRule="auto"/>
              <w:ind w:firstLine="420" w:firstLineChars="0"/>
            </w:pPr>
            <w:r>
              <w:rPr>
                <w:rFonts w:hint="eastAsia" w:ascii="Times New Roman" w:hAnsi="Times New Roman" w:eastAsia="宋体" w:cs="Times New Roman"/>
                <w:color w:val="auto"/>
                <w:sz w:val="24"/>
                <w:szCs w:val="24"/>
              </w:rPr>
              <w:t>本项目原辅料储存过程中密封保存，项目产生的有机废气初始排放速率</w:t>
            </w:r>
            <w:r>
              <w:rPr>
                <w:rFonts w:hint="eastAsia" w:ascii="Times New Roman" w:hAnsi="Times New Roman" w:eastAsia="宋体" w:cs="Times New Roman"/>
                <w:color w:val="auto"/>
                <w:sz w:val="24"/>
                <w:szCs w:val="24"/>
                <w:lang w:val="en-US" w:eastAsia="zh-CN"/>
              </w:rPr>
              <w:t>小于</w:t>
            </w:r>
            <w:r>
              <w:rPr>
                <w:rFonts w:hint="eastAsia" w:ascii="Times New Roman" w:hAnsi="Times New Roman" w:eastAsia="宋体" w:cs="Times New Roman"/>
                <w:color w:val="auto"/>
                <w:sz w:val="24"/>
                <w:szCs w:val="24"/>
              </w:rPr>
              <w:t>2 kg/h</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sz w:val="24"/>
                <w:szCs w:val="32"/>
              </w:rPr>
              <w:t>密闭容器无法收集，因此不设置废气收集装置及排气</w:t>
            </w:r>
            <w:r>
              <w:rPr>
                <w:rFonts w:hint="eastAsia" w:cs="Times New Roman"/>
                <w:sz w:val="24"/>
                <w:szCs w:val="32"/>
                <w:lang w:val="en-US" w:eastAsia="zh-CN"/>
              </w:rPr>
              <w:t>筒</w:t>
            </w:r>
            <w:r>
              <w:rPr>
                <w:rFonts w:hint="eastAsia"/>
                <w:lang w:eastAsia="zh-CN"/>
              </w:rPr>
              <w:t>，</w:t>
            </w:r>
            <w:r>
              <w:rPr>
                <w:rFonts w:hint="eastAsia" w:ascii="Times New Roman" w:hAnsi="Times New Roman" w:cs="Times New Roman"/>
                <w:sz w:val="24"/>
                <w:szCs w:val="32"/>
              </w:rPr>
              <w:t>在车间内无组织排放</w:t>
            </w:r>
            <w:r>
              <w:rPr>
                <w:rFonts w:hint="eastAsia" w:ascii="Times New Roman" w:hAnsi="Times New Roman" w:eastAsia="宋体" w:cs="Times New Roman"/>
                <w:color w:val="auto"/>
                <w:sz w:val="24"/>
                <w:szCs w:val="24"/>
              </w:rPr>
              <w:t>。</w:t>
            </w:r>
          </w:p>
          <w:p>
            <w:pPr>
              <w:widowControl/>
              <w:numPr>
                <w:ilvl w:val="-1"/>
                <w:numId w:val="0"/>
              </w:numPr>
              <w:spacing w:line="360" w:lineRule="auto"/>
              <w:ind w:firstLine="422"/>
              <w:jc w:val="left"/>
              <w:rPr>
                <w:rFonts w:hint="eastAsia" w:ascii="Times New Roman" w:hAnsi="Times New Roman" w:eastAsia="宋体" w:cs="Times New Roman"/>
                <w:b/>
                <w:bCs w:val="0"/>
                <w:color w:val="auto"/>
                <w:sz w:val="24"/>
                <w:lang w:val="en-US" w:eastAsia="zh-CN"/>
              </w:rPr>
            </w:pPr>
            <w:r>
              <w:rPr>
                <w:rFonts w:hint="eastAsia" w:ascii="Times New Roman" w:hAnsi="Times New Roman" w:eastAsia="宋体" w:cs="Times New Roman"/>
                <w:b/>
                <w:bCs w:val="0"/>
                <w:color w:val="auto"/>
                <w:sz w:val="24"/>
                <w:lang w:eastAsia="zh-CN"/>
              </w:rPr>
              <w:t>（</w:t>
            </w:r>
            <w:r>
              <w:rPr>
                <w:rFonts w:hint="eastAsia" w:ascii="Times New Roman" w:hAnsi="Times New Roman" w:eastAsia="宋体" w:cs="Times New Roman"/>
                <w:b/>
                <w:bCs w:val="0"/>
                <w:color w:val="auto"/>
                <w:sz w:val="24"/>
                <w:lang w:val="en-US" w:eastAsia="zh-CN"/>
              </w:rPr>
              <w:t>十三</w:t>
            </w:r>
            <w:r>
              <w:rPr>
                <w:rFonts w:hint="eastAsia" w:ascii="Times New Roman" w:hAnsi="Times New Roman" w:eastAsia="宋体" w:cs="Times New Roman"/>
                <w:b/>
                <w:bCs w:val="0"/>
                <w:color w:val="auto"/>
                <w:sz w:val="24"/>
                <w:lang w:eastAsia="zh-CN"/>
              </w:rPr>
              <w:t>）</w:t>
            </w:r>
            <w:r>
              <w:rPr>
                <w:rFonts w:hint="eastAsia" w:ascii="Times New Roman" w:hAnsi="Times New Roman" w:eastAsia="宋体" w:cs="Times New Roman"/>
                <w:b/>
                <w:bCs w:val="0"/>
                <w:color w:val="auto"/>
                <w:sz w:val="24"/>
                <w:lang w:val="en-US" w:eastAsia="zh-CN"/>
              </w:rPr>
              <w:t>与</w:t>
            </w:r>
            <w:r>
              <w:rPr>
                <w:rFonts w:hint="eastAsia" w:ascii="Times New Roman" w:hAnsi="Times New Roman" w:eastAsia="宋体" w:cs="Times New Roman"/>
                <w:b/>
                <w:bCs w:val="0"/>
                <w:color w:val="auto"/>
                <w:sz w:val="24"/>
              </w:rPr>
              <w:t>《关于做好建设项目挥发性有机物排放管理工作的意见（试行）》（通环办〔2025〕32号）</w:t>
            </w:r>
            <w:r>
              <w:rPr>
                <w:rFonts w:hint="eastAsia" w:ascii="Times New Roman" w:hAnsi="Times New Roman" w:eastAsia="宋体" w:cs="Times New Roman"/>
                <w:b/>
                <w:bCs w:val="0"/>
                <w:color w:val="auto"/>
                <w:sz w:val="24"/>
                <w:lang w:val="en-US" w:eastAsia="zh-CN"/>
              </w:rPr>
              <w:t>相符性分析</w:t>
            </w:r>
          </w:p>
          <w:p>
            <w:pPr>
              <w:pStyle w:val="2"/>
              <w:spacing w:line="360" w:lineRule="auto"/>
              <w:rPr>
                <w:rFonts w:hint="eastAsia"/>
                <w:lang w:val="en-US" w:eastAsia="zh-CN"/>
              </w:rPr>
            </w:pPr>
            <w:r>
              <w:rPr>
                <w:rFonts w:hint="eastAsia" w:ascii="Times New Roman" w:hAnsi="Times New Roman" w:eastAsia="宋体" w:cs="Times New Roman"/>
                <w:b w:val="0"/>
                <w:color w:val="auto"/>
                <w:kern w:val="2"/>
                <w:sz w:val="24"/>
                <w:szCs w:val="24"/>
                <w:lang w:val="en-US" w:eastAsia="zh-CN"/>
              </w:rPr>
              <w:t>对照《关于做好建设项目挥发性有机物排放管理工作的意见（试行）》（通环办〔2025〕32号），“（一）需编制报批环境影响报告书（表）的建设项目且排污单位为排污许可登记管理的、限值限量园区内排污许可重点管理或简化管理的排污单位新增VOCs年排放量小于0.1吨的（其中按照《关于印发&lt;南通市工业园区（集中区）排污管理登记证申请与核发技术规范（试行）&gt;的通知》（通环办</w:t>
            </w:r>
            <w:r>
              <w:rPr>
                <w:rFonts w:hint="eastAsia" w:ascii="Times New Roman" w:eastAsia="宋体" w:cs="Times New Roman"/>
                <w:b w:val="0"/>
                <w:color w:val="auto"/>
                <w:kern w:val="2"/>
                <w:sz w:val="24"/>
                <w:szCs w:val="24"/>
                <w:lang w:val="en-US" w:eastAsia="zh-CN"/>
              </w:rPr>
              <w:t>[</w:t>
            </w:r>
            <w:r>
              <w:rPr>
                <w:rFonts w:hint="eastAsia" w:ascii="Times New Roman" w:hAnsi="Times New Roman" w:eastAsia="宋体" w:cs="Times New Roman"/>
                <w:b w:val="0"/>
                <w:color w:val="auto"/>
                <w:kern w:val="2"/>
                <w:sz w:val="24"/>
                <w:szCs w:val="24"/>
                <w:lang w:val="en-US" w:eastAsia="zh-CN"/>
              </w:rPr>
              <w:t>202</w:t>
            </w:r>
            <w:r>
              <w:rPr>
                <w:rFonts w:hint="eastAsia" w:ascii="Times New Roman" w:hAnsi="Times New Roman" w:eastAsia="宋体" w:cs="Times New Roman"/>
                <w:b w:val="0"/>
                <w:color w:val="auto"/>
                <w:kern w:val="2"/>
                <w:sz w:val="24"/>
                <w:szCs w:val="24"/>
                <w:highlight w:val="none"/>
                <w:shd w:val="clear"/>
                <w:lang w:val="en-US" w:eastAsia="zh-CN"/>
              </w:rPr>
              <w:t>4</w:t>
            </w:r>
            <w:r>
              <w:rPr>
                <w:rFonts w:hint="eastAsia" w:ascii="Times New Roman" w:eastAsia="宋体" w:cs="Times New Roman"/>
                <w:b w:val="0"/>
                <w:color w:val="auto"/>
                <w:kern w:val="2"/>
                <w:sz w:val="24"/>
                <w:szCs w:val="24"/>
                <w:highlight w:val="none"/>
                <w:shd w:val="clear"/>
                <w:lang w:val="en-US" w:eastAsia="zh-CN"/>
              </w:rPr>
              <w:t>]</w:t>
            </w:r>
            <w:r>
              <w:rPr>
                <w:rFonts w:hint="eastAsia" w:ascii="Times New Roman" w:hAnsi="Times New Roman" w:eastAsia="宋体" w:cs="Times New Roman"/>
                <w:b w:val="0"/>
                <w:color w:val="auto"/>
                <w:kern w:val="2"/>
                <w:sz w:val="24"/>
                <w:szCs w:val="24"/>
                <w:highlight w:val="none"/>
                <w:shd w:val="clear"/>
                <w:lang w:val="en-US" w:eastAsia="zh-CN"/>
              </w:rPr>
              <w:t>93</w:t>
            </w:r>
            <w:r>
              <w:rPr>
                <w:rFonts w:hint="eastAsia" w:ascii="Times New Roman" w:hAnsi="Times New Roman" w:eastAsia="宋体" w:cs="Times New Roman"/>
                <w:b w:val="0"/>
                <w:color w:val="auto"/>
                <w:kern w:val="2"/>
                <w:sz w:val="24"/>
                <w:szCs w:val="24"/>
                <w:lang w:val="en-US" w:eastAsia="zh-CN"/>
              </w:rPr>
              <w:t>号）享受激励政策的园区，建设项目新增VOCs年排放量小于0.5吨），新增VOCs排污总量指标由所在园区或县（市、区）储备库每季度集中供给平衡，无需提交总量预报单，仅限于排污指标核减。”本项目排污许可类别为登记管理，无需实施总量平衡。</w:t>
            </w:r>
          </w:p>
        </w:tc>
      </w:tr>
    </w:tbl>
    <w:p>
      <w:pPr>
        <w:pStyle w:val="13"/>
      </w:pPr>
    </w:p>
    <w:p/>
    <w:p>
      <w:pPr>
        <w:spacing w:line="360" w:lineRule="auto"/>
        <w:outlineLvl w:val="0"/>
        <w:rPr>
          <w:rFonts w:eastAsia="黑体"/>
          <w:sz w:val="30"/>
        </w:rPr>
        <w:sectPr>
          <w:footerReference r:id="rId4" w:type="default"/>
          <w:pgSz w:w="11906" w:h="16838"/>
          <w:pgMar w:top="1701" w:right="1531" w:bottom="1701" w:left="1531" w:header="851" w:footer="1077" w:gutter="0"/>
          <w:pgNumType w:fmt="decimal" w:start="1"/>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30"/>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536" w:type="dxa"/>
            <w:vAlign w:val="center"/>
          </w:tcPr>
          <w:p>
            <w:pPr>
              <w:pStyle w:val="26"/>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b/>
                <w:bCs/>
                <w:sz w:val="24"/>
                <w:szCs w:val="24"/>
              </w:rPr>
              <w:t>建设内容</w:t>
            </w:r>
          </w:p>
        </w:tc>
        <w:tc>
          <w:tcPr>
            <w:tcW w:w="8524" w:type="dxa"/>
          </w:tcPr>
          <w:p>
            <w:pPr>
              <w:adjustRightInd w:val="0"/>
              <w:snapToGrid w:val="0"/>
              <w:spacing w:line="360" w:lineRule="auto"/>
              <w:ind w:firstLine="482" w:firstLineChars="200"/>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（一）项目由来</w:t>
            </w:r>
          </w:p>
          <w:p>
            <w:pPr>
              <w:adjustRightInd w:val="0"/>
              <w:snapToGrid w:val="0"/>
              <w:spacing w:line="360" w:lineRule="auto"/>
              <w:ind w:firstLine="480" w:firstLineChars="200"/>
              <w:rPr>
                <w:rFonts w:hint="default" w:ascii="Times New Roman" w:hAnsi="Times New Roman" w:cs="Times New Roman"/>
                <w:kern w:val="0"/>
                <w:sz w:val="24"/>
                <w:szCs w:val="32"/>
                <w:lang w:val="en-US"/>
              </w:rPr>
            </w:pPr>
            <w:r>
              <w:rPr>
                <w:rFonts w:hint="default" w:ascii="Times New Roman" w:hAnsi="Times New Roman" w:cs="Times New Roman"/>
                <w:kern w:val="0"/>
                <w:sz w:val="24"/>
                <w:szCs w:val="32"/>
              </w:rPr>
              <w:t>南通市煜诚新材料有限公司成立于2019年8月23日，</w:t>
            </w:r>
            <w:r>
              <w:rPr>
                <w:rFonts w:hint="default" w:ascii="Times New Roman" w:hAnsi="Times New Roman" w:cs="Times New Roman"/>
                <w:kern w:val="0"/>
                <w:sz w:val="24"/>
                <w:szCs w:val="32"/>
                <w:lang w:val="en-US" w:eastAsia="zh-CN"/>
              </w:rPr>
              <w:t>原</w:t>
            </w:r>
            <w:r>
              <w:rPr>
                <w:rFonts w:hint="default" w:ascii="Times New Roman" w:hAnsi="Times New Roman" w:cs="Times New Roman"/>
                <w:kern w:val="0"/>
                <w:sz w:val="24"/>
                <w:szCs w:val="32"/>
              </w:rPr>
              <w:t>位于如皋市城北街道镇南居14组，主要从事纳米材料、隔热材料的</w:t>
            </w:r>
            <w:r>
              <w:rPr>
                <w:rFonts w:hint="default" w:ascii="Times New Roman" w:hAnsi="Times New Roman" w:cs="Times New Roman"/>
                <w:kern w:val="0"/>
                <w:sz w:val="24"/>
                <w:szCs w:val="32"/>
                <w:lang w:val="en-US" w:eastAsia="zh-CN"/>
              </w:rPr>
              <w:t>生产</w:t>
            </w:r>
            <w:r>
              <w:rPr>
                <w:rFonts w:hint="default" w:ascii="Times New Roman" w:hAnsi="Times New Roman" w:cs="Times New Roman"/>
                <w:kern w:val="0"/>
                <w:sz w:val="24"/>
                <w:szCs w:val="32"/>
              </w:rPr>
              <w:t>。</w:t>
            </w:r>
            <w:r>
              <w:rPr>
                <w:rFonts w:hint="eastAsia" w:cs="Times New Roman"/>
                <w:kern w:val="0"/>
                <w:sz w:val="24"/>
                <w:szCs w:val="32"/>
                <w:lang w:val="en-US" w:eastAsia="zh-CN"/>
              </w:rPr>
              <w:t>现有年产200吨EPP泡沫制品的生产能力。</w:t>
            </w:r>
          </w:p>
          <w:p>
            <w:pPr>
              <w:autoSpaceDE w:val="0"/>
              <w:autoSpaceDN w:val="0"/>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kern w:val="0"/>
                <w:sz w:val="24"/>
                <w:szCs w:val="32"/>
              </w:rPr>
              <w:t>为满足市场需求，结合自身发展需要，</w:t>
            </w:r>
            <w:r>
              <w:rPr>
                <w:rFonts w:hint="default" w:ascii="Times New Roman" w:hAnsi="Times New Roman" w:cs="Times New Roman"/>
                <w:sz w:val="24"/>
                <w:szCs w:val="32"/>
                <w:lang w:eastAsia="zh-CN"/>
              </w:rPr>
              <w:t>南通市煜诚新材料有限公司</w:t>
            </w:r>
            <w:r>
              <w:rPr>
                <w:rFonts w:hint="default" w:ascii="Times New Roman" w:hAnsi="Times New Roman" w:cs="Times New Roman"/>
                <w:kern w:val="0"/>
                <w:sz w:val="24"/>
                <w:szCs w:val="32"/>
                <w:lang w:val="en-US" w:eastAsia="zh-CN"/>
              </w:rPr>
              <w:t>租赁</w:t>
            </w:r>
            <w:r>
              <w:rPr>
                <w:rFonts w:hint="default" w:ascii="Times New Roman" w:hAnsi="Times New Roman" w:cs="Times New Roman"/>
                <w:kern w:val="0"/>
                <w:sz w:val="24"/>
                <w:szCs w:val="32"/>
              </w:rPr>
              <w:t>如皋市大生线路器材有限公司</w:t>
            </w:r>
            <w:r>
              <w:rPr>
                <w:rFonts w:hint="default" w:ascii="Times New Roman" w:hAnsi="Times New Roman" w:eastAsia="宋体" w:cs="Times New Roman"/>
                <w:kern w:val="0"/>
                <w:sz w:val="24"/>
                <w:szCs w:val="32"/>
              </w:rPr>
              <w:t>位于如皋市城北街道</w:t>
            </w:r>
            <w:r>
              <w:rPr>
                <w:rFonts w:hint="default" w:ascii="Times New Roman" w:hAnsi="Times New Roman" w:eastAsia="宋体" w:cs="Times New Roman"/>
                <w:kern w:val="0"/>
                <w:sz w:val="24"/>
                <w:szCs w:val="32"/>
                <w:lang w:val="en-US" w:eastAsia="zh-CN"/>
              </w:rPr>
              <w:t>陆桥村9</w:t>
            </w:r>
            <w:r>
              <w:rPr>
                <w:rFonts w:hint="default" w:ascii="Times New Roman" w:hAnsi="Times New Roman" w:eastAsia="宋体" w:cs="Times New Roman"/>
                <w:kern w:val="0"/>
                <w:sz w:val="24"/>
                <w:szCs w:val="32"/>
              </w:rPr>
              <w:t>组</w:t>
            </w:r>
            <w:r>
              <w:rPr>
                <w:rFonts w:hint="default" w:ascii="Times New Roman" w:hAnsi="Times New Roman" w:cs="Times New Roman"/>
                <w:kern w:val="0"/>
                <w:sz w:val="24"/>
                <w:szCs w:val="32"/>
              </w:rPr>
              <w:t>现有空置厂房</w:t>
            </w:r>
            <w:r>
              <w:rPr>
                <w:rFonts w:hint="default" w:ascii="Times New Roman" w:hAnsi="Times New Roman" w:cs="Times New Roman"/>
                <w:kern w:val="0"/>
                <w:sz w:val="24"/>
                <w:szCs w:val="32"/>
                <w:lang w:val="en-US" w:eastAsia="zh-CN"/>
              </w:rPr>
              <w:t>进行迁建</w:t>
            </w:r>
            <w:r>
              <w:rPr>
                <w:rFonts w:hint="default" w:ascii="Times New Roman" w:hAnsi="Times New Roman" w:cs="Times New Roman"/>
                <w:kern w:val="0"/>
                <w:sz w:val="24"/>
                <w:szCs w:val="32"/>
              </w:rPr>
              <w:t>，投资</w:t>
            </w:r>
            <w:r>
              <w:rPr>
                <w:rFonts w:hint="default" w:ascii="Times New Roman" w:hAnsi="Times New Roman" w:cs="Times New Roman"/>
                <w:kern w:val="0"/>
                <w:sz w:val="24"/>
                <w:szCs w:val="32"/>
                <w:lang w:val="en-US" w:eastAsia="zh-CN"/>
              </w:rPr>
              <w:t>3</w:t>
            </w:r>
            <w:r>
              <w:rPr>
                <w:rFonts w:hint="default" w:ascii="Times New Roman" w:hAnsi="Times New Roman" w:cs="Times New Roman"/>
                <w:kern w:val="0"/>
                <w:sz w:val="24"/>
                <w:szCs w:val="32"/>
              </w:rPr>
              <w:t>00万元，新增预压罐、成型机、烘干房等设备共计10台（套），同时利用原有预压罐、成型机、冷却塔、蒸汽储能罐、行车、空压机等设备共计16台（套），生产EPP泡沫制品。项目实施过程中不使用国家限制、淘汰类工艺设备，不生产国家限制、淘汰类产品，同步落实节能、安全、消防、环保、职业病危害防治措施，达到国家相关标准。项目建成后，预计年产500</w:t>
            </w:r>
            <w:r>
              <w:rPr>
                <w:rFonts w:hint="default" w:ascii="Times New Roman" w:hAnsi="Times New Roman" w:cs="Times New Roman"/>
                <w:kern w:val="0"/>
                <w:sz w:val="24"/>
                <w:szCs w:val="32"/>
                <w:lang w:val="en-US" w:eastAsia="zh-CN"/>
              </w:rPr>
              <w:t>吨</w:t>
            </w:r>
            <w:r>
              <w:rPr>
                <w:rFonts w:hint="default" w:ascii="Times New Roman" w:hAnsi="Times New Roman" w:cs="Times New Roman"/>
                <w:kern w:val="0"/>
                <w:sz w:val="24"/>
                <w:szCs w:val="32"/>
              </w:rPr>
              <w:t>EPP泡沫制品</w:t>
            </w:r>
            <w:r>
              <w:rPr>
                <w:rFonts w:hint="default" w:ascii="Times New Roman" w:hAnsi="Times New Roman" w:cs="Times New Roman"/>
                <w:sz w:val="24"/>
                <w:szCs w:val="24"/>
              </w:rPr>
              <w:t>。</w:t>
            </w:r>
          </w:p>
          <w:p>
            <w:pPr>
              <w:adjustRightInd w:val="0"/>
              <w:snapToGrid w:val="0"/>
              <w:spacing w:line="360" w:lineRule="auto"/>
              <w:ind w:firstLine="420"/>
              <w:rPr>
                <w:rFonts w:hint="default" w:ascii="Times New Roman" w:hAnsi="Times New Roman" w:cs="Times New Roman"/>
                <w:bCs/>
                <w:sz w:val="24"/>
                <w:szCs w:val="32"/>
              </w:rPr>
            </w:pPr>
            <w:r>
              <w:rPr>
                <w:rFonts w:hint="default" w:ascii="Times New Roman" w:hAnsi="Times New Roman" w:cs="Times New Roman"/>
                <w:kern w:val="0"/>
                <w:sz w:val="24"/>
                <w:szCs w:val="32"/>
              </w:rPr>
              <w:t>对照《中华人民共和国环境影响评价法》、《建设项目环境保护管理条例》及《建设项目环境影响评价分类管理名录（2021年版）》等的相关规定，建设过程中或者建成投产后可能对环境产生影响的新建、扩建、改建、迁建、技术改造项目及区域开发建设项目，必须进行环境影响评价。本项目</w:t>
            </w:r>
            <w:r>
              <w:rPr>
                <w:rFonts w:hint="eastAsia" w:cs="Times New Roman"/>
                <w:kern w:val="0"/>
                <w:sz w:val="24"/>
                <w:szCs w:val="32"/>
                <w:lang w:val="en-US" w:eastAsia="zh-CN"/>
              </w:rPr>
              <w:t>不使用</w:t>
            </w:r>
            <w:r>
              <w:rPr>
                <w:rFonts w:hint="default" w:ascii="Times New Roman" w:hAnsi="Times New Roman" w:cs="Times New Roman"/>
                <w:kern w:val="0"/>
                <w:sz w:val="24"/>
                <w:szCs w:val="32"/>
              </w:rPr>
              <w:t>再生塑料</w:t>
            </w:r>
            <w:r>
              <w:rPr>
                <w:rFonts w:hint="eastAsia" w:cs="Times New Roman"/>
                <w:kern w:val="0"/>
                <w:sz w:val="24"/>
                <w:szCs w:val="32"/>
                <w:lang w:val="en-US" w:eastAsia="zh-CN"/>
              </w:rPr>
              <w:t>作为原料</w:t>
            </w:r>
            <w:r>
              <w:rPr>
                <w:rFonts w:hint="eastAsia" w:cs="Times New Roman"/>
                <w:kern w:val="0"/>
                <w:sz w:val="24"/>
                <w:szCs w:val="32"/>
                <w:lang w:eastAsia="zh-CN"/>
              </w:rPr>
              <w:t>，</w:t>
            </w:r>
            <w:r>
              <w:rPr>
                <w:rFonts w:hint="eastAsia" w:cs="Times New Roman"/>
                <w:kern w:val="0"/>
                <w:sz w:val="24"/>
                <w:szCs w:val="32"/>
                <w:lang w:val="en-US" w:eastAsia="zh-CN"/>
              </w:rPr>
              <w:t>不涉及</w:t>
            </w:r>
            <w:r>
              <w:rPr>
                <w:rFonts w:hint="default" w:ascii="Times New Roman" w:hAnsi="Times New Roman" w:cs="Times New Roman"/>
                <w:kern w:val="0"/>
                <w:sz w:val="24"/>
                <w:szCs w:val="32"/>
              </w:rPr>
              <w:t>电镀工艺</w:t>
            </w:r>
            <w:r>
              <w:rPr>
                <w:rFonts w:hint="eastAsia" w:cs="Times New Roman"/>
                <w:kern w:val="0"/>
                <w:sz w:val="24"/>
                <w:szCs w:val="32"/>
                <w:lang w:eastAsia="zh-CN"/>
              </w:rPr>
              <w:t>，</w:t>
            </w:r>
            <w:r>
              <w:rPr>
                <w:rFonts w:hint="eastAsia" w:cs="Times New Roman"/>
                <w:kern w:val="0"/>
                <w:sz w:val="24"/>
                <w:szCs w:val="32"/>
                <w:lang w:val="en-US" w:eastAsia="zh-CN"/>
              </w:rPr>
              <w:t>不涉及</w:t>
            </w:r>
            <w:r>
              <w:rPr>
                <w:rFonts w:hint="default" w:ascii="Times New Roman" w:hAnsi="Times New Roman" w:cs="Times New Roman"/>
                <w:kern w:val="0"/>
                <w:sz w:val="24"/>
                <w:szCs w:val="32"/>
              </w:rPr>
              <w:t>溶剂型胶粘剂</w:t>
            </w:r>
            <w:r>
              <w:rPr>
                <w:rFonts w:hint="eastAsia" w:cs="Times New Roman"/>
                <w:kern w:val="0"/>
                <w:sz w:val="24"/>
                <w:szCs w:val="32"/>
                <w:lang w:val="en-US" w:eastAsia="zh-CN"/>
              </w:rPr>
              <w:t>及</w:t>
            </w:r>
            <w:r>
              <w:rPr>
                <w:rFonts w:hint="default" w:ascii="Times New Roman" w:hAnsi="Times New Roman" w:cs="Times New Roman"/>
                <w:kern w:val="0"/>
                <w:sz w:val="24"/>
                <w:szCs w:val="32"/>
              </w:rPr>
              <w:t>涂料（含稀释剂）的</w:t>
            </w:r>
            <w:r>
              <w:rPr>
                <w:rFonts w:hint="eastAsia" w:cs="Times New Roman"/>
                <w:kern w:val="0"/>
                <w:sz w:val="24"/>
                <w:szCs w:val="32"/>
                <w:lang w:val="en-US" w:eastAsia="zh-CN"/>
              </w:rPr>
              <w:t>使用</w:t>
            </w:r>
            <w:r>
              <w:rPr>
                <w:rFonts w:hint="eastAsia" w:cs="Times New Roman"/>
                <w:kern w:val="0"/>
                <w:sz w:val="24"/>
                <w:szCs w:val="32"/>
                <w:lang w:eastAsia="zh-CN"/>
              </w:rPr>
              <w:t>，</w:t>
            </w:r>
            <w:r>
              <w:rPr>
                <w:rFonts w:hint="default" w:ascii="Times New Roman" w:hAnsi="Times New Roman" w:cs="Times New Roman"/>
                <w:kern w:val="0"/>
                <w:sz w:val="24"/>
                <w:szCs w:val="32"/>
              </w:rPr>
              <w:t>属于“二十六、橡胶和塑料制品业 29-53.塑料制品业 292-其他”，需编制环境影响报告表。</w:t>
            </w:r>
          </w:p>
          <w:p>
            <w:pPr>
              <w:autoSpaceDE w:val="0"/>
              <w:autoSpaceDN w:val="0"/>
              <w:adjustRightInd w:val="0"/>
              <w:snapToGrid w:val="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cs="Times New Roman"/>
                <w:kern w:val="0"/>
                <w:sz w:val="24"/>
                <w:szCs w:val="32"/>
              </w:rPr>
              <w:t>我单位接受委托后，认真研究了项目有关材料，并组织技术人员进行实地踏勘和调研，收集和核实有关材料，按照国家对建设项目环境影响评价的有关规定和有关环保政策、技术规范，编制了该项目的环境影响报告表</w:t>
            </w:r>
            <w:r>
              <w:rPr>
                <w:rFonts w:hint="default" w:ascii="Times New Roman" w:hAnsi="Times New Roman" w:cs="Times New Roman"/>
                <w:kern w:val="0"/>
                <w:sz w:val="24"/>
                <w:szCs w:val="32"/>
                <w:lang w:eastAsia="zh-CN"/>
              </w:rPr>
              <w:t>。</w:t>
            </w:r>
          </w:p>
          <w:p>
            <w:pPr>
              <w:autoSpaceDE w:val="0"/>
              <w:autoSpaceDN w:val="0"/>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二</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rPr>
              <w:t>项目概况</w:t>
            </w:r>
          </w:p>
          <w:p>
            <w:pPr>
              <w:autoSpaceDE w:val="0"/>
              <w:autoSpaceDN w:val="0"/>
              <w:adjustRightInd w:val="0"/>
              <w:snapToGrid w:val="0"/>
              <w:spacing w:line="360" w:lineRule="auto"/>
              <w:ind w:firstLine="482" w:firstLineChars="200"/>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1.</w:t>
            </w:r>
            <w:r>
              <w:rPr>
                <w:rFonts w:hint="default" w:ascii="Times New Roman" w:hAnsi="Times New Roman" w:cs="Times New Roman"/>
                <w:b/>
                <w:bCs/>
                <w:sz w:val="24"/>
                <w:szCs w:val="24"/>
              </w:rPr>
              <w:t>基本情况</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项目名称：年产500</w:t>
            </w:r>
            <w:r>
              <w:rPr>
                <w:rFonts w:hint="default" w:ascii="Times New Roman" w:hAnsi="Times New Roman" w:cs="Times New Roman"/>
                <w:kern w:val="0"/>
                <w:sz w:val="24"/>
                <w:szCs w:val="32"/>
                <w:lang w:val="en-US" w:eastAsia="zh-CN"/>
              </w:rPr>
              <w:t>吨</w:t>
            </w:r>
            <w:r>
              <w:rPr>
                <w:rFonts w:hint="default" w:ascii="Times New Roman" w:hAnsi="Times New Roman" w:eastAsia="宋体" w:cs="Times New Roman"/>
                <w:kern w:val="0"/>
                <w:sz w:val="24"/>
                <w:szCs w:val="32"/>
              </w:rPr>
              <w:t>EPP泡沫制品项目</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建设单位：南通市煜诚新材料有限公司</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建设地点：</w:t>
            </w:r>
            <w:r>
              <w:rPr>
                <w:rFonts w:hint="default" w:ascii="Times New Roman" w:hAnsi="Times New Roman" w:eastAsia="宋体" w:cs="Times New Roman"/>
                <w:color w:val="auto"/>
                <w:kern w:val="2"/>
                <w:sz w:val="24"/>
                <w:szCs w:val="24"/>
                <w:lang w:val="en-US" w:eastAsia="zh-CN" w:bidi="ar-SA"/>
              </w:rPr>
              <w:t>江苏省南通市如皋市城北街道陆桥村9组</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lang w:eastAsia="zh-CN"/>
              </w:rPr>
            </w:pPr>
            <w:r>
              <w:rPr>
                <w:rFonts w:hint="default" w:ascii="Times New Roman" w:hAnsi="Times New Roman" w:eastAsia="宋体" w:cs="Times New Roman"/>
                <w:kern w:val="0"/>
                <w:sz w:val="24"/>
                <w:szCs w:val="32"/>
              </w:rPr>
              <w:t>建设性质：</w:t>
            </w:r>
            <w:r>
              <w:rPr>
                <w:rFonts w:hint="default" w:ascii="Times New Roman" w:hAnsi="Times New Roman" w:eastAsia="宋体" w:cs="Times New Roman"/>
                <w:kern w:val="0"/>
                <w:sz w:val="24"/>
                <w:szCs w:val="32"/>
                <w:lang w:val="en-US" w:eastAsia="zh-CN"/>
              </w:rPr>
              <w:t>新建</w:t>
            </w:r>
            <w:r>
              <w:rPr>
                <w:rFonts w:hint="default" w:ascii="Times New Roman" w:hAnsi="Times New Roman" w:cs="Times New Roman"/>
                <w:kern w:val="0"/>
                <w:sz w:val="24"/>
                <w:szCs w:val="32"/>
                <w:lang w:val="en-US" w:eastAsia="zh-CN"/>
              </w:rPr>
              <w:t>（迁建）</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行业类别：</w:t>
            </w:r>
            <w:r>
              <w:rPr>
                <w:rFonts w:hint="default" w:ascii="Times New Roman" w:hAnsi="Times New Roman" w:cs="Times New Roman"/>
                <w:color w:val="auto"/>
                <w:sz w:val="24"/>
                <w:szCs w:val="24"/>
                <w:lang w:val="en-US" w:eastAsia="zh-CN"/>
              </w:rPr>
              <w:t>C2924 泡沫塑料制造</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投资总额：</w:t>
            </w:r>
            <w:r>
              <w:rPr>
                <w:rFonts w:hint="default" w:ascii="Times New Roman" w:hAnsi="Times New Roman" w:cs="Times New Roman"/>
                <w:kern w:val="0"/>
                <w:sz w:val="24"/>
                <w:szCs w:val="32"/>
                <w:lang w:val="en-US" w:eastAsia="zh-CN"/>
              </w:rPr>
              <w:t>3</w:t>
            </w:r>
            <w:r>
              <w:rPr>
                <w:rFonts w:hint="default" w:ascii="Times New Roman" w:hAnsi="Times New Roman" w:eastAsia="宋体" w:cs="Times New Roman"/>
                <w:kern w:val="0"/>
                <w:sz w:val="24"/>
                <w:szCs w:val="32"/>
              </w:rPr>
              <w:t>00万元，其中环保投资</w:t>
            </w:r>
            <w:r>
              <w:rPr>
                <w:rFonts w:hint="default" w:ascii="Times New Roman" w:hAnsi="Times New Roman" w:cs="Times New Roman"/>
                <w:kern w:val="0"/>
                <w:sz w:val="24"/>
                <w:szCs w:val="32"/>
                <w:lang w:val="en-US" w:eastAsia="zh-CN"/>
              </w:rPr>
              <w:t>15</w:t>
            </w:r>
            <w:r>
              <w:rPr>
                <w:rFonts w:hint="default" w:ascii="Times New Roman" w:hAnsi="Times New Roman" w:eastAsia="宋体" w:cs="Times New Roman"/>
                <w:kern w:val="0"/>
                <w:sz w:val="24"/>
                <w:szCs w:val="32"/>
              </w:rPr>
              <w:t>万元，占总投资额</w:t>
            </w:r>
            <w:r>
              <w:rPr>
                <w:rFonts w:hint="default" w:ascii="Times New Roman" w:hAnsi="Times New Roman" w:eastAsia="宋体" w:cs="Times New Roman"/>
                <w:kern w:val="0"/>
                <w:sz w:val="24"/>
                <w:szCs w:val="32"/>
                <w:lang w:val="en-US" w:eastAsia="zh-CN"/>
              </w:rPr>
              <w:t>5</w:t>
            </w:r>
            <w:r>
              <w:rPr>
                <w:rFonts w:hint="default" w:ascii="Times New Roman" w:hAnsi="Times New Roman" w:eastAsia="宋体" w:cs="Times New Roman"/>
                <w:kern w:val="0"/>
                <w:sz w:val="24"/>
                <w:szCs w:val="32"/>
              </w:rPr>
              <w:t>%。</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职工定员：本项目员工</w:t>
            </w:r>
            <w:r>
              <w:rPr>
                <w:rFonts w:hint="default" w:ascii="Times New Roman" w:hAnsi="Times New Roman" w:cs="Times New Roman"/>
                <w:kern w:val="0"/>
                <w:sz w:val="24"/>
                <w:szCs w:val="32"/>
                <w:lang w:val="en-US" w:eastAsia="zh-CN"/>
              </w:rPr>
              <w:t>20</w:t>
            </w:r>
            <w:r>
              <w:rPr>
                <w:rFonts w:hint="default" w:ascii="Times New Roman" w:hAnsi="Times New Roman" w:eastAsia="宋体" w:cs="Times New Roman"/>
                <w:kern w:val="0"/>
                <w:sz w:val="24"/>
                <w:szCs w:val="32"/>
                <w:lang w:val="en-US" w:eastAsia="zh-CN"/>
              </w:rPr>
              <w:t>人</w:t>
            </w:r>
            <w:r>
              <w:rPr>
                <w:rFonts w:hint="default" w:ascii="Times New Roman" w:hAnsi="Times New Roman" w:cs="Times New Roman"/>
                <w:kern w:val="0"/>
                <w:sz w:val="24"/>
                <w:szCs w:val="32"/>
                <w:lang w:val="en-US" w:eastAsia="zh-CN"/>
              </w:rPr>
              <w:t>，</w:t>
            </w:r>
            <w:r>
              <w:rPr>
                <w:rFonts w:hint="eastAsia" w:cs="Times New Roman"/>
                <w:kern w:val="0"/>
                <w:sz w:val="24"/>
                <w:szCs w:val="32"/>
                <w:lang w:val="en-US" w:eastAsia="zh-CN"/>
              </w:rPr>
              <w:t>从现有项目调派</w:t>
            </w:r>
            <w:r>
              <w:rPr>
                <w:rFonts w:hint="default" w:ascii="Times New Roman" w:hAnsi="Times New Roman" w:eastAsia="宋体" w:cs="Times New Roman"/>
                <w:kern w:val="0"/>
                <w:sz w:val="24"/>
                <w:szCs w:val="32"/>
              </w:rPr>
              <w:t>。</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工作制度：本项目实行</w:t>
            </w:r>
            <w:r>
              <w:rPr>
                <w:rFonts w:hint="default" w:ascii="Times New Roman" w:hAnsi="Times New Roman" w:cs="Times New Roman"/>
                <w:kern w:val="0"/>
                <w:sz w:val="24"/>
                <w:szCs w:val="32"/>
                <w:lang w:val="en-US" w:eastAsia="zh-CN"/>
              </w:rPr>
              <w:t>两</w:t>
            </w:r>
            <w:r>
              <w:rPr>
                <w:rFonts w:hint="default" w:ascii="Times New Roman" w:hAnsi="Times New Roman" w:eastAsia="宋体" w:cs="Times New Roman"/>
                <w:kern w:val="0"/>
                <w:sz w:val="24"/>
                <w:szCs w:val="32"/>
              </w:rPr>
              <w:t>班制，每班</w:t>
            </w:r>
            <w:r>
              <w:rPr>
                <w:rFonts w:hint="default" w:ascii="Times New Roman" w:hAnsi="Times New Roman" w:cs="Times New Roman"/>
                <w:kern w:val="0"/>
                <w:sz w:val="24"/>
                <w:szCs w:val="32"/>
                <w:lang w:val="en-US" w:eastAsia="zh-CN"/>
              </w:rPr>
              <w:t>10</w:t>
            </w:r>
            <w:r>
              <w:rPr>
                <w:rFonts w:hint="default" w:ascii="Times New Roman" w:hAnsi="Times New Roman" w:eastAsia="宋体" w:cs="Times New Roman"/>
                <w:kern w:val="0"/>
                <w:sz w:val="24"/>
                <w:szCs w:val="32"/>
              </w:rPr>
              <w:t>h，每年</w:t>
            </w:r>
            <w:r>
              <w:rPr>
                <w:rFonts w:hint="default" w:ascii="Times New Roman" w:hAnsi="Times New Roman" w:eastAsia="宋体" w:cs="Times New Roman"/>
                <w:kern w:val="0"/>
                <w:sz w:val="24"/>
                <w:szCs w:val="32"/>
                <w:lang w:val="en-US" w:eastAsia="zh-CN"/>
              </w:rPr>
              <w:t>300</w:t>
            </w:r>
            <w:r>
              <w:rPr>
                <w:rFonts w:hint="default" w:ascii="Times New Roman" w:hAnsi="Times New Roman" w:eastAsia="宋体" w:cs="Times New Roman"/>
                <w:kern w:val="0"/>
                <w:sz w:val="24"/>
                <w:szCs w:val="32"/>
              </w:rPr>
              <w:t>天，全年工作</w:t>
            </w:r>
            <w:r>
              <w:rPr>
                <w:rFonts w:hint="default" w:ascii="Times New Roman" w:hAnsi="Times New Roman" w:cs="Times New Roman"/>
                <w:kern w:val="0"/>
                <w:sz w:val="24"/>
                <w:szCs w:val="32"/>
                <w:lang w:val="en-US" w:eastAsia="zh-CN"/>
              </w:rPr>
              <w:t>60</w:t>
            </w:r>
            <w:r>
              <w:rPr>
                <w:rFonts w:hint="default" w:ascii="Times New Roman" w:hAnsi="Times New Roman" w:eastAsia="宋体" w:cs="Times New Roman"/>
                <w:kern w:val="0"/>
                <w:sz w:val="24"/>
                <w:szCs w:val="32"/>
                <w:lang w:val="en-US" w:eastAsia="zh-CN"/>
              </w:rPr>
              <w:t>00</w:t>
            </w:r>
            <w:r>
              <w:rPr>
                <w:rFonts w:hint="default" w:ascii="Times New Roman" w:hAnsi="Times New Roman" w:eastAsia="宋体" w:cs="Times New Roman"/>
                <w:kern w:val="0"/>
                <w:sz w:val="24"/>
                <w:szCs w:val="32"/>
              </w:rPr>
              <w:t>h</w:t>
            </w:r>
            <w:r>
              <w:rPr>
                <w:rFonts w:hint="default" w:ascii="Times New Roman" w:hAnsi="Times New Roman" w:eastAsia="宋体" w:cs="Times New Roman"/>
                <w:kern w:val="0"/>
                <w:sz w:val="24"/>
                <w:szCs w:val="32"/>
                <w:lang w:eastAsia="zh-CN"/>
              </w:rPr>
              <w:t>，不提供食宿，职工用餐自行解决</w:t>
            </w:r>
            <w:r>
              <w:rPr>
                <w:rFonts w:hint="default" w:ascii="Times New Roman" w:hAnsi="Times New Roman" w:eastAsia="宋体" w:cs="Times New Roman"/>
                <w:kern w:val="0"/>
                <w:sz w:val="24"/>
                <w:szCs w:val="32"/>
              </w:rPr>
              <w:t>。</w:t>
            </w:r>
          </w:p>
          <w:p>
            <w:pPr>
              <w:autoSpaceDE w:val="0"/>
              <w:autoSpaceDN w:val="0"/>
              <w:adjustRightInd w:val="0"/>
              <w:snapToGrid w:val="0"/>
              <w:spacing w:line="360" w:lineRule="auto"/>
              <w:ind w:firstLine="482" w:firstLineChars="200"/>
              <w:rPr>
                <w:rFonts w:hint="default" w:ascii="Times New Roman" w:hAnsi="Times New Roman" w:eastAsia="宋体" w:cs="Times New Roman"/>
                <w:b/>
                <w:bCs/>
                <w:kern w:val="0"/>
                <w:sz w:val="24"/>
                <w:szCs w:val="32"/>
              </w:rPr>
            </w:pPr>
            <w:r>
              <w:rPr>
                <w:rFonts w:hint="default" w:ascii="Times New Roman" w:hAnsi="Times New Roman" w:eastAsia="宋体" w:cs="Times New Roman"/>
                <w:b/>
                <w:bCs/>
                <w:kern w:val="0"/>
                <w:sz w:val="24"/>
                <w:szCs w:val="32"/>
                <w:lang w:val="en-US" w:eastAsia="zh-CN"/>
              </w:rPr>
              <w:t>2.</w:t>
            </w:r>
            <w:r>
              <w:rPr>
                <w:rFonts w:hint="default" w:ascii="Times New Roman" w:hAnsi="Times New Roman" w:eastAsia="宋体" w:cs="Times New Roman"/>
                <w:b/>
                <w:bCs/>
                <w:kern w:val="0"/>
                <w:sz w:val="24"/>
                <w:szCs w:val="32"/>
              </w:rPr>
              <w:t>产品方案</w:t>
            </w:r>
          </w:p>
          <w:p>
            <w:pPr>
              <w:pStyle w:val="13"/>
              <w:spacing w:before="0" w:after="0" w:line="360" w:lineRule="auto"/>
              <w:ind w:right="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迁建项目产品方案详见表2-</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rPr>
              <w:t>。</w:t>
            </w:r>
          </w:p>
          <w:p>
            <w:pPr>
              <w:adjustRightInd w:val="0"/>
              <w:snapToGrid w:val="0"/>
              <w:spacing w:line="360" w:lineRule="auto"/>
              <w:jc w:val="center"/>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表2-</w:t>
            </w:r>
            <w:r>
              <w:rPr>
                <w:rFonts w:hint="default" w:ascii="Times New Roman" w:hAnsi="Times New Roman" w:cs="Times New Roman"/>
                <w:b/>
                <w:color w:val="000000"/>
                <w:sz w:val="24"/>
                <w:szCs w:val="24"/>
                <w:lang w:val="en-US" w:eastAsia="zh-CN"/>
              </w:rPr>
              <w:t>1</w:t>
            </w:r>
            <w:r>
              <w:rPr>
                <w:rFonts w:hint="default" w:ascii="Times New Roman" w:hAnsi="Times New Roman" w:cs="Times New Roman"/>
                <w:b/>
                <w:color w:val="000000"/>
                <w:sz w:val="24"/>
                <w:szCs w:val="24"/>
              </w:rPr>
              <w:t xml:space="preserve">  </w:t>
            </w:r>
            <w:r>
              <w:rPr>
                <w:rFonts w:hint="default" w:ascii="Times New Roman" w:hAnsi="Times New Roman" w:cs="Times New Roman"/>
                <w:b/>
                <w:color w:val="000000"/>
                <w:sz w:val="24"/>
                <w:szCs w:val="24"/>
                <w:lang w:val="en-US" w:eastAsia="zh-CN"/>
              </w:rPr>
              <w:t>迁建</w:t>
            </w:r>
            <w:r>
              <w:rPr>
                <w:rFonts w:hint="default" w:ascii="Times New Roman" w:hAnsi="Times New Roman" w:cs="Times New Roman"/>
                <w:b/>
                <w:color w:val="000000"/>
                <w:sz w:val="24"/>
                <w:szCs w:val="24"/>
              </w:rPr>
              <w:t>项目产品方案表</w:t>
            </w:r>
          </w:p>
          <w:tbl>
            <w:tblPr>
              <w:tblStyle w:val="30"/>
              <w:tblW w:w="830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753"/>
              <w:gridCol w:w="1006"/>
              <w:gridCol w:w="1378"/>
              <w:gridCol w:w="1006"/>
              <w:gridCol w:w="165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07" w:type="dxa"/>
                  <w:vAlign w:val="center"/>
                </w:tcPr>
                <w:p>
                  <w:pPr>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工程名称</w:t>
                  </w:r>
                </w:p>
              </w:tc>
              <w:tc>
                <w:tcPr>
                  <w:tcW w:w="1753" w:type="dxa"/>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产品名称</w:t>
                  </w:r>
                </w:p>
              </w:tc>
              <w:tc>
                <w:tcPr>
                  <w:tcW w:w="1006" w:type="dxa"/>
                  <w:vAlign w:val="center"/>
                </w:tcPr>
                <w:p>
                  <w:pPr>
                    <w:pStyle w:val="59"/>
                    <w:adjustRightInd w:val="0"/>
                    <w:snapToGrid w:val="0"/>
                    <w:spacing w:line="24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kern w:val="2"/>
                      <w:sz w:val="21"/>
                      <w:szCs w:val="21"/>
                      <w:lang w:val="en-US" w:eastAsia="zh-CN"/>
                    </w:rPr>
                    <w:t>迁建前</w:t>
                  </w:r>
                </w:p>
              </w:tc>
              <w:tc>
                <w:tcPr>
                  <w:tcW w:w="1378" w:type="dxa"/>
                  <w:shd w:val="clear" w:color="auto" w:fill="auto"/>
                  <w:vAlign w:val="center"/>
                </w:tcPr>
                <w:p>
                  <w:pPr>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szCs w:val="21"/>
                      <w:lang w:val="en-US" w:eastAsia="zh-CN"/>
                    </w:rPr>
                    <w:t>迁建后</w:t>
                  </w:r>
                </w:p>
              </w:tc>
              <w:tc>
                <w:tcPr>
                  <w:tcW w:w="1006" w:type="dxa"/>
                  <w:vAlign w:val="center"/>
                </w:tcPr>
                <w:p>
                  <w:pPr>
                    <w:pStyle w:val="59"/>
                    <w:adjustRightInd w:val="0"/>
                    <w:snapToGrid w:val="0"/>
                    <w:spacing w:line="24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kern w:val="2"/>
                      <w:sz w:val="21"/>
                      <w:szCs w:val="21"/>
                      <w:lang w:val="en-US" w:eastAsia="zh-CN"/>
                    </w:rPr>
                    <w:t>变化量</w:t>
                  </w:r>
                </w:p>
              </w:tc>
              <w:tc>
                <w:tcPr>
                  <w:tcW w:w="1655" w:type="dxa"/>
                  <w:vAlign w:val="center"/>
                </w:tcPr>
                <w:p>
                  <w:pPr>
                    <w:pStyle w:val="59"/>
                    <w:adjustRightInd w:val="0"/>
                    <w:snapToGrid w:val="0"/>
                    <w:spacing w:line="240" w:lineRule="auto"/>
                    <w:rPr>
                      <w:rFonts w:hint="default" w:ascii="Times New Roman" w:hAnsi="Times New Roman" w:eastAsia="宋体" w:cs="Times New Roman"/>
                      <w:b/>
                      <w:bCs/>
                      <w:kern w:val="2"/>
                      <w:sz w:val="21"/>
                      <w:szCs w:val="21"/>
                      <w:lang w:val="en-US" w:eastAsia="zh-CN"/>
                    </w:rPr>
                  </w:pPr>
                  <w:r>
                    <w:rPr>
                      <w:rFonts w:hint="default" w:ascii="Times New Roman" w:hAnsi="Times New Roman" w:eastAsia="宋体" w:cs="Times New Roman"/>
                      <w:b/>
                      <w:bCs/>
                      <w:kern w:val="2"/>
                      <w:sz w:val="21"/>
                      <w:szCs w:val="21"/>
                      <w:lang w:val="en-US" w:eastAsia="zh-CN"/>
                    </w:rPr>
                    <w:t>年运行时数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507" w:type="dxa"/>
                  <w:vAlign w:val="center"/>
                </w:tcPr>
                <w:p>
                  <w:pPr>
                    <w:spacing w:line="240" w:lineRule="auto"/>
                    <w:jc w:val="center"/>
                    <w:rPr>
                      <w:rFonts w:hint="default" w:ascii="Times New Roman" w:hAnsi="Times New Roman" w:cs="Times New Roman"/>
                      <w:szCs w:val="21"/>
                    </w:rPr>
                  </w:pPr>
                  <w:r>
                    <w:rPr>
                      <w:rFonts w:hint="default" w:ascii="Times New Roman" w:hAnsi="Times New Roman" w:cs="Times New Roman"/>
                      <w:kern w:val="0"/>
                      <w:szCs w:val="21"/>
                    </w:rPr>
                    <w:t>租赁生产车间</w:t>
                  </w:r>
                </w:p>
              </w:tc>
              <w:tc>
                <w:tcPr>
                  <w:tcW w:w="1753" w:type="dxa"/>
                  <w:shd w:val="clear" w:color="auto" w:fill="auto"/>
                  <w:vAlign w:val="center"/>
                </w:tcPr>
                <w:p>
                  <w:pPr>
                    <w:pStyle w:val="66"/>
                    <w:spacing w:line="240" w:lineRule="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EPP泡沫制品</w:t>
                  </w:r>
                </w:p>
              </w:tc>
              <w:tc>
                <w:tcPr>
                  <w:tcW w:w="1006" w:type="dxa"/>
                  <w:shd w:val="clear" w:color="auto" w:fill="auto"/>
                  <w:vAlign w:val="center"/>
                </w:tcPr>
                <w:p>
                  <w:pPr>
                    <w:pStyle w:val="70"/>
                    <w:spacing w:line="240" w:lineRule="auto"/>
                    <w:ind w:firstLine="0" w:firstLineChars="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200t/a</w:t>
                  </w:r>
                </w:p>
              </w:tc>
              <w:tc>
                <w:tcPr>
                  <w:tcW w:w="1378" w:type="dxa"/>
                  <w:shd w:val="clear" w:color="auto" w:fill="auto"/>
                  <w:vAlign w:val="center"/>
                </w:tcPr>
                <w:p>
                  <w:pPr>
                    <w:pStyle w:val="7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500t/a</w:t>
                  </w:r>
                </w:p>
              </w:tc>
              <w:tc>
                <w:tcPr>
                  <w:tcW w:w="1006" w:type="dxa"/>
                  <w:shd w:val="clear" w:color="auto" w:fill="auto"/>
                  <w:vAlign w:val="center"/>
                </w:tcPr>
                <w:p>
                  <w:pPr>
                    <w:pStyle w:val="7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+300t/a</w:t>
                  </w:r>
                </w:p>
              </w:tc>
              <w:tc>
                <w:tcPr>
                  <w:tcW w:w="1655" w:type="dxa"/>
                  <w:vAlign w:val="center"/>
                </w:tcPr>
                <w:p>
                  <w:pPr>
                    <w:snapToGrid w:val="0"/>
                    <w:spacing w:line="240" w:lineRule="auto"/>
                    <w:jc w:val="center"/>
                    <w:rPr>
                      <w:rFonts w:hint="default" w:ascii="Times New Roman" w:hAnsi="Times New Roman" w:cs="Times New Roman"/>
                      <w:szCs w:val="21"/>
                    </w:rPr>
                  </w:pPr>
                  <w:r>
                    <w:rPr>
                      <w:rFonts w:hint="default" w:ascii="Times New Roman" w:hAnsi="Times New Roman" w:cs="Times New Roman"/>
                      <w:szCs w:val="21"/>
                      <w:lang w:val="en-US" w:eastAsia="zh-CN"/>
                    </w:rPr>
                    <w:t>60</w:t>
                  </w:r>
                  <w:r>
                    <w:rPr>
                      <w:rFonts w:hint="default" w:ascii="Times New Roman" w:hAnsi="Times New Roman" w:cs="Times New Roman"/>
                      <w:szCs w:val="21"/>
                    </w:rPr>
                    <w:t>00h</w:t>
                  </w:r>
                </w:p>
              </w:tc>
            </w:tr>
          </w:tbl>
          <w:p>
            <w:pPr>
              <w:numPr>
                <w:ilvl w:val="0"/>
                <w:numId w:val="0"/>
              </w:numPr>
              <w:autoSpaceDE w:val="0"/>
              <w:autoSpaceDN w:val="0"/>
              <w:adjustRightInd w:val="0"/>
              <w:snapToGrid w:val="0"/>
              <w:spacing w:line="240" w:lineRule="auto"/>
              <w:rPr>
                <w:rFonts w:hint="default" w:ascii="Times New Roman" w:hAnsi="Times New Roman" w:eastAsia="宋体" w:cs="Times New Roman"/>
                <w:kern w:val="0"/>
              </w:rPr>
            </w:pP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产品技术要求：</w:t>
            </w:r>
            <w:r>
              <w:rPr>
                <w:rFonts w:hint="default" w:ascii="Times New Roman" w:hAnsi="Times New Roman" w:eastAsia="宋体" w:cs="Times New Roman"/>
                <w:kern w:val="0"/>
                <w:sz w:val="24"/>
                <w:szCs w:val="32"/>
                <w:lang w:val="en-US" w:eastAsia="zh-CN"/>
              </w:rPr>
              <w:t>密度</w:t>
            </w:r>
            <w:r>
              <w:rPr>
                <w:rFonts w:hint="default" w:ascii="Times New Roman" w:hAnsi="Times New Roman" w:cs="Times New Roman"/>
                <w:kern w:val="0"/>
                <w:sz w:val="24"/>
                <w:szCs w:val="32"/>
                <w:lang w:val="en-US" w:eastAsia="zh-CN"/>
              </w:rPr>
              <w:t>0.06</w:t>
            </w:r>
            <w:r>
              <w:rPr>
                <w:rFonts w:hint="default" w:ascii="Times New Roman" w:hAnsi="Times New Roman" w:eastAsia="宋体" w:cs="Times New Roman"/>
                <w:kern w:val="0"/>
                <w:sz w:val="24"/>
                <w:szCs w:val="32"/>
                <w:lang w:val="en-US" w:eastAsia="zh-CN"/>
              </w:rPr>
              <w:t>±</w:t>
            </w:r>
            <w:r>
              <w:rPr>
                <w:rFonts w:hint="default" w:ascii="Times New Roman" w:hAnsi="Times New Roman" w:cs="Times New Roman"/>
                <w:kern w:val="0"/>
                <w:sz w:val="24"/>
                <w:szCs w:val="32"/>
                <w:lang w:val="en-US" w:eastAsia="zh-CN"/>
              </w:rPr>
              <w:t>0.005</w:t>
            </w:r>
            <w:r>
              <w:rPr>
                <w:rFonts w:hint="default" w:ascii="Times New Roman" w:hAnsi="Times New Roman" w:eastAsia="宋体" w:cs="Times New Roman"/>
                <w:kern w:val="0"/>
                <w:sz w:val="24"/>
                <w:szCs w:val="32"/>
                <w:lang w:val="en-US" w:eastAsia="zh-CN"/>
              </w:rPr>
              <w:t>g/</w:t>
            </w:r>
            <w:r>
              <w:rPr>
                <w:rFonts w:hint="default" w:ascii="Times New Roman" w:hAnsi="Times New Roman" w:cs="Times New Roman"/>
                <w:kern w:val="0"/>
                <w:sz w:val="24"/>
                <w:szCs w:val="32"/>
                <w:lang w:val="en-US" w:eastAsia="zh-CN"/>
              </w:rPr>
              <w:t>c</w:t>
            </w:r>
            <w:r>
              <w:rPr>
                <w:rFonts w:hint="default" w:ascii="Times New Roman" w:hAnsi="Times New Roman" w:eastAsia="宋体" w:cs="Times New Roman"/>
                <w:kern w:val="0"/>
                <w:sz w:val="24"/>
                <w:szCs w:val="32"/>
                <w:lang w:val="en-US" w:eastAsia="zh-CN"/>
              </w:rPr>
              <w:t>m</w:t>
            </w:r>
            <w:r>
              <w:rPr>
                <w:rFonts w:hint="default" w:ascii="Times New Roman" w:hAnsi="Times New Roman" w:eastAsia="宋体" w:cs="Times New Roman"/>
                <w:kern w:val="0"/>
                <w:sz w:val="24"/>
                <w:szCs w:val="32"/>
                <w:vertAlign w:val="superscript"/>
                <w:lang w:val="en-US" w:eastAsia="zh-CN"/>
              </w:rPr>
              <w:t>3</w:t>
            </w:r>
            <w:r>
              <w:rPr>
                <w:rFonts w:hint="default" w:ascii="Times New Roman" w:hAnsi="Times New Roman" w:eastAsia="宋体" w:cs="Times New Roman"/>
                <w:kern w:val="0"/>
                <w:sz w:val="24"/>
                <w:szCs w:val="32"/>
                <w:lang w:val="en-US" w:eastAsia="zh-CN"/>
              </w:rPr>
              <w:t>、压缩强度≥</w:t>
            </w:r>
            <w:r>
              <w:rPr>
                <w:rFonts w:hint="default" w:ascii="Times New Roman" w:hAnsi="Times New Roman" w:cs="Times New Roman"/>
                <w:kern w:val="0"/>
                <w:sz w:val="24"/>
                <w:szCs w:val="32"/>
                <w:lang w:val="en-US" w:eastAsia="zh-CN"/>
              </w:rPr>
              <w:t>480</w:t>
            </w:r>
            <w:r>
              <w:rPr>
                <w:rFonts w:hint="default" w:ascii="Times New Roman" w:hAnsi="Times New Roman" w:eastAsia="宋体" w:cs="Times New Roman"/>
                <w:kern w:val="0"/>
                <w:sz w:val="24"/>
                <w:szCs w:val="32"/>
                <w:lang w:val="en-US" w:eastAsia="zh-CN"/>
              </w:rPr>
              <w:t>kPa、拉伸强度≥1</w:t>
            </w:r>
            <w:r>
              <w:rPr>
                <w:rFonts w:hint="default" w:ascii="Times New Roman" w:hAnsi="Times New Roman" w:cs="Times New Roman"/>
                <w:kern w:val="0"/>
                <w:sz w:val="24"/>
                <w:szCs w:val="32"/>
                <w:lang w:val="en-US" w:eastAsia="zh-CN"/>
              </w:rPr>
              <w:t>M</w:t>
            </w:r>
            <w:r>
              <w:rPr>
                <w:rFonts w:hint="default" w:ascii="Times New Roman" w:hAnsi="Times New Roman" w:eastAsia="宋体" w:cs="Times New Roman"/>
                <w:kern w:val="0"/>
                <w:sz w:val="24"/>
                <w:szCs w:val="32"/>
                <w:lang w:val="en-US" w:eastAsia="zh-CN"/>
              </w:rPr>
              <w:t>Pa、</w:t>
            </w:r>
            <w:r>
              <w:rPr>
                <w:rFonts w:hint="default" w:ascii="Times New Roman" w:hAnsi="Times New Roman" w:cs="Times New Roman"/>
                <w:kern w:val="0"/>
                <w:sz w:val="24"/>
                <w:szCs w:val="32"/>
                <w:lang w:val="en-US" w:eastAsia="zh-CN"/>
              </w:rPr>
              <w:t>断裂</w:t>
            </w:r>
            <w:r>
              <w:rPr>
                <w:rFonts w:hint="default" w:ascii="Times New Roman" w:hAnsi="Times New Roman" w:eastAsia="宋体" w:cs="Times New Roman"/>
                <w:kern w:val="0"/>
                <w:sz w:val="24"/>
                <w:szCs w:val="32"/>
                <w:lang w:val="en-US" w:eastAsia="zh-CN"/>
              </w:rPr>
              <w:t>伸长率≥</w:t>
            </w:r>
            <w:r>
              <w:rPr>
                <w:rFonts w:hint="default" w:ascii="Times New Roman" w:hAnsi="Times New Roman" w:cs="Times New Roman"/>
                <w:kern w:val="0"/>
                <w:sz w:val="24"/>
                <w:szCs w:val="32"/>
                <w:lang w:val="en-US" w:eastAsia="zh-CN"/>
              </w:rPr>
              <w:t>15</w:t>
            </w:r>
            <w:r>
              <w:rPr>
                <w:rFonts w:hint="default" w:ascii="Times New Roman" w:hAnsi="Times New Roman" w:eastAsia="宋体" w:cs="Times New Roman"/>
                <w:kern w:val="0"/>
                <w:sz w:val="24"/>
                <w:szCs w:val="32"/>
                <w:lang w:val="en-US" w:eastAsia="zh-CN"/>
              </w:rPr>
              <w:t>%、弯曲强度≥130kPa、尺寸稳定性±1%</w:t>
            </w:r>
            <w:r>
              <w:rPr>
                <w:rFonts w:hint="default" w:ascii="Times New Roman" w:hAnsi="Times New Roman" w:cs="Times New Roman"/>
                <w:kern w:val="0"/>
                <w:sz w:val="24"/>
                <w:szCs w:val="32"/>
                <w:lang w:val="en-US" w:eastAsia="zh-CN"/>
              </w:rPr>
              <w:t>。</w:t>
            </w:r>
          </w:p>
          <w:p>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3、主体、公辅、储运及环保工程</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（1）主体工程</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建设项目租用</w:t>
            </w:r>
            <w:r>
              <w:rPr>
                <w:rFonts w:hint="default" w:ascii="Times New Roman" w:hAnsi="Times New Roman" w:cs="Times New Roman"/>
                <w:kern w:val="0"/>
                <w:sz w:val="24"/>
                <w:szCs w:val="32"/>
              </w:rPr>
              <w:t>如皋市大生线路器材有限公司</w:t>
            </w:r>
            <w:r>
              <w:rPr>
                <w:rFonts w:hint="default" w:ascii="Times New Roman" w:hAnsi="Times New Roman" w:eastAsia="宋体" w:cs="Times New Roman"/>
                <w:kern w:val="0"/>
                <w:sz w:val="24"/>
                <w:szCs w:val="32"/>
              </w:rPr>
              <w:t>位于</w:t>
            </w:r>
            <w:r>
              <w:rPr>
                <w:rFonts w:hint="default" w:ascii="Times New Roman" w:hAnsi="Times New Roman" w:cs="Times New Roman"/>
                <w:kern w:val="0"/>
                <w:sz w:val="24"/>
                <w:szCs w:val="32"/>
              </w:rPr>
              <w:t>如皋市城北街道陆桥村9组</w:t>
            </w:r>
            <w:r>
              <w:rPr>
                <w:rFonts w:hint="default" w:ascii="Times New Roman" w:hAnsi="Times New Roman" w:eastAsia="宋体" w:cs="Times New Roman"/>
                <w:kern w:val="0"/>
                <w:sz w:val="24"/>
                <w:szCs w:val="32"/>
              </w:rPr>
              <w:t>的厂房</w:t>
            </w:r>
            <w:r>
              <w:rPr>
                <w:rFonts w:hint="default" w:ascii="Times New Roman" w:hAnsi="Times New Roman" w:eastAsia="宋体" w:cs="Times New Roman"/>
                <w:kern w:val="0"/>
                <w:sz w:val="24"/>
                <w:szCs w:val="32"/>
                <w:lang w:eastAsia="zh-CN"/>
              </w:rPr>
              <w:t>（</w:t>
            </w:r>
            <w:r>
              <w:rPr>
                <w:rFonts w:hint="default" w:ascii="Times New Roman" w:hAnsi="Times New Roman" w:cs="Times New Roman"/>
                <w:kern w:val="0"/>
                <w:sz w:val="24"/>
                <w:szCs w:val="32"/>
                <w:lang w:val="en-US" w:eastAsia="zh-CN"/>
              </w:rPr>
              <w:t>占地</w:t>
            </w:r>
            <w:r>
              <w:rPr>
                <w:rFonts w:hint="default" w:ascii="Times New Roman" w:hAnsi="Times New Roman" w:eastAsia="宋体" w:cs="Times New Roman"/>
                <w:kern w:val="0"/>
                <w:sz w:val="24"/>
                <w:szCs w:val="32"/>
              </w:rPr>
              <w:t>面积</w:t>
            </w:r>
            <w:r>
              <w:rPr>
                <w:rFonts w:hint="default" w:ascii="Times New Roman" w:hAnsi="Times New Roman" w:cs="Times New Roman"/>
                <w:kern w:val="0"/>
                <w:sz w:val="24"/>
                <w:szCs w:val="32"/>
                <w:lang w:val="en-US" w:eastAsia="zh-CN"/>
              </w:rPr>
              <w:t>282</w:t>
            </w:r>
            <w:r>
              <w:rPr>
                <w:rFonts w:hint="default" w:ascii="Times New Roman" w:hAnsi="Times New Roman" w:eastAsia="宋体" w:cs="Times New Roman"/>
                <w:kern w:val="0"/>
                <w:sz w:val="24"/>
                <w:szCs w:val="32"/>
                <w:lang w:val="en-US" w:eastAsia="zh-CN"/>
              </w:rPr>
              <w:t>0</w:t>
            </w:r>
            <w:r>
              <w:rPr>
                <w:rFonts w:hint="default" w:ascii="Times New Roman" w:hAnsi="Times New Roman" w:eastAsia="宋体" w:cs="Times New Roman"/>
                <w:kern w:val="0"/>
                <w:sz w:val="24"/>
                <w:szCs w:val="32"/>
              </w:rPr>
              <w:t>m</w:t>
            </w:r>
            <w:r>
              <w:rPr>
                <w:rFonts w:hint="default" w:ascii="Times New Roman" w:hAnsi="Times New Roman" w:eastAsia="宋体" w:cs="Times New Roman"/>
                <w:kern w:val="0"/>
                <w:sz w:val="24"/>
                <w:szCs w:val="32"/>
                <w:vertAlign w:val="superscript"/>
              </w:rPr>
              <w:t>2</w:t>
            </w:r>
            <w:r>
              <w:rPr>
                <w:rFonts w:hint="default" w:ascii="Times New Roman" w:hAnsi="Times New Roman" w:eastAsia="宋体" w:cs="Times New Roman"/>
                <w:kern w:val="0"/>
                <w:sz w:val="24"/>
                <w:szCs w:val="32"/>
                <w:lang w:eastAsia="zh-CN"/>
              </w:rPr>
              <w:t>）</w:t>
            </w:r>
            <w:r>
              <w:rPr>
                <w:rFonts w:hint="default" w:ascii="Times New Roman" w:hAnsi="Times New Roman" w:eastAsia="宋体" w:cs="Times New Roman"/>
                <w:kern w:val="0"/>
                <w:sz w:val="24"/>
                <w:szCs w:val="32"/>
              </w:rPr>
              <w:t>，从</w:t>
            </w:r>
            <w:r>
              <w:rPr>
                <w:rFonts w:hint="default" w:ascii="Times New Roman" w:hAnsi="Times New Roman" w:cs="Times New Roman"/>
                <w:kern w:val="0"/>
                <w:sz w:val="24"/>
                <w:szCs w:val="32"/>
                <w:lang w:val="en-US" w:eastAsia="zh-CN"/>
              </w:rPr>
              <w:t>南</w:t>
            </w:r>
            <w:r>
              <w:rPr>
                <w:rFonts w:hint="default" w:ascii="Times New Roman" w:hAnsi="Times New Roman" w:eastAsia="宋体" w:cs="Times New Roman"/>
                <w:kern w:val="0"/>
                <w:sz w:val="24"/>
                <w:szCs w:val="32"/>
              </w:rPr>
              <w:t>到</w:t>
            </w:r>
            <w:r>
              <w:rPr>
                <w:rFonts w:hint="default" w:ascii="Times New Roman" w:hAnsi="Times New Roman" w:cs="Times New Roman"/>
                <w:kern w:val="0"/>
                <w:sz w:val="24"/>
                <w:szCs w:val="32"/>
                <w:lang w:val="en-US" w:eastAsia="zh-CN"/>
              </w:rPr>
              <w:t>北</w:t>
            </w:r>
            <w:r>
              <w:rPr>
                <w:rFonts w:hint="default" w:ascii="Times New Roman" w:hAnsi="Times New Roman" w:eastAsia="宋体" w:cs="Times New Roman"/>
                <w:kern w:val="0"/>
                <w:sz w:val="24"/>
                <w:szCs w:val="32"/>
              </w:rPr>
              <w:t>依次为仓储区、办公区、生产区。</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（2）给水</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cs="Times New Roman"/>
                <w:sz w:val="24"/>
                <w:szCs w:val="24"/>
                <w:lang w:val="en-US" w:eastAsia="zh-CN"/>
              </w:rPr>
              <w:t>迁建</w:t>
            </w:r>
            <w:r>
              <w:rPr>
                <w:rFonts w:hint="default" w:ascii="Times New Roman" w:hAnsi="Times New Roman" w:cs="Times New Roman"/>
                <w:sz w:val="24"/>
                <w:szCs w:val="24"/>
              </w:rPr>
              <w:t>项目自来水用量为</w:t>
            </w:r>
            <w:r>
              <w:rPr>
                <w:rFonts w:hint="eastAsia" w:cs="Times New Roman"/>
                <w:sz w:val="24"/>
                <w:szCs w:val="24"/>
                <w:lang w:val="en-US" w:eastAsia="zh-CN"/>
              </w:rPr>
              <w:t>615</w:t>
            </w:r>
            <w:r>
              <w:rPr>
                <w:rFonts w:hint="default" w:ascii="Times New Roman" w:hAnsi="Times New Roman" w:cs="Times New Roman"/>
                <w:sz w:val="24"/>
                <w:szCs w:val="24"/>
              </w:rPr>
              <w:t>t/a，</w:t>
            </w:r>
            <w:r>
              <w:rPr>
                <w:rFonts w:hint="default" w:ascii="Times New Roman" w:hAnsi="Times New Roman" w:cs="Times New Roman"/>
                <w:sz w:val="24"/>
                <w:szCs w:val="24"/>
                <w:lang w:val="en-US" w:eastAsia="zh-CN"/>
              </w:rPr>
              <w:t>其中</w:t>
            </w:r>
            <w:r>
              <w:rPr>
                <w:rFonts w:hint="default" w:ascii="Times New Roman" w:hAnsi="Times New Roman" w:cs="Times New Roman"/>
                <w:sz w:val="24"/>
                <w:szCs w:val="24"/>
              </w:rPr>
              <w:t>生活用水</w:t>
            </w:r>
            <w:r>
              <w:rPr>
                <w:rFonts w:hint="default" w:ascii="Times New Roman" w:hAnsi="Times New Roman" w:cs="Times New Roman"/>
                <w:sz w:val="24"/>
                <w:szCs w:val="24"/>
                <w:lang w:val="en-US" w:eastAsia="zh-CN"/>
              </w:rPr>
              <w:t>300t/a，冷却用水</w:t>
            </w:r>
            <w:r>
              <w:rPr>
                <w:rFonts w:hint="eastAsia" w:cs="Times New Roman"/>
                <w:sz w:val="24"/>
                <w:szCs w:val="24"/>
                <w:lang w:val="en-US" w:eastAsia="zh-CN"/>
              </w:rPr>
              <w:t>315</w:t>
            </w:r>
            <w:r>
              <w:rPr>
                <w:rFonts w:hint="default" w:ascii="Times New Roman" w:hAnsi="Times New Roman" w:cs="Times New Roman"/>
                <w:sz w:val="24"/>
                <w:szCs w:val="24"/>
                <w:lang w:val="en-US" w:eastAsia="zh-CN"/>
              </w:rPr>
              <w:t>t/a</w:t>
            </w:r>
            <w:r>
              <w:rPr>
                <w:rFonts w:hint="default" w:ascii="Times New Roman" w:hAnsi="Times New Roman" w:eastAsia="宋体" w:cs="Times New Roman"/>
                <w:kern w:val="0"/>
                <w:sz w:val="24"/>
                <w:szCs w:val="32"/>
              </w:rPr>
              <w:t>。</w:t>
            </w:r>
            <w:r>
              <w:rPr>
                <w:rFonts w:hint="default" w:ascii="Times New Roman" w:hAnsi="Times New Roman" w:eastAsia="宋体" w:cs="Times New Roman"/>
                <w:kern w:val="0"/>
                <w:sz w:val="24"/>
                <w:szCs w:val="32"/>
                <w:lang w:val="en-US" w:eastAsia="zh-CN"/>
              </w:rPr>
              <w:t>依托租赁方供水系统</w:t>
            </w:r>
            <w:r>
              <w:rPr>
                <w:rFonts w:hint="default" w:ascii="Times New Roman" w:hAnsi="Times New Roman" w:eastAsia="宋体" w:cs="Times New Roman"/>
                <w:kern w:val="0"/>
                <w:sz w:val="24"/>
                <w:szCs w:val="32"/>
              </w:rPr>
              <w:t>。</w:t>
            </w:r>
          </w:p>
          <w:p>
            <w:pPr>
              <w:adjustRightInd w:val="0"/>
              <w:snapToGrid w:val="0"/>
              <w:spacing w:line="360" w:lineRule="auto"/>
              <w:ind w:firstLine="458" w:firstLineChars="191"/>
              <w:rPr>
                <w:rFonts w:hint="default" w:ascii="Times New Roman" w:hAnsi="Times New Roman" w:eastAsia="宋体" w:cs="Times New Roman"/>
                <w:sz w:val="24"/>
                <w:szCs w:val="24"/>
              </w:rPr>
            </w:pPr>
            <w:r>
              <w:rPr>
                <w:rFonts w:hint="default" w:ascii="Times New Roman" w:hAnsi="Times New Roman" w:cs="Times New Roman"/>
                <w:sz w:val="24"/>
                <w:szCs w:val="24"/>
              </w:rPr>
              <w:t>建设项目职工</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rPr>
              <w:t>人，年工作</w:t>
            </w:r>
            <w:r>
              <w:rPr>
                <w:rFonts w:hint="default" w:ascii="Times New Roman" w:hAnsi="Times New Roman" w:cs="Times New Roman"/>
                <w:sz w:val="24"/>
                <w:szCs w:val="24"/>
                <w:lang w:val="en-US" w:eastAsia="zh-CN"/>
              </w:rPr>
              <w:t>30</w:t>
            </w:r>
            <w:r>
              <w:rPr>
                <w:rFonts w:hint="default" w:ascii="Times New Roman" w:hAnsi="Times New Roman" w:cs="Times New Roman"/>
                <w:sz w:val="24"/>
                <w:szCs w:val="24"/>
              </w:rPr>
              <w:t>0天，实行</w:t>
            </w:r>
            <w:r>
              <w:rPr>
                <w:rFonts w:hint="default" w:ascii="Times New Roman" w:hAnsi="Times New Roman" w:cs="Times New Roman"/>
                <w:sz w:val="24"/>
                <w:szCs w:val="24"/>
                <w:lang w:val="en-US" w:eastAsia="zh-CN"/>
              </w:rPr>
              <w:t>两</w:t>
            </w:r>
            <w:r>
              <w:rPr>
                <w:rFonts w:hint="default" w:ascii="Times New Roman" w:hAnsi="Times New Roman" w:cs="Times New Roman"/>
                <w:sz w:val="24"/>
                <w:szCs w:val="24"/>
              </w:rPr>
              <w:t>班</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小时制生产，根据《建筑给水排水设计规范（2019年版）》，工业企业员工人均生活用水量取50L/人•天（班），则生活用水量为</w:t>
            </w:r>
            <w:r>
              <w:rPr>
                <w:rFonts w:hint="default" w:ascii="Times New Roman" w:hAnsi="Times New Roman" w:cs="Times New Roman"/>
                <w:sz w:val="24"/>
                <w:szCs w:val="24"/>
                <w:lang w:val="en-US" w:eastAsia="zh-CN"/>
              </w:rPr>
              <w:t>300</w:t>
            </w:r>
            <w:r>
              <w:rPr>
                <w:rFonts w:hint="default" w:ascii="Times New Roman" w:hAnsi="Times New Roman" w:cs="Times New Roman"/>
                <w:sz w:val="24"/>
                <w:szCs w:val="24"/>
              </w:rPr>
              <w:t>t/a，产污系数以0.8计，则生活污水产生量为</w:t>
            </w:r>
            <w:r>
              <w:rPr>
                <w:rFonts w:hint="default" w:ascii="Times New Roman" w:hAnsi="Times New Roman" w:cs="Times New Roman"/>
                <w:sz w:val="24"/>
                <w:szCs w:val="24"/>
                <w:lang w:val="en-US" w:eastAsia="zh-CN"/>
              </w:rPr>
              <w:t>240</w:t>
            </w:r>
            <w:r>
              <w:rPr>
                <w:rFonts w:hint="default" w:ascii="Times New Roman" w:hAnsi="Times New Roman" w:cs="Times New Roman"/>
                <w:sz w:val="24"/>
                <w:szCs w:val="24"/>
              </w:rPr>
              <w:t>t/a</w:t>
            </w:r>
            <w:r>
              <w:rPr>
                <w:rFonts w:hint="default" w:ascii="Times New Roman" w:hAnsi="Times New Roman" w:cs="Times New Roman"/>
                <w:sz w:val="24"/>
                <w:szCs w:val="24"/>
                <w:lang w:eastAsia="zh-CN"/>
              </w:rPr>
              <w:t>，经</w:t>
            </w:r>
            <w:r>
              <w:rPr>
                <w:rFonts w:hint="default" w:ascii="Times New Roman" w:hAnsi="Times New Roman" w:cs="Times New Roman"/>
                <w:sz w:val="24"/>
                <w:szCs w:val="24"/>
                <w:lang w:val="en-US" w:eastAsia="zh-CN"/>
              </w:rPr>
              <w:t>租赁方</w:t>
            </w:r>
            <w:r>
              <w:rPr>
                <w:rFonts w:hint="default" w:ascii="Times New Roman" w:hAnsi="Times New Roman" w:cs="Times New Roman"/>
                <w:sz w:val="24"/>
                <w:szCs w:val="24"/>
                <w:lang w:eastAsia="zh-CN"/>
              </w:rPr>
              <w:t>化粪池预处理后</w:t>
            </w:r>
            <w:r>
              <w:rPr>
                <w:rFonts w:hint="default" w:ascii="Times New Roman" w:hAnsi="Times New Roman" w:cs="Times New Roman"/>
                <w:sz w:val="24"/>
                <w:szCs w:val="24"/>
                <w:lang w:val="en-US" w:eastAsia="zh-CN"/>
              </w:rPr>
              <w:t>接管</w:t>
            </w:r>
            <w:r>
              <w:rPr>
                <w:rFonts w:hint="default" w:ascii="Times New Roman" w:hAnsi="Times New Roman" w:cs="Times New Roman"/>
                <w:sz w:val="24"/>
                <w:szCs w:val="24"/>
                <w:lang w:eastAsia="zh-CN"/>
              </w:rPr>
              <w:t>至如皋恒发水处理有限公司处理</w:t>
            </w:r>
            <w:r>
              <w:rPr>
                <w:rFonts w:hint="default" w:ascii="Times New Roman" w:hAnsi="Times New Roman" w:cs="Times New Roman"/>
                <w:sz w:val="24"/>
                <w:szCs w:val="24"/>
              </w:rPr>
              <w:t>。</w:t>
            </w:r>
          </w:p>
          <w:p>
            <w:pPr>
              <w:adjustRightInd w:val="0"/>
              <w:snapToGrid w:val="0"/>
              <w:spacing w:line="360" w:lineRule="auto"/>
              <w:ind w:firstLine="458" w:firstLineChars="19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项目生产工序中采用蒸汽冷凝水进行冷却(2.5t</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h)，</w:t>
            </w:r>
            <w:r>
              <w:rPr>
                <w:rFonts w:hint="default" w:ascii="Times New Roman" w:hAnsi="Times New Roman" w:cs="Times New Roman"/>
                <w:sz w:val="24"/>
                <w:szCs w:val="24"/>
              </w:rPr>
              <w:t>由于冷却用水对水质要求不高，主要是</w:t>
            </w:r>
            <w:r>
              <w:rPr>
                <w:rFonts w:hint="default" w:ascii="Times New Roman" w:hAnsi="Times New Roman" w:cs="Times New Roman"/>
                <w:sz w:val="24"/>
                <w:szCs w:val="24"/>
                <w:lang w:val="en-US" w:eastAsia="zh-CN"/>
              </w:rPr>
              <w:t>用于间接冷却脱模</w:t>
            </w:r>
            <w:r>
              <w:rPr>
                <w:rFonts w:hint="default" w:ascii="Times New Roman" w:hAnsi="Times New Roman" w:cs="Times New Roman"/>
                <w:sz w:val="24"/>
                <w:szCs w:val="24"/>
              </w:rPr>
              <w:t>的温度</w:t>
            </w:r>
            <w:r>
              <w:rPr>
                <w:rFonts w:hint="default" w:ascii="Times New Roman" w:hAnsi="Times New Roman" w:cs="Times New Roman"/>
                <w:sz w:val="24"/>
                <w:szCs w:val="24"/>
                <w:lang w:val="en-US" w:eastAsia="zh-CN"/>
              </w:rPr>
              <w:t>调控</w:t>
            </w:r>
            <w:r>
              <w:rPr>
                <w:rFonts w:hint="default" w:ascii="Times New Roman" w:hAnsi="Times New Roman" w:cs="Times New Roman"/>
                <w:sz w:val="24"/>
                <w:szCs w:val="24"/>
              </w:rPr>
              <w:t>，因此冷却水可循环使用不排放（考虑到盐分累积对设备和管线影响，企业会增加设备检测维护频次）</w:t>
            </w:r>
            <w:r>
              <w:rPr>
                <w:rFonts w:hint="default" w:ascii="Times New Roman" w:hAnsi="Times New Roman" w:eastAsia="宋体" w:cs="Times New Roman"/>
                <w:sz w:val="24"/>
                <w:szCs w:val="24"/>
                <w:lang w:val="en-US" w:eastAsia="zh-CN"/>
              </w:rPr>
              <w:t>，循环</w:t>
            </w:r>
            <w:r>
              <w:rPr>
                <w:rFonts w:hint="default" w:ascii="Times New Roman" w:hAnsi="Times New Roman" w:cs="Times New Roman"/>
                <w:sz w:val="24"/>
                <w:szCs w:val="24"/>
                <w:lang w:val="en-US" w:eastAsia="zh-CN"/>
              </w:rPr>
              <w:t>量15000t/a，</w:t>
            </w:r>
            <w:r>
              <w:rPr>
                <w:rFonts w:hint="eastAsia" w:cs="Times New Roman"/>
                <w:sz w:val="24"/>
                <w:szCs w:val="24"/>
                <w:lang w:val="en-US" w:eastAsia="zh-CN"/>
              </w:rPr>
              <w:t>根据</w:t>
            </w:r>
            <w:r>
              <w:rPr>
                <w:rFonts w:hint="eastAsia" w:ascii="Times New Roman" w:hAnsi="Times New Roman" w:eastAsia="宋体" w:cs="Times New Roman"/>
                <w:bCs w:val="0"/>
                <w:spacing w:val="0"/>
                <w:sz w:val="24"/>
                <w:szCs w:val="24"/>
                <w:lang w:val="en-US" w:eastAsia="zh-CN"/>
              </w:rPr>
              <w:t>《工业循环冷却水处理设计规范》(GB/T50050-2017)</w:t>
            </w:r>
            <w:r>
              <w:rPr>
                <w:rFonts w:hint="default" w:ascii="Times New Roman" w:hAnsi="Times New Roman" w:eastAsia="宋体" w:cs="Times New Roman"/>
                <w:sz w:val="24"/>
                <w:szCs w:val="24"/>
                <w:lang w:val="en-US" w:eastAsia="zh-CN"/>
              </w:rPr>
              <w:t>，开式系统的</w:t>
            </w:r>
            <w:r>
              <w:rPr>
                <w:rFonts w:hint="eastAsia" w:ascii="Times New Roman" w:hAnsi="Times New Roman" w:eastAsia="宋体" w:cs="Times New Roman"/>
                <w:sz w:val="24"/>
                <w:szCs w:val="24"/>
                <w:lang w:val="en-US" w:eastAsia="zh-CN"/>
              </w:rPr>
              <w:t>补充</w:t>
            </w:r>
            <w:r>
              <w:rPr>
                <w:rFonts w:hint="default" w:ascii="Times New Roman" w:hAnsi="Times New Roman" w:eastAsia="宋体" w:cs="Times New Roman"/>
                <w:sz w:val="24"/>
                <w:szCs w:val="24"/>
                <w:lang w:val="en-US" w:eastAsia="zh-CN"/>
              </w:rPr>
              <w:t>水量可按下列公式计算：</w:t>
            </w:r>
          </w:p>
          <w:p>
            <w:pPr>
              <w:adjustRightInd w:val="0"/>
              <w:snapToGrid w:val="0"/>
              <w:spacing w:line="360" w:lineRule="auto"/>
              <w:ind w:firstLine="458" w:firstLineChars="191"/>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Qm=Qe*N/（N-1）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Qe=k*∆t*Qr</w:t>
            </w:r>
          </w:p>
          <w:p>
            <w:pPr>
              <w:pStyle w:val="77"/>
              <w:adjustRightInd w:val="0"/>
              <w:snapToGrid w:val="0"/>
              <w:spacing w:line="360" w:lineRule="auto"/>
              <w:ind w:left="0" w:leftChars="0"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式中：Qm—补充水量（m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/h）；Qe—蒸发水量（m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/h）；N-浓缩倍数，取值</w:t>
            </w:r>
            <w:r>
              <w:rPr>
                <w:rFonts w:hint="eastAsia" w:ascii="Times New Roman" w:hAnsi="Times New Roman" w:eastAsia="宋体" w:cs="Times New Roman"/>
                <w:sz w:val="24"/>
                <w:szCs w:val="24"/>
                <w:lang w:val="en-US" w:eastAsia="zh-CN"/>
              </w:rPr>
              <w:t>3</w:t>
            </w:r>
            <w:r>
              <w:rPr>
                <w:rFonts w:hint="eastAsia" w:hAnsi="Cambria Math" w:cs="Times New Roman"/>
                <w:i w:val="0"/>
                <w:color w:val="auto"/>
                <w:kern w:val="2"/>
                <w:sz w:val="24"/>
                <w:szCs w:val="24"/>
                <w:lang w:val="en-US" w:eastAsia="zh-CN" w:bidi="ar-SA"/>
              </w:rPr>
              <w:t>；</w:t>
            </w:r>
            <w:r>
              <w:rPr>
                <w:rFonts w:hint="default" w:ascii="Times New Roman" w:hAnsi="Times New Roman" w:eastAsia="宋体" w:cs="Times New Roman"/>
                <w:sz w:val="24"/>
                <w:szCs w:val="24"/>
                <w:lang w:val="en-US" w:eastAsia="zh-CN"/>
              </w:rPr>
              <w:t>Qr—循环冷却水量（m</w:t>
            </w:r>
            <w:r>
              <w:rPr>
                <w:rFonts w:hint="default" w:ascii="Times New Roman" w:hAnsi="Times New Roman" w:eastAsia="宋体" w:cs="Times New Roman"/>
                <w:sz w:val="24"/>
                <w:szCs w:val="24"/>
                <w:vertAlign w:val="superscript"/>
                <w:lang w:val="en-US" w:eastAsia="zh-CN"/>
              </w:rPr>
              <w:t>3</w:t>
            </w:r>
            <w:r>
              <w:rPr>
                <w:rFonts w:hint="default" w:ascii="Times New Roman" w:hAnsi="Times New Roman" w:eastAsia="宋体" w:cs="Times New Roman"/>
                <w:sz w:val="24"/>
                <w:szCs w:val="24"/>
                <w:lang w:val="en-US" w:eastAsia="zh-CN"/>
              </w:rPr>
              <w:t>/h）；∆t-温差（℃），取值</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0；k-蒸发损失系数，取值0.001</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lang w:val="en-US" w:eastAsia="zh-CN"/>
              </w:rPr>
              <w:t>。</w:t>
            </w:r>
          </w:p>
          <w:p>
            <w:pPr>
              <w:adjustRightInd w:val="0"/>
              <w:snapToGrid w:val="0"/>
              <w:spacing w:line="360" w:lineRule="auto"/>
              <w:ind w:firstLine="458" w:firstLineChars="19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lang w:val="en-US" w:eastAsia="zh-CN"/>
              </w:rPr>
              <w:t>企业</w:t>
            </w:r>
            <w:r>
              <w:rPr>
                <w:rFonts w:hint="default" w:ascii="Times New Roman" w:hAnsi="Times New Roman" w:eastAsia="宋体" w:cs="Times New Roman"/>
                <w:sz w:val="24"/>
                <w:szCs w:val="24"/>
                <w:lang w:val="en-US" w:eastAsia="zh-CN"/>
              </w:rPr>
              <w:t>补充水量</w:t>
            </w:r>
            <w:r>
              <w:rPr>
                <w:rFonts w:hint="eastAsia" w:cs="Times New Roman"/>
                <w:sz w:val="24"/>
                <w:szCs w:val="24"/>
                <w:lang w:val="en-US" w:eastAsia="zh-CN"/>
              </w:rPr>
              <w:t>约675</w:t>
            </w:r>
            <w:r>
              <w:rPr>
                <w:rFonts w:hint="default" w:ascii="Times New Roman" w:hAnsi="Times New Roman" w:eastAsia="宋体" w:cs="Times New Roman"/>
                <w:sz w:val="24"/>
                <w:szCs w:val="24"/>
                <w:lang w:val="en-US" w:eastAsia="zh-CN"/>
              </w:rPr>
              <w:t>t</w:t>
            </w:r>
            <w:r>
              <w:rPr>
                <w:rFonts w:hint="eastAsia" w:cs="Times New Roman"/>
                <w:sz w:val="24"/>
                <w:szCs w:val="24"/>
                <w:lang w:val="en-US" w:eastAsia="zh-CN"/>
              </w:rPr>
              <w:t>/a</w:t>
            </w:r>
            <w:r>
              <w:rPr>
                <w:rFonts w:hint="default" w:ascii="Times New Roman" w:hAnsi="Times New Roman" w:eastAsia="宋体" w:cs="Times New Roman"/>
                <w:sz w:val="24"/>
                <w:szCs w:val="24"/>
                <w:lang w:val="en-US" w:eastAsia="zh-CN"/>
              </w:rPr>
              <w:t>，</w:t>
            </w:r>
            <w:r>
              <w:rPr>
                <w:rFonts w:hint="eastAsia" w:cs="Times New Roman"/>
                <w:sz w:val="24"/>
                <w:szCs w:val="24"/>
                <w:lang w:val="en-US" w:eastAsia="zh-CN"/>
              </w:rPr>
              <w:t>该部分</w:t>
            </w:r>
            <w:r>
              <w:rPr>
                <w:rFonts w:hint="default" w:ascii="Times New Roman" w:hAnsi="Times New Roman" w:eastAsia="宋体" w:cs="Times New Roman"/>
                <w:sz w:val="24"/>
                <w:szCs w:val="24"/>
                <w:lang w:val="en-US" w:eastAsia="zh-CN"/>
              </w:rPr>
              <w:t>由蒸汽经冷凝后进行补充</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本项目蒸汽(由江苏大唐国际如皋热电有限责任公司供应蒸汽)的年用量为</w:t>
            </w:r>
            <w:r>
              <w:rPr>
                <w:rFonts w:hint="default" w:ascii="Times New Roman" w:hAnsi="Times New Roman" w:cs="Times New Roman"/>
                <w:sz w:val="24"/>
                <w:szCs w:val="24"/>
                <w:lang w:val="en-US" w:eastAsia="zh-CN"/>
              </w:rPr>
              <w:t>18</w:t>
            </w:r>
            <w:r>
              <w:rPr>
                <w:rFonts w:hint="default" w:ascii="Times New Roman" w:hAnsi="Times New Roman" w:eastAsia="宋体" w:cs="Times New Roman"/>
                <w:sz w:val="24"/>
                <w:szCs w:val="24"/>
                <w:lang w:val="en-US" w:eastAsia="zh-CN"/>
              </w:rPr>
              <w:t>00t，根据业主提供的资料，约</w:t>
            </w:r>
            <w:r>
              <w:rPr>
                <w:rFonts w:hint="eastAsia" w:cs="Times New Roman"/>
                <w:sz w:val="24"/>
                <w:szCs w:val="24"/>
                <w:lang w:val="en-US" w:eastAsia="zh-CN"/>
              </w:rPr>
              <w:t>2</w:t>
            </w:r>
            <w:r>
              <w:rPr>
                <w:rFonts w:hint="default" w:ascii="Times New Roman" w:hAnsi="Times New Roman" w:eastAsia="宋体" w:cs="Times New Roman"/>
                <w:sz w:val="24"/>
                <w:szCs w:val="24"/>
                <w:lang w:val="en-US" w:eastAsia="zh-CN"/>
              </w:rPr>
              <w:t>0%蒸汽成为蒸汽冷凝水（其余</w:t>
            </w:r>
            <w:r>
              <w:rPr>
                <w:rFonts w:hint="eastAsia" w:cs="Times New Roman"/>
                <w:sz w:val="24"/>
                <w:szCs w:val="24"/>
                <w:lang w:val="en-US" w:eastAsia="zh-CN"/>
              </w:rPr>
              <w:t>8</w:t>
            </w:r>
            <w:r>
              <w:rPr>
                <w:rFonts w:hint="default" w:ascii="Times New Roman" w:hAnsi="Times New Roman" w:eastAsia="宋体" w:cs="Times New Roman"/>
                <w:sz w:val="24"/>
                <w:szCs w:val="24"/>
                <w:lang w:val="en-US" w:eastAsia="zh-CN"/>
              </w:rPr>
              <w:t>0%蒸发损耗），则蒸汽冷凝水收集量为</w:t>
            </w:r>
            <w:r>
              <w:rPr>
                <w:rFonts w:hint="eastAsia" w:cs="Times New Roman"/>
                <w:sz w:val="24"/>
                <w:szCs w:val="24"/>
                <w:lang w:val="en-US" w:eastAsia="zh-CN"/>
              </w:rPr>
              <w:t>36</w:t>
            </w:r>
            <w:r>
              <w:rPr>
                <w:rFonts w:hint="default" w:ascii="Times New Roman" w:hAnsi="Times New Roman" w:eastAsia="宋体" w:cs="Times New Roman"/>
                <w:sz w:val="24"/>
                <w:szCs w:val="24"/>
                <w:lang w:val="en-US" w:eastAsia="zh-CN"/>
              </w:rPr>
              <w:t>0t/a。冷凝水量</w:t>
            </w:r>
            <w:r>
              <w:rPr>
                <w:rFonts w:hint="eastAsia" w:cs="Times New Roman"/>
                <w:sz w:val="24"/>
                <w:szCs w:val="24"/>
                <w:lang w:val="en-US" w:eastAsia="zh-CN"/>
              </w:rPr>
              <w:t>不</w:t>
            </w:r>
            <w:r>
              <w:rPr>
                <w:rFonts w:hint="default" w:ascii="Times New Roman" w:hAnsi="Times New Roman" w:eastAsia="宋体" w:cs="Times New Roman"/>
                <w:sz w:val="24"/>
                <w:szCs w:val="24"/>
                <w:lang w:val="en-US" w:eastAsia="zh-CN"/>
              </w:rPr>
              <w:t>能满足冷却循环过程中水损耗量的补充，因此，需另行补充水量</w:t>
            </w:r>
            <w:r>
              <w:rPr>
                <w:rFonts w:hint="eastAsia" w:cs="Times New Roman"/>
                <w:sz w:val="24"/>
                <w:szCs w:val="24"/>
                <w:lang w:val="en-US" w:eastAsia="zh-CN"/>
              </w:rPr>
              <w:t>315t/a</w:t>
            </w:r>
            <w:r>
              <w:rPr>
                <w:rFonts w:hint="default" w:ascii="Times New Roman" w:hAnsi="Times New Roman" w:eastAsia="宋体" w:cs="Times New Roman"/>
                <w:sz w:val="24"/>
                <w:szCs w:val="24"/>
                <w:lang w:val="en-US" w:eastAsia="zh-CN"/>
              </w:rPr>
              <w:t>。</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（3）排水</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cs="Times New Roman"/>
                <w:kern w:val="0"/>
                <w:sz w:val="24"/>
                <w:szCs w:val="24"/>
              </w:rPr>
              <w:t>建设项目生活污水经租赁方化粪池收集</w:t>
            </w:r>
            <w:r>
              <w:rPr>
                <w:rFonts w:hint="default" w:ascii="Times New Roman" w:hAnsi="Times New Roman" w:cs="Times New Roman"/>
                <w:kern w:val="0"/>
                <w:sz w:val="24"/>
                <w:szCs w:val="24"/>
                <w:lang w:eastAsia="zh-CN"/>
              </w:rPr>
              <w:t>，</w:t>
            </w:r>
            <w:r>
              <w:rPr>
                <w:rFonts w:hint="default" w:ascii="Times New Roman" w:hAnsi="Times New Roman" w:eastAsia="宋体" w:cs="Times New Roman"/>
                <w:kern w:val="2"/>
                <w:sz w:val="24"/>
                <w:szCs w:val="32"/>
                <w:lang w:val="en-US" w:eastAsia="zh-CN" w:bidi="ar-SA"/>
              </w:rPr>
              <w:t>依托租赁方管网及排口接管排放，如皋市大生线路器材有限公司对接管前的废水承担环保责任</w:t>
            </w:r>
            <w:r>
              <w:rPr>
                <w:rFonts w:hint="default" w:ascii="Times New Roman" w:hAnsi="Times New Roman" w:eastAsia="宋体" w:cs="Times New Roman"/>
                <w:kern w:val="0"/>
                <w:sz w:val="24"/>
                <w:szCs w:val="32"/>
              </w:rPr>
              <w:t>。</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（4）供电</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由市政电网</w:t>
            </w:r>
            <w:r>
              <w:rPr>
                <w:rFonts w:hint="default" w:ascii="Times New Roman" w:hAnsi="Times New Roman" w:cs="Times New Roman"/>
                <w:kern w:val="0"/>
                <w:sz w:val="24"/>
                <w:szCs w:val="32"/>
                <w:lang w:val="en-US" w:eastAsia="zh-CN"/>
              </w:rPr>
              <w:t>10kV</w:t>
            </w:r>
            <w:r>
              <w:rPr>
                <w:rFonts w:hint="default" w:ascii="Times New Roman" w:hAnsi="Times New Roman" w:eastAsia="宋体" w:cs="Times New Roman"/>
                <w:kern w:val="0"/>
                <w:sz w:val="24"/>
                <w:szCs w:val="32"/>
              </w:rPr>
              <w:t>线路接入本项目租赁单位变压器，由租赁单位变配电间降压后 （380/220V）从配电房对各用电设备及车间供电，</w:t>
            </w:r>
            <w:r>
              <w:rPr>
                <w:rFonts w:hint="default" w:ascii="Times New Roman" w:hAnsi="Times New Roman" w:cs="Times New Roman"/>
                <w:kern w:val="0"/>
                <w:sz w:val="24"/>
                <w:szCs w:val="32"/>
                <w:lang w:eastAsia="zh-CN"/>
              </w:rPr>
              <w:t>新建（迁建）项目</w:t>
            </w:r>
            <w:r>
              <w:rPr>
                <w:rFonts w:hint="default" w:ascii="Times New Roman" w:hAnsi="Times New Roman" w:eastAsia="宋体" w:cs="Times New Roman"/>
                <w:kern w:val="0"/>
                <w:sz w:val="24"/>
                <w:szCs w:val="32"/>
              </w:rPr>
              <w:t>用电量约10万度，现有变压器能够满足</w:t>
            </w:r>
            <w:r>
              <w:rPr>
                <w:rFonts w:hint="default" w:ascii="Times New Roman" w:hAnsi="Times New Roman" w:cs="Times New Roman"/>
                <w:kern w:val="0"/>
                <w:sz w:val="24"/>
                <w:szCs w:val="32"/>
                <w:lang w:eastAsia="zh-CN"/>
              </w:rPr>
              <w:t>新建（迁建）项目</w:t>
            </w:r>
            <w:r>
              <w:rPr>
                <w:rFonts w:hint="default" w:ascii="Times New Roman" w:hAnsi="Times New Roman" w:eastAsia="宋体" w:cs="Times New Roman"/>
                <w:kern w:val="0"/>
                <w:sz w:val="24"/>
                <w:szCs w:val="32"/>
              </w:rPr>
              <w:t>用电需求，项目供电系统依托租赁方，可保证本项目需求。</w:t>
            </w:r>
          </w:p>
          <w:p>
            <w:pPr>
              <w:numPr>
                <w:ilvl w:val="0"/>
                <w:numId w:val="3"/>
              </w:numPr>
              <w:autoSpaceDE w:val="0"/>
              <w:autoSpaceDN w:val="0"/>
              <w:adjustRightInd w:val="0"/>
              <w:snapToGrid w:val="0"/>
              <w:spacing w:line="360" w:lineRule="auto"/>
              <w:ind w:firstLine="480" w:firstLineChars="200"/>
              <w:rPr>
                <w:rFonts w:hint="default" w:ascii="Times New Roman" w:hAnsi="Times New Roman" w:cs="Times New Roman"/>
                <w:kern w:val="0"/>
                <w:sz w:val="24"/>
                <w:szCs w:val="32"/>
                <w:lang w:val="en-US" w:eastAsia="zh-CN"/>
              </w:rPr>
            </w:pPr>
            <w:r>
              <w:rPr>
                <w:rFonts w:hint="default" w:ascii="Times New Roman" w:hAnsi="Times New Roman" w:cs="Times New Roman"/>
                <w:kern w:val="0"/>
                <w:sz w:val="24"/>
                <w:szCs w:val="32"/>
                <w:lang w:val="en-US" w:eastAsia="zh-CN"/>
              </w:rPr>
              <w:t>供热</w:t>
            </w:r>
          </w:p>
          <w:p>
            <w:pPr>
              <w:autoSpaceDE w:val="0"/>
              <w:autoSpaceDN w:val="0"/>
              <w:adjustRightInd w:val="0"/>
              <w:snapToGrid w:val="0"/>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本项目蒸汽由江苏大唐国际如皋热电有限责任公司供应，年用量为1800t，根据业主提供的资料，</w:t>
            </w:r>
            <w:r>
              <w:rPr>
                <w:rFonts w:hint="default" w:ascii="Times New Roman" w:hAnsi="Times New Roman" w:eastAsia="宋体" w:cs="Times New Roman"/>
                <w:sz w:val="24"/>
                <w:lang w:val="en-US" w:eastAsia="zh-CN"/>
              </w:rPr>
              <w:t>搬迁前因为与热电厂距离6.4km，在管道传输过程中热量损耗约为25%，搬迁后与热电厂距离</w:t>
            </w:r>
            <w:r>
              <w:rPr>
                <w:rFonts w:hint="eastAsia" w:ascii="Times New Roman" w:hAnsi="Times New Roman" w:eastAsia="宋体" w:cs="Times New Roman"/>
                <w:sz w:val="24"/>
                <w:lang w:val="en-US" w:eastAsia="zh-CN"/>
              </w:rPr>
              <w:t>仅</w:t>
            </w:r>
            <w:r>
              <w:rPr>
                <w:rFonts w:hint="default" w:ascii="Times New Roman" w:hAnsi="Times New Roman" w:eastAsia="宋体" w:cs="Times New Roman"/>
                <w:sz w:val="24"/>
                <w:lang w:val="en-US" w:eastAsia="zh-CN"/>
              </w:rPr>
              <w:t>2.3</w:t>
            </w:r>
            <w:r>
              <w:rPr>
                <w:rFonts w:hint="eastAsia" w:ascii="Times New Roman" w:hAnsi="Times New Roman" w:eastAsia="宋体" w:cs="Times New Roman"/>
                <w:sz w:val="24"/>
                <w:lang w:val="en-US" w:eastAsia="zh-CN"/>
              </w:rPr>
              <w:t>k</w:t>
            </w:r>
            <w:r>
              <w:rPr>
                <w:rFonts w:hint="default" w:ascii="Times New Roman" w:hAnsi="Times New Roman" w:eastAsia="宋体" w:cs="Times New Roman"/>
                <w:sz w:val="24"/>
                <w:lang w:val="en-US" w:eastAsia="zh-CN"/>
              </w:rPr>
              <w:t>m，</w:t>
            </w:r>
            <w:r>
              <w:rPr>
                <w:rFonts w:hint="eastAsia" w:ascii="Times New Roman" w:hAnsi="Times New Roman" w:eastAsia="宋体" w:cs="Times New Roman"/>
                <w:sz w:val="24"/>
                <w:lang w:val="en-US" w:eastAsia="zh-CN"/>
              </w:rPr>
              <w:t>相对</w:t>
            </w:r>
            <w:r>
              <w:rPr>
                <w:rFonts w:hint="default" w:ascii="Times New Roman" w:hAnsi="Times New Roman" w:eastAsia="宋体" w:cs="Times New Roman"/>
                <w:sz w:val="24"/>
                <w:lang w:val="en-US" w:eastAsia="zh-CN"/>
              </w:rPr>
              <w:t>距离减少4.1km，热量损耗约为</w:t>
            </w:r>
            <w:r>
              <w:rPr>
                <w:rFonts w:hint="eastAsia" w:ascii="Times New Roman" w:hAnsi="Times New Roman" w:eastAsia="宋体" w:cs="Times New Roman"/>
                <w:sz w:val="24"/>
                <w:lang w:val="en-US" w:eastAsia="zh-CN"/>
              </w:rPr>
              <w:t>9</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且</w:t>
            </w:r>
            <w:r>
              <w:rPr>
                <w:rFonts w:hint="default" w:ascii="Times New Roman" w:hAnsi="Times New Roman" w:eastAsia="宋体" w:cs="Times New Roman"/>
                <w:sz w:val="24"/>
                <w:szCs w:val="24"/>
                <w:lang w:val="en-US" w:eastAsia="zh-CN"/>
              </w:rPr>
              <w:t>蒸汽供应温度及压力增高，企业通过对蒸汽温度与压力的调控，可在减少蒸汽用量的同时，满足产能增加的需要</w:t>
            </w:r>
            <w:r>
              <w:rPr>
                <w:rFonts w:hint="eastAsia" w:ascii="Times New Roman" w:hAnsi="Times New Roman" w:eastAsia="宋体" w:cs="Times New Roman"/>
                <w:sz w:val="24"/>
                <w:szCs w:val="24"/>
                <w:lang w:val="en-US" w:eastAsia="zh-CN"/>
              </w:rPr>
              <w:t>。</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cs="Times New Roman"/>
                <w:kern w:val="0"/>
                <w:sz w:val="24"/>
                <w:szCs w:val="32"/>
                <w:lang w:eastAsia="zh-CN"/>
              </w:rPr>
              <w:t>（</w:t>
            </w:r>
            <w:r>
              <w:rPr>
                <w:rFonts w:hint="default" w:ascii="Times New Roman" w:hAnsi="Times New Roman" w:cs="Times New Roman"/>
                <w:kern w:val="0"/>
                <w:sz w:val="24"/>
                <w:szCs w:val="32"/>
                <w:lang w:val="en-US" w:eastAsia="zh-CN"/>
              </w:rPr>
              <w:t>6</w:t>
            </w:r>
            <w:r>
              <w:rPr>
                <w:rFonts w:hint="default" w:ascii="Times New Roman" w:hAnsi="Times New Roman" w:cs="Times New Roman"/>
                <w:kern w:val="0"/>
                <w:sz w:val="24"/>
                <w:szCs w:val="32"/>
                <w:lang w:eastAsia="zh-CN"/>
              </w:rPr>
              <w:t>）</w:t>
            </w:r>
            <w:r>
              <w:rPr>
                <w:rFonts w:hint="default" w:ascii="Times New Roman" w:hAnsi="Times New Roman" w:eastAsia="宋体" w:cs="Times New Roman"/>
                <w:kern w:val="0"/>
                <w:sz w:val="24"/>
                <w:szCs w:val="32"/>
              </w:rPr>
              <w:t>储运</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cs="Times New Roman"/>
                <w:sz w:val="24"/>
                <w:szCs w:val="24"/>
              </w:rPr>
              <w:t>原料区</w:t>
            </w:r>
            <w:r>
              <w:rPr>
                <w:rFonts w:hint="default" w:ascii="Times New Roman" w:hAnsi="Times New Roman" w:eastAsia="宋体" w:cs="Times New Roman"/>
                <w:kern w:val="0"/>
                <w:sz w:val="24"/>
                <w:szCs w:val="32"/>
              </w:rPr>
              <w:t>占地面积为</w:t>
            </w:r>
            <w:r>
              <w:rPr>
                <w:rFonts w:hint="default" w:ascii="Times New Roman" w:hAnsi="Times New Roman" w:cs="Times New Roman"/>
                <w:kern w:val="0"/>
                <w:sz w:val="24"/>
                <w:szCs w:val="32"/>
                <w:lang w:val="en-US" w:eastAsia="zh-CN"/>
              </w:rPr>
              <w:t>50</w:t>
            </w:r>
            <w:r>
              <w:rPr>
                <w:rFonts w:hint="default" w:ascii="Times New Roman" w:hAnsi="Times New Roman" w:eastAsia="宋体" w:cs="Times New Roman"/>
                <w:kern w:val="0"/>
                <w:sz w:val="24"/>
                <w:szCs w:val="32"/>
                <w:lang w:val="en-US" w:eastAsia="zh-CN"/>
              </w:rPr>
              <w:t>0</w:t>
            </w:r>
            <w:r>
              <w:rPr>
                <w:rFonts w:hint="default" w:ascii="Times New Roman" w:hAnsi="Times New Roman" w:eastAsia="宋体" w:cs="Times New Roman"/>
                <w:kern w:val="0"/>
                <w:sz w:val="24"/>
                <w:szCs w:val="32"/>
              </w:rPr>
              <w:t>m</w:t>
            </w:r>
            <w:r>
              <w:rPr>
                <w:rFonts w:hint="default" w:ascii="Times New Roman" w:hAnsi="Times New Roman" w:eastAsia="宋体" w:cs="Times New Roman"/>
                <w:kern w:val="0"/>
                <w:sz w:val="24"/>
                <w:szCs w:val="32"/>
                <w:vertAlign w:val="superscript"/>
              </w:rPr>
              <w:t>2</w:t>
            </w:r>
            <w:r>
              <w:rPr>
                <w:rFonts w:hint="default" w:ascii="Times New Roman" w:hAnsi="Times New Roman" w:eastAsia="宋体" w:cs="Times New Roman"/>
                <w:kern w:val="0"/>
                <w:sz w:val="24"/>
                <w:szCs w:val="32"/>
              </w:rPr>
              <w:t>，成品</w:t>
            </w:r>
            <w:r>
              <w:rPr>
                <w:rFonts w:hint="default" w:ascii="Times New Roman" w:hAnsi="Times New Roman" w:eastAsia="宋体" w:cs="Times New Roman"/>
                <w:kern w:val="0"/>
                <w:sz w:val="24"/>
                <w:szCs w:val="32"/>
                <w:lang w:val="en-US" w:eastAsia="zh-CN"/>
              </w:rPr>
              <w:t>区</w:t>
            </w:r>
            <w:r>
              <w:rPr>
                <w:rFonts w:hint="default" w:ascii="Times New Roman" w:hAnsi="Times New Roman" w:eastAsia="宋体" w:cs="Times New Roman"/>
                <w:kern w:val="0"/>
                <w:sz w:val="24"/>
                <w:szCs w:val="32"/>
              </w:rPr>
              <w:t>占地面积</w:t>
            </w:r>
            <w:r>
              <w:rPr>
                <w:rFonts w:hint="default" w:ascii="Times New Roman" w:hAnsi="Times New Roman" w:cs="Times New Roman"/>
                <w:kern w:val="0"/>
                <w:sz w:val="24"/>
                <w:szCs w:val="32"/>
                <w:lang w:val="en-US" w:eastAsia="zh-CN"/>
              </w:rPr>
              <w:t>50</w:t>
            </w:r>
            <w:r>
              <w:rPr>
                <w:rFonts w:hint="default" w:ascii="Times New Roman" w:hAnsi="Times New Roman" w:eastAsia="宋体" w:cs="Times New Roman"/>
                <w:kern w:val="0"/>
                <w:sz w:val="24"/>
                <w:szCs w:val="32"/>
                <w:lang w:val="en-US" w:eastAsia="zh-CN"/>
              </w:rPr>
              <w:t>0</w:t>
            </w:r>
            <w:r>
              <w:rPr>
                <w:rFonts w:hint="default" w:ascii="Times New Roman" w:hAnsi="Times New Roman" w:eastAsia="宋体" w:cs="Times New Roman"/>
                <w:kern w:val="0"/>
                <w:sz w:val="24"/>
                <w:szCs w:val="32"/>
              </w:rPr>
              <w:t>m</w:t>
            </w:r>
            <w:r>
              <w:rPr>
                <w:rFonts w:hint="default" w:ascii="Times New Roman" w:hAnsi="Times New Roman" w:eastAsia="宋体" w:cs="Times New Roman"/>
                <w:kern w:val="0"/>
                <w:sz w:val="24"/>
                <w:szCs w:val="32"/>
                <w:vertAlign w:val="superscript"/>
              </w:rPr>
              <w:t>2</w:t>
            </w:r>
            <w:r>
              <w:rPr>
                <w:rFonts w:hint="default" w:ascii="Times New Roman" w:hAnsi="Times New Roman" w:eastAsia="宋体" w:cs="Times New Roman"/>
                <w:kern w:val="0"/>
                <w:sz w:val="24"/>
                <w:szCs w:val="32"/>
              </w:rPr>
              <w:t>。厂外运输使用汽车。</w:t>
            </w:r>
          </w:p>
          <w:p>
            <w:pPr>
              <w:autoSpaceDE w:val="0"/>
              <w:autoSpaceDN w:val="0"/>
              <w:adjustRightInd w:val="0"/>
              <w:snapToGrid w:val="0"/>
              <w:spacing w:line="360" w:lineRule="auto"/>
              <w:ind w:firstLine="480" w:firstLineChars="200"/>
              <w:rPr>
                <w:rFonts w:hint="default" w:ascii="Times New Roman" w:hAnsi="Times New Roman" w:cs="Times New Roman"/>
                <w:b/>
                <w:bCs/>
                <w:sz w:val="24"/>
                <w:szCs w:val="24"/>
              </w:rPr>
            </w:pPr>
            <w:r>
              <w:rPr>
                <w:rFonts w:hint="default" w:ascii="Times New Roman" w:hAnsi="Times New Roman" w:eastAsia="宋体" w:cs="Times New Roman"/>
                <w:kern w:val="0"/>
                <w:sz w:val="24"/>
                <w:szCs w:val="32"/>
              </w:rPr>
              <w:t>本项目建成后，工程组成情况汇总如下表。</w:t>
            </w:r>
          </w:p>
          <w:p>
            <w:pPr>
              <w:adjustRightInd w:val="0"/>
              <w:snapToGrid w:val="0"/>
              <w:spacing w:line="360" w:lineRule="auto"/>
              <w:ind w:firstLine="482" w:firstLineChars="200"/>
              <w:jc w:val="center"/>
              <w:rPr>
                <w:rFonts w:hint="default" w:ascii="Times New Roman" w:hAnsi="Times New Roman" w:cs="Times New Roman"/>
                <w:b/>
                <w:bCs/>
                <w:sz w:val="24"/>
                <w:szCs w:val="24"/>
              </w:rPr>
            </w:pPr>
          </w:p>
          <w:p>
            <w:pPr>
              <w:adjustRightInd w:val="0"/>
              <w:snapToGrid w:val="0"/>
              <w:spacing w:line="360" w:lineRule="auto"/>
              <w:ind w:firstLine="482" w:firstLineChars="20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表2-</w:t>
            </w:r>
            <w:r>
              <w:rPr>
                <w:rFonts w:hint="default" w:ascii="Times New Roman" w:hAnsi="Times New Roman" w:cs="Times New Roman"/>
                <w:b/>
                <w:bCs/>
                <w:sz w:val="24"/>
                <w:szCs w:val="24"/>
                <w:lang w:val="en-US" w:eastAsia="zh-CN"/>
              </w:rPr>
              <w:t>2</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迁建</w:t>
            </w:r>
            <w:r>
              <w:rPr>
                <w:rFonts w:hint="default" w:ascii="Times New Roman" w:hAnsi="Times New Roman" w:cs="Times New Roman"/>
                <w:b/>
                <w:bCs/>
                <w:sz w:val="24"/>
                <w:szCs w:val="24"/>
              </w:rPr>
              <w:t>项目公辅工程表</w:t>
            </w:r>
          </w:p>
          <w:tbl>
            <w:tblPr>
              <w:tblStyle w:val="30"/>
              <w:tblW w:w="830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48"/>
              <w:gridCol w:w="752"/>
              <w:gridCol w:w="971"/>
              <w:gridCol w:w="1289"/>
              <w:gridCol w:w="1289"/>
              <w:gridCol w:w="1287"/>
              <w:gridCol w:w="197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工程类别</w:t>
                  </w:r>
                </w:p>
              </w:tc>
              <w:tc>
                <w:tcPr>
                  <w:tcW w:w="1723" w:type="dxa"/>
                  <w:gridSpan w:val="2"/>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工程名称</w:t>
                  </w:r>
                </w:p>
              </w:tc>
              <w:tc>
                <w:tcPr>
                  <w:tcW w:w="1289" w:type="dxa"/>
                  <w:shd w:val="clear" w:color="auto" w:fill="auto"/>
                  <w:vAlign w:val="center"/>
                </w:tcPr>
                <w:p>
                  <w:pPr>
                    <w:snapToGrid w:val="0"/>
                    <w:spacing w:line="240" w:lineRule="auto"/>
                    <w:jc w:val="center"/>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lang w:val="en-US" w:eastAsia="zh-CN"/>
                    </w:rPr>
                    <w:t>迁建前</w:t>
                  </w:r>
                </w:p>
              </w:tc>
              <w:tc>
                <w:tcPr>
                  <w:tcW w:w="1289" w:type="dxa"/>
                  <w:shd w:val="clear" w:color="auto" w:fill="auto"/>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lang w:val="en-US" w:eastAsia="zh-CN"/>
                    </w:rPr>
                    <w:t>迁建后</w:t>
                  </w:r>
                </w:p>
              </w:tc>
              <w:tc>
                <w:tcPr>
                  <w:tcW w:w="1287" w:type="dxa"/>
                  <w:vAlign w:val="center"/>
                </w:tcPr>
                <w:p>
                  <w:pPr>
                    <w:snapToGrid w:val="0"/>
                    <w:spacing w:line="240" w:lineRule="auto"/>
                    <w:jc w:val="center"/>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变化量</w:t>
                  </w:r>
                </w:p>
              </w:tc>
              <w:tc>
                <w:tcPr>
                  <w:tcW w:w="1972" w:type="dxa"/>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restart"/>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主体工程</w:t>
                  </w: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eastAsia="zh-CN"/>
                    </w:rPr>
                    <w:t>生产</w:t>
                  </w:r>
                  <w:r>
                    <w:rPr>
                      <w:rFonts w:hint="default" w:ascii="Times New Roman" w:hAnsi="Times New Roman" w:cs="Times New Roman"/>
                      <w:sz w:val="21"/>
                      <w:szCs w:val="21"/>
                      <w:lang w:val="en-US" w:eastAsia="zh-CN"/>
                    </w:rPr>
                    <w:t>区</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1340m</w:t>
                  </w:r>
                  <w:r>
                    <w:rPr>
                      <w:rFonts w:hint="default" w:ascii="Times New Roman" w:hAnsi="Times New Roman" w:cs="Times New Roman"/>
                      <w:sz w:val="21"/>
                      <w:szCs w:val="21"/>
                      <w:vertAlign w:val="superscript"/>
                      <w:lang w:val="en-US" w:eastAsia="zh-CN"/>
                    </w:rPr>
                    <w:t>2</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1200m</w:t>
                  </w:r>
                  <w:r>
                    <w:rPr>
                      <w:rFonts w:hint="default" w:ascii="Times New Roman" w:hAnsi="Times New Roman" w:cs="Times New Roman"/>
                      <w:sz w:val="21"/>
                      <w:szCs w:val="21"/>
                      <w:vertAlign w:val="superscript"/>
                      <w:lang w:val="en-US" w:eastAsia="zh-CN"/>
                    </w:rPr>
                    <w:t>2</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color w:val="auto"/>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位于车间北侧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办公区</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100m</w:t>
                  </w:r>
                  <w:r>
                    <w:rPr>
                      <w:rFonts w:hint="default" w:ascii="Times New Roman" w:hAnsi="Times New Roman" w:cs="Times New Roman"/>
                      <w:sz w:val="21"/>
                      <w:szCs w:val="21"/>
                      <w:vertAlign w:val="superscript"/>
                      <w:lang w:val="en-US" w:eastAsia="zh-CN"/>
                    </w:rPr>
                    <w:t>2</w:t>
                  </w:r>
                </w:p>
              </w:tc>
              <w:tc>
                <w:tcPr>
                  <w:tcW w:w="1287" w:type="dxa"/>
                  <w:shd w:val="clear" w:color="auto" w:fill="auto"/>
                  <w:vAlign w:val="center"/>
                </w:tcPr>
                <w:p>
                  <w:pPr>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color w:val="auto"/>
                      <w:sz w:val="21"/>
                      <w:szCs w:val="21"/>
                      <w:lang w:val="en-US" w:eastAsia="zh-CN"/>
                    </w:rPr>
                    <w:t>/</w:t>
                  </w:r>
                </w:p>
              </w:tc>
              <w:tc>
                <w:tcPr>
                  <w:tcW w:w="1972" w:type="dxa"/>
                  <w:shd w:val="clear" w:color="auto" w:fill="auto"/>
                  <w:vAlign w:val="center"/>
                </w:tcPr>
                <w:p>
                  <w:pPr>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位于车间西南侧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贮运工程</w:t>
                  </w: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包装仓储</w:t>
                  </w:r>
                  <w:r>
                    <w:rPr>
                      <w:rFonts w:hint="default" w:ascii="Times New Roman" w:hAnsi="Times New Roman" w:eastAsia="宋体" w:cs="Times New Roman"/>
                      <w:sz w:val="21"/>
                      <w:szCs w:val="21"/>
                      <w:lang w:val="en-US" w:eastAsia="zh-CN"/>
                    </w:rPr>
                    <w:t>区</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173</w:t>
                  </w:r>
                  <w:r>
                    <w:rPr>
                      <w:rFonts w:hint="default" w:ascii="Times New Roman" w:hAnsi="Times New Roman" w:cs="Times New Roman"/>
                      <w:sz w:val="21"/>
                      <w:szCs w:val="21"/>
                      <w:lang w:val="en-US" w:eastAsia="zh-CN"/>
                    </w:rPr>
                    <w:t>m</w:t>
                  </w:r>
                  <w:r>
                    <w:rPr>
                      <w:rFonts w:hint="default" w:ascii="Times New Roman" w:hAnsi="Times New Roman" w:cs="Times New Roman"/>
                      <w:sz w:val="21"/>
                      <w:szCs w:val="21"/>
                      <w:vertAlign w:val="superscript"/>
                      <w:lang w:val="en-US" w:eastAsia="zh-CN"/>
                    </w:rPr>
                    <w:t>2</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105</w:t>
                  </w:r>
                  <w:r>
                    <w:rPr>
                      <w:rFonts w:hint="default" w:ascii="Times New Roman" w:hAnsi="Times New Roman" w:cs="Times New Roman"/>
                      <w:sz w:val="21"/>
                      <w:szCs w:val="21"/>
                      <w:lang w:val="en-US" w:eastAsia="zh-CN"/>
                    </w:rPr>
                    <w:t>0m</w:t>
                  </w:r>
                  <w:r>
                    <w:rPr>
                      <w:rFonts w:hint="default" w:ascii="Times New Roman" w:hAnsi="Times New Roman" w:cs="Times New Roman"/>
                      <w:sz w:val="21"/>
                      <w:szCs w:val="21"/>
                      <w:vertAlign w:val="superscript"/>
                      <w:lang w:val="en-US" w:eastAsia="zh-CN"/>
                    </w:rPr>
                    <w:t>2</w:t>
                  </w:r>
                </w:p>
              </w:tc>
              <w:tc>
                <w:tcPr>
                  <w:tcW w:w="1287" w:type="dxa"/>
                  <w:shd w:val="clear" w:color="auto" w:fill="auto"/>
                  <w:vAlign w:val="center"/>
                </w:tcPr>
                <w:p>
                  <w:pPr>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lang w:val="en-US" w:eastAsia="zh-CN"/>
                    </w:rPr>
                    <w:t>/</w:t>
                  </w:r>
                </w:p>
              </w:tc>
              <w:tc>
                <w:tcPr>
                  <w:tcW w:w="1972" w:type="dxa"/>
                  <w:shd w:val="clear" w:color="auto" w:fill="auto"/>
                  <w:vAlign w:val="center"/>
                </w:tcPr>
                <w:p>
                  <w:pPr>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位于车间南侧</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公用工程</w:t>
                  </w: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给水系统</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500</w:t>
                  </w:r>
                  <w:r>
                    <w:rPr>
                      <w:rFonts w:hint="default" w:ascii="Times New Roman" w:hAnsi="Times New Roman" w:eastAsia="宋体" w:cs="Times New Roman"/>
                      <w:sz w:val="21"/>
                      <w:szCs w:val="21"/>
                      <w:lang w:val="en-US" w:eastAsia="zh-CN"/>
                    </w:rPr>
                    <w:t>t/a</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615</w:t>
                  </w:r>
                  <w:r>
                    <w:rPr>
                      <w:rFonts w:hint="default" w:ascii="Times New Roman" w:hAnsi="Times New Roman" w:eastAsia="宋体" w:cs="Times New Roman"/>
                      <w:sz w:val="21"/>
                      <w:szCs w:val="21"/>
                      <w:lang w:val="en-US" w:eastAsia="zh-CN"/>
                    </w:rPr>
                    <w:t>t/a</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+115</w:t>
                  </w:r>
                  <w:r>
                    <w:rPr>
                      <w:rFonts w:hint="default" w:ascii="Times New Roman" w:hAnsi="Times New Roman" w:eastAsia="宋体" w:cs="Times New Roman"/>
                      <w:sz w:val="21"/>
                      <w:szCs w:val="21"/>
                      <w:lang w:val="en-US" w:eastAsia="zh-CN"/>
                    </w:rPr>
                    <w:t>t/a</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市政管网</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排水系统</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240t/a</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+240t/a</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生活污水</w:t>
                  </w:r>
                  <w:r>
                    <w:rPr>
                      <w:rFonts w:hint="eastAsia" w:cs="Times New Roman"/>
                      <w:sz w:val="21"/>
                      <w:szCs w:val="21"/>
                      <w:lang w:val="en-US" w:eastAsia="zh-CN"/>
                    </w:rPr>
                    <w:t>迁建前</w:t>
                  </w:r>
                  <w:r>
                    <w:rPr>
                      <w:rFonts w:hint="default" w:ascii="Times New Roman" w:hAnsi="Times New Roman" w:eastAsia="宋体" w:cs="Times New Roman"/>
                      <w:sz w:val="21"/>
                      <w:szCs w:val="21"/>
                      <w:lang w:val="en-US" w:eastAsia="zh-CN"/>
                    </w:rPr>
                    <w:t>经化粪池预处理后用于周边农户肥田</w:t>
                  </w:r>
                  <w:r>
                    <w:rPr>
                      <w:rFonts w:hint="eastAsia" w:cs="Times New Roman"/>
                      <w:sz w:val="21"/>
                      <w:szCs w:val="21"/>
                      <w:lang w:val="en-US" w:eastAsia="zh-CN"/>
                    </w:rPr>
                    <w:t>，迁建后</w:t>
                  </w:r>
                  <w:r>
                    <w:rPr>
                      <w:rFonts w:hint="default" w:ascii="Times New Roman" w:hAnsi="Times New Roman" w:eastAsia="宋体" w:cs="Times New Roman"/>
                      <w:sz w:val="21"/>
                      <w:szCs w:val="21"/>
                      <w:lang w:val="en-US" w:eastAsia="zh-CN"/>
                    </w:rPr>
                    <w:t>接管如皋恒发水处理有限公司</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供电系统</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万kWh/a</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10万kWh/a</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+8万kWh/a</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依托租赁方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319"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供热系统</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2000t/a蒸汽</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1800t/a蒸汽</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-200t/a蒸汽</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江苏大唐国际如皋热电有限责任公司</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723"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冷却系统</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2.5t/h</w:t>
                  </w:r>
                </w:p>
              </w:tc>
              <w:tc>
                <w:tcPr>
                  <w:tcW w:w="1289"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2.5t/h</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环保工程</w:t>
                  </w:r>
                </w:p>
              </w:tc>
              <w:tc>
                <w:tcPr>
                  <w:tcW w:w="75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废气处理</w:t>
                  </w:r>
                </w:p>
              </w:tc>
              <w:tc>
                <w:tcPr>
                  <w:tcW w:w="971"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加热定型废气</w:t>
                  </w:r>
                </w:p>
              </w:tc>
              <w:tc>
                <w:tcPr>
                  <w:tcW w:w="1289" w:type="dxa"/>
                  <w:tcBorders>
                    <w:left w:val="single" w:color="auto" w:sz="4" w:space="0"/>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车间通风</w:t>
                  </w:r>
                </w:p>
              </w:tc>
              <w:tc>
                <w:tcPr>
                  <w:tcW w:w="1289" w:type="dxa"/>
                  <w:tcBorders>
                    <w:left w:val="single" w:color="auto" w:sz="4" w:space="0"/>
                  </w:tcBorders>
                  <w:shd w:val="clear" w:color="auto" w:fill="auto"/>
                  <w:vAlign w:val="center"/>
                </w:tcPr>
                <w:p>
                  <w:pPr>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车间通风</w:t>
                  </w:r>
                </w:p>
              </w:tc>
              <w:tc>
                <w:tcPr>
                  <w:tcW w:w="1287" w:type="dxa"/>
                  <w:shd w:val="clear" w:color="auto" w:fill="auto"/>
                  <w:vAlign w:val="center"/>
                </w:tcPr>
                <w:p>
                  <w:pPr>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无组织排放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752"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废水处理</w:t>
                  </w:r>
                </w:p>
              </w:tc>
              <w:tc>
                <w:tcPr>
                  <w:tcW w:w="971"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生活污水</w:t>
                  </w:r>
                </w:p>
              </w:tc>
              <w:tc>
                <w:tcPr>
                  <w:tcW w:w="1289" w:type="dxa"/>
                  <w:tcBorders>
                    <w:left w:val="single" w:color="auto" w:sz="4" w:space="0"/>
                    <w:bottom w:val="single" w:color="auto" w:sz="4" w:space="0"/>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化粪池</w:t>
                  </w:r>
                </w:p>
              </w:tc>
              <w:tc>
                <w:tcPr>
                  <w:tcW w:w="1289" w:type="dxa"/>
                  <w:tcBorders>
                    <w:left w:val="single" w:color="auto" w:sz="4" w:space="0"/>
                    <w:bottom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化粪池</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依托租赁方</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723" w:type="dxa"/>
                  <w:gridSpan w:val="2"/>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噪声治理</w:t>
                  </w:r>
                </w:p>
              </w:tc>
              <w:tc>
                <w:tcPr>
                  <w:tcW w:w="1289" w:type="dxa"/>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降噪≥20dB(A)</w:t>
                  </w:r>
                </w:p>
              </w:tc>
              <w:tc>
                <w:tcPr>
                  <w:tcW w:w="1289" w:type="dxa"/>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降噪≥20dB(A)</w:t>
                  </w:r>
                </w:p>
              </w:tc>
              <w:tc>
                <w:tcPr>
                  <w:tcW w:w="1287" w:type="dxa"/>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972" w:type="dxa"/>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达标排放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752"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固废处理</w:t>
                  </w:r>
                </w:p>
              </w:tc>
              <w:tc>
                <w:tcPr>
                  <w:tcW w:w="971"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一般固废仓库</w:t>
                  </w:r>
                </w:p>
              </w:tc>
              <w:tc>
                <w:tcPr>
                  <w:tcW w:w="1289"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289"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20m</w:t>
                  </w:r>
                  <w:r>
                    <w:rPr>
                      <w:rFonts w:hint="default" w:ascii="Times New Roman" w:hAnsi="Times New Roman" w:cs="Times New Roman"/>
                      <w:sz w:val="21"/>
                      <w:szCs w:val="21"/>
                      <w:vertAlign w:val="superscript"/>
                      <w:lang w:val="en-US" w:eastAsia="zh-CN"/>
                    </w:rPr>
                    <w:t>2</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rPr>
                    <w:t>合理处置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752"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971"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危废暂存区</w:t>
                  </w:r>
                </w:p>
              </w:tc>
              <w:tc>
                <w:tcPr>
                  <w:tcW w:w="1289"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289"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5m</w:t>
                  </w:r>
                  <w:r>
                    <w:rPr>
                      <w:rFonts w:hint="default" w:ascii="Times New Roman" w:hAnsi="Times New Roman" w:cs="Times New Roman"/>
                      <w:sz w:val="21"/>
                      <w:szCs w:val="21"/>
                      <w:vertAlign w:val="superscript"/>
                      <w:lang w:val="en-US" w:eastAsia="zh-CN"/>
                    </w:rPr>
                    <w:t>2</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合理处置</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748" w:type="dxa"/>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sz w:val="21"/>
                      <w:szCs w:val="21"/>
                      <w:lang w:val="en-US" w:eastAsia="zh-CN"/>
                    </w:rPr>
                    <w:t>风险管控</w:t>
                  </w:r>
                </w:p>
              </w:tc>
              <w:tc>
                <w:tcPr>
                  <w:tcW w:w="1723" w:type="dxa"/>
                  <w:gridSpan w:val="2"/>
                  <w:shd w:val="clear" w:color="auto" w:fill="auto"/>
                  <w:vAlign w:val="center"/>
                </w:tcPr>
                <w:p>
                  <w:pPr>
                    <w:pStyle w:val="15"/>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事故应急池</w:t>
                  </w:r>
                </w:p>
              </w:tc>
              <w:tc>
                <w:tcPr>
                  <w:tcW w:w="1289" w:type="dxa"/>
                  <w:shd w:val="clear" w:color="auto" w:fill="auto"/>
                  <w:vAlign w:val="center"/>
                </w:tcPr>
                <w:p>
                  <w:pPr>
                    <w:pStyle w:val="15"/>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w:t>
                  </w:r>
                </w:p>
              </w:tc>
              <w:tc>
                <w:tcPr>
                  <w:tcW w:w="1289" w:type="dxa"/>
                  <w:shd w:val="clear" w:color="auto" w:fill="auto"/>
                  <w:vAlign w:val="center"/>
                </w:tcPr>
                <w:p>
                  <w:pPr>
                    <w:pStyle w:val="15"/>
                    <w:keepNext w:val="0"/>
                    <w:keepLines w:val="0"/>
                    <w:pageBreakBefore w:val="0"/>
                    <w:kinsoku/>
                    <w:wordWrap/>
                    <w:overflowPunct/>
                    <w:topLinePunct w:val="0"/>
                    <w:autoSpaceDE/>
                    <w:autoSpaceDN/>
                    <w:bidi w:val="0"/>
                    <w:adjustRightInd w:val="0"/>
                    <w:snapToGrid w:val="0"/>
                    <w:ind w:right="0" w:right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cs="Times New Roman"/>
                      <w:color w:val="000000"/>
                      <w:sz w:val="21"/>
                      <w:szCs w:val="21"/>
                      <w:lang w:val="en-US" w:eastAsia="zh-CN"/>
                    </w:rPr>
                    <w:t>80</w:t>
                  </w:r>
                  <w:r>
                    <w:rPr>
                      <w:rFonts w:hint="default" w:ascii="Times New Roman" w:hAnsi="Times New Roman" w:cs="Times New Roman"/>
                      <w:color w:val="000000"/>
                      <w:sz w:val="21"/>
                      <w:szCs w:val="21"/>
                      <w:lang w:val="en-US" w:eastAsia="zh-CN"/>
                    </w:rPr>
                    <w:t>0</w:t>
                  </w:r>
                  <w:r>
                    <w:rPr>
                      <w:rFonts w:hint="default" w:ascii="Times New Roman" w:hAnsi="Times New Roman" w:cs="Times New Roman"/>
                      <w:color w:val="000000"/>
                      <w:sz w:val="21"/>
                      <w:szCs w:val="21"/>
                    </w:rPr>
                    <w:t>m</w:t>
                  </w:r>
                  <w:r>
                    <w:rPr>
                      <w:rFonts w:hint="default" w:ascii="Times New Roman" w:hAnsi="Times New Roman" w:cs="Times New Roman"/>
                      <w:color w:val="000000"/>
                      <w:sz w:val="21"/>
                      <w:szCs w:val="21"/>
                      <w:vertAlign w:val="superscript"/>
                      <w:lang w:val="en-US" w:eastAsia="zh-CN"/>
                    </w:rPr>
                    <w:t>3</w:t>
                  </w:r>
                </w:p>
              </w:tc>
              <w:tc>
                <w:tcPr>
                  <w:tcW w:w="128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w:t>
                  </w:r>
                </w:p>
              </w:tc>
              <w:tc>
                <w:tcPr>
                  <w:tcW w:w="1972"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eastAsia" w:ascii="Times New Roman" w:hAnsi="Times New Roman" w:eastAsia="宋体" w:cs="Times New Roman"/>
                      <w:color w:val="000000"/>
                      <w:kern w:val="2"/>
                      <w:sz w:val="21"/>
                      <w:szCs w:val="21"/>
                      <w:lang w:val="en-US" w:eastAsia="zh-CN" w:bidi="ar-SA"/>
                    </w:rPr>
                    <w:t>依托租赁方</w:t>
                  </w:r>
                </w:p>
              </w:tc>
            </w:tr>
          </w:tbl>
          <w:p>
            <w:pPr>
              <w:pStyle w:val="13"/>
              <w:spacing w:before="0" w:after="0" w:line="240" w:lineRule="auto"/>
              <w:ind w:right="0"/>
              <w:rPr>
                <w:rFonts w:hint="default" w:ascii="Times New Roman" w:hAnsi="Times New Roman" w:cs="Times New Roman"/>
                <w:sz w:val="21"/>
                <w:szCs w:val="21"/>
              </w:rPr>
            </w:pPr>
          </w:p>
          <w:p>
            <w:pPr>
              <w:autoSpaceDE w:val="0"/>
              <w:autoSpaceDN w:val="0"/>
              <w:adjustRightInd w:val="0"/>
              <w:snapToGrid w:val="0"/>
              <w:spacing w:line="360" w:lineRule="auto"/>
              <w:ind w:firstLine="480" w:firstLineChars="200"/>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kern w:val="0"/>
                <w:sz w:val="24"/>
                <w:szCs w:val="24"/>
                <w:lang w:val="en-US" w:eastAsia="zh-CN"/>
              </w:rPr>
              <w:t>租赁方</w:t>
            </w:r>
            <w:r>
              <w:rPr>
                <w:rFonts w:hint="eastAsia" w:ascii="Times New Roman" w:hAnsi="Times New Roman" w:eastAsia="宋体" w:cs="Times New Roman"/>
                <w:kern w:val="0"/>
                <w:sz w:val="24"/>
                <w:szCs w:val="24"/>
              </w:rPr>
              <w:t>如皋市大生线路器材有限公司</w:t>
            </w:r>
            <w:r>
              <w:rPr>
                <w:rFonts w:hint="eastAsia" w:cs="Times New Roman"/>
                <w:kern w:val="0"/>
                <w:sz w:val="24"/>
                <w:szCs w:val="24"/>
                <w:lang w:val="en-US" w:eastAsia="zh-CN"/>
              </w:rPr>
              <w:t>雨污分流，</w:t>
            </w:r>
            <w:r>
              <w:rPr>
                <w:rFonts w:hint="eastAsia"/>
                <w:sz w:val="24"/>
                <w:szCs w:val="32"/>
              </w:rPr>
              <w:t>雨水经雨水管网收集后排</w:t>
            </w:r>
            <w:r>
              <w:rPr>
                <w:rFonts w:hint="eastAsia"/>
                <w:sz w:val="24"/>
                <w:szCs w:val="32"/>
                <w:lang w:val="en-US" w:eastAsia="zh-CN"/>
              </w:rPr>
              <w:t>入市政管网，</w:t>
            </w:r>
            <w:r>
              <w:rPr>
                <w:rFonts w:hint="eastAsia"/>
                <w:kern w:val="0"/>
                <w:sz w:val="24"/>
                <w:szCs w:val="24"/>
              </w:rPr>
              <w:t>生活污水经化粪池收集达</w:t>
            </w:r>
            <w:r>
              <w:rPr>
                <w:rFonts w:hint="eastAsia"/>
                <w:kern w:val="0"/>
                <w:sz w:val="24"/>
                <w:szCs w:val="24"/>
                <w:lang w:val="en-US" w:eastAsia="zh-CN"/>
              </w:rPr>
              <w:t>接管</w:t>
            </w:r>
            <w:r>
              <w:rPr>
                <w:rFonts w:hint="eastAsia"/>
                <w:kern w:val="0"/>
                <w:sz w:val="24"/>
                <w:szCs w:val="24"/>
              </w:rPr>
              <w:t>标准后接管如皋恒发水处理有限公司处理。</w:t>
            </w:r>
            <w:r>
              <w:rPr>
                <w:rFonts w:hint="eastAsia"/>
                <w:kern w:val="0"/>
                <w:sz w:val="24"/>
                <w:szCs w:val="24"/>
                <w:lang w:val="en-US" w:eastAsia="zh-CN"/>
              </w:rPr>
              <w:t>北区</w:t>
            </w:r>
            <w:r>
              <w:rPr>
                <w:rFonts w:hint="eastAsia" w:ascii="Times New Roman" w:hAnsi="Times New Roman" w:eastAsia="宋体" w:cs="Times New Roman"/>
                <w:kern w:val="0"/>
                <w:sz w:val="24"/>
                <w:szCs w:val="24"/>
              </w:rPr>
              <w:t>现有事故</w:t>
            </w:r>
            <w:r>
              <w:rPr>
                <w:rFonts w:hint="eastAsia" w:ascii="Times New Roman" w:hAnsi="Times New Roman" w:eastAsia="宋体" w:cs="Times New Roman"/>
                <w:kern w:val="0"/>
                <w:sz w:val="24"/>
                <w:szCs w:val="24"/>
                <w:lang w:val="en-US" w:eastAsia="zh-CN"/>
              </w:rPr>
              <w:t>废水收集系统</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雨水收集池兼做事故应急池</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容积800</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，已安装液位计，空余</w:t>
            </w:r>
            <w:r>
              <w:rPr>
                <w:rFonts w:hint="eastAsia" w:ascii="Times New Roman" w:hAnsi="Times New Roman" w:eastAsia="宋体" w:cs="Times New Roman"/>
                <w:kern w:val="0"/>
                <w:sz w:val="24"/>
                <w:szCs w:val="24"/>
              </w:rPr>
              <w:t>容积约为5</w:t>
            </w:r>
            <w:r>
              <w:rPr>
                <w:rFonts w:hint="eastAsia" w:ascii="Times New Roman" w:hAnsi="Times New Roman" w:eastAsia="宋体" w:cs="Times New Roman"/>
                <w:kern w:val="0"/>
                <w:sz w:val="24"/>
                <w:szCs w:val="24"/>
                <w:lang w:val="en-US" w:eastAsia="zh-CN"/>
              </w:rPr>
              <w:t>0</w:t>
            </w:r>
            <w:r>
              <w:rPr>
                <w:rFonts w:hint="eastAsia" w:ascii="Times New Roman" w:hAnsi="Times New Roman" w:eastAsia="宋体" w:cs="Times New Roman"/>
                <w:kern w:val="0"/>
                <w:sz w:val="24"/>
                <w:szCs w:val="24"/>
              </w:rPr>
              <w:t>0m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本项目需使用约332.2</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可满足事故应急使用，且具有防渗防漏功能，满足重点防渗要求</w:t>
            </w:r>
            <w:r>
              <w:rPr>
                <w:rFonts w:hint="eastAsia" w:cs="Times New Roman"/>
                <w:kern w:val="0"/>
                <w:sz w:val="24"/>
                <w:szCs w:val="24"/>
                <w:lang w:eastAsia="zh-CN"/>
              </w:rPr>
              <w:t>。</w:t>
            </w:r>
            <w:r>
              <w:rPr>
                <w:rFonts w:hint="eastAsia" w:ascii="Times New Roman" w:hAnsi="Times New Roman" w:eastAsia="宋体" w:cs="Times New Roman"/>
                <w:kern w:val="0"/>
                <w:sz w:val="24"/>
                <w:szCs w:val="24"/>
              </w:rPr>
              <w:t>因此本项目依托可行</w:t>
            </w:r>
            <w:r>
              <w:rPr>
                <w:rFonts w:hint="eastAsia" w:ascii="Times New Roman" w:hAnsi="Times New Roman" w:eastAsia="宋体" w:cs="Times New Roman"/>
                <w:kern w:val="0"/>
                <w:sz w:val="24"/>
                <w:szCs w:val="24"/>
                <w:lang w:val="en-US" w:eastAsia="zh-CN"/>
              </w:rPr>
              <w:t>。</w:t>
            </w:r>
          </w:p>
          <w:p>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4、生产设备</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本项目主要生产设备详见下表2-</w:t>
            </w:r>
            <w:r>
              <w:rPr>
                <w:rFonts w:hint="default" w:ascii="Times New Roman" w:hAnsi="Times New Roman" w:eastAsia="宋体" w:cs="Times New Roman"/>
                <w:kern w:val="0"/>
                <w:sz w:val="24"/>
                <w:szCs w:val="32"/>
                <w:lang w:val="en-US" w:eastAsia="zh-CN"/>
              </w:rPr>
              <w:t>3</w:t>
            </w:r>
            <w:r>
              <w:rPr>
                <w:rFonts w:hint="default" w:ascii="Times New Roman" w:hAnsi="Times New Roman" w:eastAsia="宋体" w:cs="Times New Roman"/>
                <w:kern w:val="0"/>
                <w:sz w:val="24"/>
                <w:szCs w:val="32"/>
              </w:rPr>
              <w:t>。</w:t>
            </w:r>
          </w:p>
          <w:p>
            <w:pPr>
              <w:autoSpaceDE w:val="0"/>
              <w:autoSpaceDN w:val="0"/>
              <w:adjustRightInd w:val="0"/>
              <w:spacing w:line="360" w:lineRule="auto"/>
              <w:jc w:val="center"/>
              <w:rPr>
                <w:rFonts w:hint="default" w:ascii="Times New Roman" w:hAnsi="Times New Roman" w:eastAsia="宋体" w:cs="Times New Roman"/>
                <w:sz w:val="24"/>
                <w:szCs w:val="24"/>
                <w:lang w:eastAsia="zh-CN"/>
              </w:rPr>
            </w:pPr>
            <w:r>
              <w:rPr>
                <w:rFonts w:hint="default" w:ascii="Times New Roman" w:hAnsi="Times New Roman" w:cs="Times New Roman"/>
                <w:b/>
                <w:bCs/>
                <w:sz w:val="24"/>
                <w:szCs w:val="24"/>
              </w:rPr>
              <w:t xml:space="preserve">表2-3 </w:t>
            </w:r>
            <w:r>
              <w:rPr>
                <w:rFonts w:hint="default" w:ascii="Times New Roman" w:hAnsi="Times New Roman" w:cs="Times New Roman"/>
                <w:b/>
                <w:bCs/>
                <w:sz w:val="24"/>
                <w:szCs w:val="24"/>
                <w:lang w:val="en-US" w:eastAsia="zh-CN"/>
              </w:rPr>
              <w:t>迁建</w:t>
            </w:r>
            <w:r>
              <w:rPr>
                <w:rFonts w:hint="default" w:ascii="Times New Roman" w:hAnsi="Times New Roman" w:cs="Times New Roman"/>
                <w:b/>
                <w:bCs/>
                <w:sz w:val="24"/>
                <w:szCs w:val="24"/>
              </w:rPr>
              <w:t>项目主要生产</w:t>
            </w:r>
            <w:r>
              <w:rPr>
                <w:rFonts w:hint="default" w:ascii="Times New Roman" w:hAnsi="Times New Roman" w:cs="Times New Roman"/>
                <w:b/>
                <w:bCs/>
                <w:sz w:val="24"/>
                <w:szCs w:val="24"/>
                <w:lang w:val="en-US" w:eastAsia="zh-CN"/>
              </w:rPr>
              <w:t>设备</w:t>
            </w:r>
            <w:r>
              <w:rPr>
                <w:rFonts w:hint="default" w:ascii="Times New Roman" w:hAnsi="Times New Roman" w:cs="Times New Roman"/>
                <w:b/>
                <w:bCs/>
                <w:sz w:val="24"/>
                <w:szCs w:val="24"/>
              </w:rPr>
              <w:t>表</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val="en-US" w:eastAsia="zh-CN"/>
              </w:rPr>
              <w:t>台/套</w:t>
            </w:r>
            <w:r>
              <w:rPr>
                <w:rFonts w:hint="default" w:ascii="Times New Roman" w:hAnsi="Times New Roman" w:cs="Times New Roman"/>
                <w:b/>
                <w:bCs/>
                <w:sz w:val="24"/>
                <w:szCs w:val="24"/>
                <w:lang w:eastAsia="zh-CN"/>
              </w:rPr>
              <w:t>）</w:t>
            </w:r>
          </w:p>
          <w:tbl>
            <w:tblPr>
              <w:tblStyle w:val="30"/>
              <w:tblW w:w="830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234"/>
              <w:gridCol w:w="1480"/>
              <w:gridCol w:w="1624"/>
              <w:gridCol w:w="1238"/>
              <w:gridCol w:w="1238"/>
              <w:gridCol w:w="99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tcMar>
                    <w:top w:w="0" w:type="dxa"/>
                    <w:left w:w="0" w:type="dxa"/>
                    <w:right w:w="0" w:type="dxa"/>
                  </w:tcMar>
                  <w:vAlign w:val="center"/>
                </w:tcPr>
                <w:p>
                  <w:pPr>
                    <w:pStyle w:val="66"/>
                    <w:spacing w:line="240" w:lineRule="auto"/>
                    <w:rPr>
                      <w:rFonts w:hint="default" w:ascii="Times New Roman" w:hAnsi="Times New Roman" w:cs="Times New Roman" w:eastAsiaTheme="minorEastAsia"/>
                      <w:b/>
                      <w:kern w:val="2"/>
                      <w:sz w:val="21"/>
                      <w:szCs w:val="21"/>
                      <w:lang w:val="en-US" w:eastAsia="zh-CN" w:bidi="ar-SA"/>
                    </w:rPr>
                  </w:pPr>
                  <w:r>
                    <w:rPr>
                      <w:rFonts w:hint="default" w:ascii="Times New Roman" w:hAnsi="Times New Roman" w:cs="Times New Roman"/>
                      <w:b/>
                    </w:rPr>
                    <w:t>序号</w:t>
                  </w:r>
                </w:p>
              </w:tc>
              <w:tc>
                <w:tcPr>
                  <w:tcW w:w="1234" w:type="dxa"/>
                  <w:shd w:val="clear" w:color="auto" w:fill="auto"/>
                  <w:tcMar>
                    <w:top w:w="0" w:type="dxa"/>
                    <w:left w:w="0" w:type="dxa"/>
                    <w:right w:w="0" w:type="dxa"/>
                  </w:tcMar>
                  <w:vAlign w:val="center"/>
                </w:tcPr>
                <w:p>
                  <w:pPr>
                    <w:pStyle w:val="66"/>
                    <w:spacing w:line="240" w:lineRule="auto"/>
                    <w:rPr>
                      <w:rFonts w:hint="default" w:ascii="Times New Roman" w:hAnsi="Times New Roman" w:cs="Times New Roman" w:eastAsiaTheme="minorEastAsia"/>
                      <w:b/>
                      <w:lang w:val="en-US" w:eastAsia="zh-CN"/>
                    </w:rPr>
                  </w:pPr>
                  <w:r>
                    <w:rPr>
                      <w:rFonts w:hint="default" w:ascii="Times New Roman" w:hAnsi="Times New Roman" w:cs="Times New Roman"/>
                      <w:b/>
                      <w:lang w:val="en-US" w:eastAsia="zh-CN"/>
                    </w:rPr>
                    <w:t>工序</w:t>
                  </w:r>
                </w:p>
              </w:tc>
              <w:tc>
                <w:tcPr>
                  <w:tcW w:w="1480" w:type="dxa"/>
                  <w:shd w:val="clear" w:color="auto" w:fill="auto"/>
                  <w:tcMar>
                    <w:top w:w="0" w:type="dxa"/>
                    <w:left w:w="0" w:type="dxa"/>
                    <w:right w:w="0" w:type="dxa"/>
                  </w:tcMar>
                  <w:vAlign w:val="center"/>
                </w:tcPr>
                <w:p>
                  <w:pPr>
                    <w:pStyle w:val="66"/>
                    <w:spacing w:line="240" w:lineRule="auto"/>
                    <w:rPr>
                      <w:rFonts w:hint="default" w:ascii="Times New Roman" w:hAnsi="Times New Roman" w:cs="Times New Roman" w:eastAsiaTheme="minorEastAsia"/>
                      <w:b/>
                      <w:kern w:val="2"/>
                      <w:sz w:val="21"/>
                      <w:szCs w:val="21"/>
                      <w:lang w:val="en-US" w:eastAsia="zh-CN" w:bidi="ar-SA"/>
                    </w:rPr>
                  </w:pPr>
                  <w:r>
                    <w:rPr>
                      <w:rFonts w:hint="default" w:ascii="Times New Roman" w:hAnsi="Times New Roman" w:cs="Times New Roman"/>
                      <w:b/>
                    </w:rPr>
                    <w:t>设备名称</w:t>
                  </w:r>
                </w:p>
              </w:tc>
              <w:tc>
                <w:tcPr>
                  <w:tcW w:w="1624" w:type="dxa"/>
                  <w:shd w:val="clear" w:color="auto" w:fill="auto"/>
                  <w:tcMar>
                    <w:top w:w="0" w:type="dxa"/>
                    <w:left w:w="0" w:type="dxa"/>
                    <w:right w:w="0" w:type="dxa"/>
                  </w:tcMar>
                  <w:vAlign w:val="center"/>
                </w:tcPr>
                <w:p>
                  <w:pPr>
                    <w:pStyle w:val="66"/>
                    <w:spacing w:line="240" w:lineRule="auto"/>
                    <w:rPr>
                      <w:rFonts w:hint="default" w:ascii="Times New Roman" w:hAnsi="Times New Roman" w:cs="Times New Roman" w:eastAsiaTheme="minorEastAsia"/>
                      <w:b/>
                      <w:kern w:val="2"/>
                      <w:sz w:val="21"/>
                      <w:szCs w:val="21"/>
                      <w:lang w:val="en-US" w:eastAsia="zh-CN" w:bidi="ar-SA"/>
                    </w:rPr>
                  </w:pPr>
                  <w:r>
                    <w:rPr>
                      <w:rFonts w:hint="default" w:ascii="Times New Roman" w:hAnsi="Times New Roman" w:cs="Times New Roman"/>
                      <w:b/>
                    </w:rPr>
                    <w:t>规格型号</w:t>
                  </w:r>
                </w:p>
              </w:tc>
              <w:tc>
                <w:tcPr>
                  <w:tcW w:w="1238" w:type="dxa"/>
                  <w:shd w:val="clear" w:color="auto" w:fill="auto"/>
                  <w:vAlign w:val="center"/>
                </w:tcPr>
                <w:p>
                  <w:pPr>
                    <w:pStyle w:val="66"/>
                    <w:spacing w:line="240" w:lineRule="auto"/>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利旧数量</w:t>
                  </w:r>
                </w:p>
              </w:tc>
              <w:tc>
                <w:tcPr>
                  <w:tcW w:w="1238" w:type="dxa"/>
                  <w:shd w:val="clear" w:color="auto" w:fill="auto"/>
                  <w:vAlign w:val="center"/>
                </w:tcPr>
                <w:p>
                  <w:pPr>
                    <w:pStyle w:val="66"/>
                    <w:spacing w:line="240" w:lineRule="auto"/>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新增数量</w:t>
                  </w:r>
                </w:p>
              </w:tc>
              <w:tc>
                <w:tcPr>
                  <w:tcW w:w="992" w:type="dxa"/>
                  <w:shd w:val="clear" w:color="auto" w:fill="auto"/>
                  <w:vAlign w:val="center"/>
                </w:tcPr>
                <w:p>
                  <w:pPr>
                    <w:pStyle w:val="66"/>
                    <w:spacing w:line="240" w:lineRule="auto"/>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总数量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1</w:t>
                  </w:r>
                </w:p>
              </w:tc>
              <w:tc>
                <w:tcPr>
                  <w:tcW w:w="1234" w:type="dxa"/>
                  <w:vMerge w:val="restart"/>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预压</w:t>
                  </w: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预压罐</w:t>
                  </w:r>
                </w:p>
              </w:tc>
              <w:tc>
                <w:tcPr>
                  <w:tcW w:w="162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20m</w:t>
                  </w:r>
                  <w:r>
                    <w:rPr>
                      <w:rFonts w:hint="default" w:ascii="Times New Roman" w:hAnsi="Times New Roman" w:eastAsia="宋体" w:cs="Times New Roman"/>
                      <w:color w:val="auto"/>
                      <w:sz w:val="21"/>
                      <w:szCs w:val="21"/>
                      <w:vertAlign w:val="superscript"/>
                      <w:lang w:val="en-US" w:eastAsia="zh-CN"/>
                    </w:rPr>
                    <w:t>3</w:t>
                  </w:r>
                </w:p>
              </w:tc>
              <w:tc>
                <w:tcPr>
                  <w:tcW w:w="1238"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cs="Times New Roman"/>
                      <w:color w:val="auto"/>
                      <w:sz w:val="21"/>
                      <w:szCs w:val="21"/>
                      <w:lang w:val="en-US" w:eastAsia="zh-CN"/>
                    </w:rPr>
                    <w:t>4</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2</w:t>
                  </w:r>
                </w:p>
              </w:tc>
              <w:tc>
                <w:tcPr>
                  <w:tcW w:w="1234" w:type="dxa"/>
                  <w:vMerge w:val="continue"/>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空压机</w:t>
                  </w:r>
                </w:p>
              </w:tc>
              <w:tc>
                <w:tcPr>
                  <w:tcW w:w="162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55kw</w:t>
                  </w:r>
                </w:p>
              </w:tc>
              <w:tc>
                <w:tcPr>
                  <w:tcW w:w="1238"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3</w:t>
                  </w:r>
                </w:p>
              </w:tc>
              <w:tc>
                <w:tcPr>
                  <w:tcW w:w="1234" w:type="dxa"/>
                  <w:vMerge w:val="restart"/>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加热定型</w:t>
                  </w:r>
                </w:p>
              </w:tc>
              <w:tc>
                <w:tcPr>
                  <w:tcW w:w="1480" w:type="dxa"/>
                  <w:vMerge w:val="restart"/>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成型机</w:t>
                  </w:r>
                </w:p>
              </w:tc>
              <w:tc>
                <w:tcPr>
                  <w:tcW w:w="162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PSPP1214</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4</w:t>
                  </w:r>
                </w:p>
              </w:tc>
              <w:tc>
                <w:tcPr>
                  <w:tcW w:w="1234" w:type="dxa"/>
                  <w:vMerge w:val="continue"/>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p>
              </w:tc>
              <w:tc>
                <w:tcPr>
                  <w:tcW w:w="1480" w:type="dxa"/>
                  <w:vMerge w:val="continue"/>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p>
              </w:tc>
              <w:tc>
                <w:tcPr>
                  <w:tcW w:w="162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PSPP1318</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5</w:t>
                  </w:r>
                </w:p>
              </w:tc>
              <w:tc>
                <w:tcPr>
                  <w:tcW w:w="123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冷却脱模</w:t>
                  </w: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冷却塔</w:t>
                  </w:r>
                </w:p>
              </w:tc>
              <w:tc>
                <w:tcPr>
                  <w:tcW w:w="162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50t</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2.5t/h</w:t>
                  </w:r>
                  <w:r>
                    <w:rPr>
                      <w:rFonts w:hint="default" w:ascii="Times New Roman" w:hAnsi="Times New Roman" w:cs="Times New Roman"/>
                      <w:color w:val="auto"/>
                      <w:sz w:val="21"/>
                      <w:szCs w:val="21"/>
                      <w:lang w:val="en-US" w:eastAsia="zh-CN"/>
                    </w:rPr>
                    <w:t>）</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6</w:t>
                  </w:r>
                </w:p>
              </w:tc>
              <w:tc>
                <w:tcPr>
                  <w:tcW w:w="123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烘干</w:t>
                  </w: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烘干房</w:t>
                  </w:r>
                </w:p>
              </w:tc>
              <w:tc>
                <w:tcPr>
                  <w:tcW w:w="162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9*5*2.4</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i w:val="0"/>
                      <w:iCs w:val="0"/>
                      <w:snapToGrid w:val="0"/>
                      <w:color w:val="000000"/>
                      <w:kern w:val="0"/>
                      <w:sz w:val="21"/>
                      <w:szCs w:val="21"/>
                      <w:u w:val="none"/>
                      <w:lang w:val="en-US" w:eastAsia="zh-CN" w:bidi="ar"/>
                    </w:rPr>
                    <w:t>4</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7</w:t>
                  </w:r>
                </w:p>
              </w:tc>
              <w:tc>
                <w:tcPr>
                  <w:tcW w:w="1234" w:type="dxa"/>
                  <w:vMerge w:val="restart"/>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公辅</w:t>
                  </w: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蒸汽储能罐</w:t>
                  </w:r>
                </w:p>
              </w:tc>
              <w:tc>
                <w:tcPr>
                  <w:tcW w:w="162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15m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8</w:t>
                  </w:r>
                </w:p>
              </w:tc>
              <w:tc>
                <w:tcPr>
                  <w:tcW w:w="1234" w:type="dxa"/>
                  <w:vMerge w:val="continue"/>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行车</w:t>
                  </w:r>
                </w:p>
              </w:tc>
              <w:tc>
                <w:tcPr>
                  <w:tcW w:w="162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3t</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499" w:type="dxa"/>
                  <w:shd w:val="clear" w:color="auto" w:fill="auto"/>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rPr>
                    <w:t>9</w:t>
                  </w:r>
                </w:p>
              </w:tc>
              <w:tc>
                <w:tcPr>
                  <w:tcW w:w="1234" w:type="dxa"/>
                  <w:vMerge w:val="continue"/>
                  <w:shd w:val="clear" w:color="auto" w:fill="auto"/>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p>
              </w:tc>
              <w:tc>
                <w:tcPr>
                  <w:tcW w:w="1480"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PVC桶</w:t>
                  </w:r>
                </w:p>
              </w:tc>
              <w:tc>
                <w:tcPr>
                  <w:tcW w:w="1624" w:type="dxa"/>
                  <w:shd w:val="clear" w:color="auto" w:fill="auto"/>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8m</w:t>
                  </w:r>
                  <w:r>
                    <w:rPr>
                      <w:rFonts w:hint="default" w:ascii="Times New Roman" w:hAnsi="Times New Roman" w:eastAsia="宋体" w:cs="Times New Roman"/>
                      <w:color w:val="auto"/>
                      <w:sz w:val="21"/>
                      <w:szCs w:val="21"/>
                      <w:vertAlign w:val="superscript"/>
                      <w:lang w:val="en-US" w:eastAsia="zh-CN"/>
                    </w:rPr>
                    <w:t>3</w:t>
                  </w:r>
                </w:p>
              </w:tc>
              <w:tc>
                <w:tcPr>
                  <w:tcW w:w="123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238"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w:t>
                  </w:r>
                </w:p>
              </w:tc>
              <w:tc>
                <w:tcPr>
                  <w:tcW w:w="992" w:type="dxa"/>
                  <w:shd w:val="clear" w:color="auto" w:fill="auto"/>
                  <w:vAlign w:val="center"/>
                </w:tcPr>
                <w:p>
                  <w:pPr>
                    <w:pStyle w:val="66"/>
                    <w:spacing w:line="240" w:lineRule="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p>
              </w:tc>
            </w:tr>
          </w:tbl>
          <w:p>
            <w:pPr>
              <w:autoSpaceDE w:val="0"/>
              <w:autoSpaceDN w:val="0"/>
              <w:adjustRightInd w:val="0"/>
              <w:snapToGrid w:val="0"/>
              <w:ind w:left="420" w:leftChars="200"/>
              <w:rPr>
                <w:rFonts w:hint="default" w:ascii="Times New Roman" w:hAnsi="Times New Roman" w:cs="Times New Roman"/>
                <w:szCs w:val="21"/>
              </w:rPr>
            </w:pPr>
          </w:p>
          <w:p>
            <w:pPr>
              <w:keepNext w:val="0"/>
              <w:keepLines w:val="0"/>
              <w:suppressLineNumbers w:val="0"/>
              <w:autoSpaceDE w:val="0"/>
              <w:autoSpaceDN w:val="0"/>
              <w:adjustRightInd w:val="0"/>
              <w:snapToGrid w:val="0"/>
              <w:spacing w:before="0" w:beforeAutospacing="0" w:after="0" w:afterAutospacing="0" w:line="360" w:lineRule="auto"/>
              <w:ind w:left="0" w:right="0" w:firstLine="482" w:firstLineChars="200"/>
              <w:rPr>
                <w:rFonts w:hint="default" w:ascii="Times New Roman" w:hAnsi="Times New Roman" w:eastAsia="宋体" w:cs="Times New Roman"/>
                <w:b/>
                <w:bCs/>
                <w:kern w:val="0"/>
                <w:sz w:val="24"/>
                <w:szCs w:val="32"/>
                <w:lang w:val="en-US" w:eastAsia="zh-CN"/>
              </w:rPr>
            </w:pPr>
            <w:r>
              <w:rPr>
                <w:rFonts w:hint="default" w:ascii="Times New Roman" w:hAnsi="Times New Roman" w:eastAsia="宋体" w:cs="Times New Roman"/>
                <w:b/>
                <w:bCs/>
                <w:kern w:val="0"/>
                <w:sz w:val="24"/>
                <w:szCs w:val="32"/>
                <w:lang w:val="en-US" w:eastAsia="zh-CN"/>
              </w:rPr>
              <w:t>产能匹配说明</w:t>
            </w:r>
          </w:p>
          <w:p>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jc w:val="left"/>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本项目</w:t>
            </w:r>
            <w:r>
              <w:rPr>
                <w:rFonts w:hint="default" w:ascii="Times New Roman" w:hAnsi="Times New Roman" w:eastAsia="宋体" w:cs="Times New Roman"/>
                <w:kern w:val="0"/>
                <w:sz w:val="24"/>
                <w:szCs w:val="32"/>
                <w:lang w:val="en-US" w:eastAsia="zh-CN"/>
              </w:rPr>
              <w:t>制约</w:t>
            </w:r>
            <w:r>
              <w:rPr>
                <w:rFonts w:hint="default" w:ascii="Times New Roman" w:hAnsi="Times New Roman" w:eastAsia="宋体" w:cs="Times New Roman"/>
                <w:kern w:val="0"/>
                <w:sz w:val="24"/>
                <w:szCs w:val="32"/>
              </w:rPr>
              <w:t>产能的主要设备为</w:t>
            </w:r>
            <w:r>
              <w:rPr>
                <w:rFonts w:hint="default" w:ascii="Times New Roman" w:hAnsi="Times New Roman" w:cs="Times New Roman"/>
                <w:kern w:val="0"/>
                <w:sz w:val="24"/>
                <w:szCs w:val="32"/>
                <w:lang w:val="en-US" w:eastAsia="zh-CN"/>
              </w:rPr>
              <w:t>成型</w:t>
            </w:r>
            <w:r>
              <w:rPr>
                <w:rFonts w:hint="default" w:ascii="Times New Roman" w:hAnsi="Times New Roman" w:eastAsia="宋体" w:cs="Times New Roman"/>
                <w:kern w:val="0"/>
                <w:sz w:val="24"/>
                <w:szCs w:val="32"/>
              </w:rPr>
              <w:t>机，</w:t>
            </w:r>
            <w:r>
              <w:rPr>
                <w:rFonts w:hint="default" w:ascii="Times New Roman" w:hAnsi="Times New Roman" w:cs="Times New Roman"/>
                <w:sz w:val="24"/>
                <w:szCs w:val="32"/>
              </w:rPr>
              <w:t>将预压好的</w:t>
            </w:r>
            <w:r>
              <w:rPr>
                <w:rFonts w:hint="default" w:ascii="Times New Roman" w:hAnsi="Times New Roman" w:cs="Times New Roman"/>
                <w:sz w:val="24"/>
                <w:szCs w:val="32"/>
                <w:lang w:val="en-US" w:eastAsia="zh-CN"/>
              </w:rPr>
              <w:t>原料</w:t>
            </w:r>
            <w:r>
              <w:rPr>
                <w:rFonts w:hint="default" w:ascii="Times New Roman" w:hAnsi="Times New Roman" w:cs="Times New Roman"/>
                <w:sz w:val="24"/>
                <w:szCs w:val="32"/>
              </w:rPr>
              <w:t>用空压机注入到成型机的模具内</w:t>
            </w:r>
            <w:r>
              <w:rPr>
                <w:rFonts w:hint="default" w:ascii="Times New Roman" w:hAnsi="Times New Roman" w:cs="Times New Roman"/>
                <w:sz w:val="24"/>
                <w:szCs w:val="32"/>
                <w:lang w:eastAsia="zh-CN"/>
              </w:rPr>
              <w:t>，</w:t>
            </w:r>
            <w:r>
              <w:rPr>
                <w:rFonts w:hint="default" w:ascii="Times New Roman" w:hAnsi="Times New Roman" w:cs="Times New Roman"/>
                <w:sz w:val="24"/>
                <w:szCs w:val="32"/>
                <w:lang w:val="en-US" w:eastAsia="zh-CN"/>
              </w:rPr>
              <w:t>再</w:t>
            </w:r>
            <w:r>
              <w:rPr>
                <w:rFonts w:hint="default" w:ascii="Times New Roman" w:hAnsi="Times New Roman" w:cs="Times New Roman"/>
                <w:sz w:val="24"/>
                <w:szCs w:val="32"/>
              </w:rPr>
              <w:t>将蒸汽通入模具中</w:t>
            </w:r>
            <w:r>
              <w:rPr>
                <w:rFonts w:hint="default" w:ascii="Times New Roman" w:hAnsi="Times New Roman" w:cs="Times New Roman"/>
                <w:sz w:val="24"/>
                <w:szCs w:val="32"/>
                <w:lang w:eastAsia="zh-CN"/>
              </w:rPr>
              <w:t>，</w:t>
            </w:r>
            <w:r>
              <w:rPr>
                <w:rFonts w:hint="default" w:ascii="Times New Roman" w:hAnsi="Times New Roman" w:cs="Times New Roman"/>
                <w:sz w:val="24"/>
                <w:szCs w:val="32"/>
              </w:rPr>
              <w:t>使EPP泡粒受热软化，体积膨胀而融结为型腔形状</w:t>
            </w:r>
            <w:r>
              <w:rPr>
                <w:rFonts w:hint="default" w:ascii="Times New Roman" w:hAnsi="Times New Roman" w:cs="Times New Roman"/>
                <w:sz w:val="24"/>
                <w:szCs w:val="32"/>
                <w:lang w:eastAsia="zh-CN"/>
              </w:rPr>
              <w:t>。</w:t>
            </w:r>
            <w:r>
              <w:rPr>
                <w:rFonts w:hint="default" w:ascii="Times New Roman" w:hAnsi="Times New Roman" w:eastAsia="宋体" w:cs="Times New Roman"/>
                <w:kern w:val="0"/>
                <w:sz w:val="24"/>
                <w:szCs w:val="32"/>
              </w:rPr>
              <w:t>根据业主提供资料，</w:t>
            </w:r>
            <w:r>
              <w:rPr>
                <w:rFonts w:hint="default" w:ascii="Times New Roman" w:hAnsi="Times New Roman" w:cs="Times New Roman"/>
                <w:kern w:val="0"/>
                <w:sz w:val="24"/>
                <w:szCs w:val="32"/>
                <w:lang w:val="en-US" w:eastAsia="zh-CN"/>
              </w:rPr>
              <w:t>成型机生产能力400</w:t>
            </w:r>
            <w:r>
              <w:rPr>
                <w:rFonts w:hint="default" w:ascii="Times New Roman" w:hAnsi="Times New Roman" w:eastAsia="宋体" w:cs="Times New Roman"/>
                <w:kern w:val="0"/>
                <w:sz w:val="24"/>
                <w:szCs w:val="32"/>
              </w:rPr>
              <w:t>模</w:t>
            </w:r>
            <w:r>
              <w:rPr>
                <w:rFonts w:hint="default" w:ascii="Times New Roman" w:hAnsi="Times New Roman" w:cs="Times New Roman"/>
                <w:kern w:val="0"/>
                <w:sz w:val="24"/>
                <w:szCs w:val="32"/>
                <w:lang w:val="en-US" w:eastAsia="zh-CN"/>
              </w:rPr>
              <w:t>/24h</w:t>
            </w:r>
            <w:r>
              <w:rPr>
                <w:rFonts w:hint="default" w:ascii="Times New Roman" w:hAnsi="Times New Roman" w:eastAsia="宋体" w:cs="Times New Roman"/>
                <w:kern w:val="0"/>
                <w:sz w:val="24"/>
                <w:szCs w:val="32"/>
              </w:rPr>
              <w:t>，2</w:t>
            </w:r>
            <w:r>
              <w:rPr>
                <w:rFonts w:hint="eastAsia" w:cs="Times New Roman"/>
                <w:kern w:val="0"/>
                <w:sz w:val="24"/>
                <w:szCs w:val="32"/>
                <w:lang w:val="en-US" w:eastAsia="zh-CN"/>
              </w:rPr>
              <w:t>4</w:t>
            </w:r>
            <w:r>
              <w:rPr>
                <w:rFonts w:hint="default" w:ascii="Times New Roman" w:hAnsi="Times New Roman" w:cs="Times New Roman"/>
                <w:kern w:val="0"/>
                <w:sz w:val="24"/>
                <w:szCs w:val="32"/>
                <w:lang w:val="en-US" w:eastAsia="zh-CN"/>
              </w:rPr>
              <w:t>s/</w:t>
            </w:r>
            <w:r>
              <w:rPr>
                <w:rFonts w:hint="default" w:ascii="Times New Roman" w:hAnsi="Times New Roman" w:eastAsia="宋体" w:cs="Times New Roman"/>
                <w:kern w:val="0"/>
                <w:sz w:val="24"/>
                <w:szCs w:val="32"/>
              </w:rPr>
              <w:t>模，</w:t>
            </w:r>
            <w:r>
              <w:rPr>
                <w:rFonts w:hint="default" w:ascii="Times New Roman" w:hAnsi="Times New Roman" w:eastAsia="宋体" w:cs="Times New Roman"/>
                <w:kern w:val="0"/>
                <w:sz w:val="24"/>
                <w:szCs w:val="32"/>
                <w:lang w:val="en-US" w:eastAsia="zh-CN"/>
              </w:rPr>
              <w:t>平均每模注入约</w:t>
            </w:r>
            <w:r>
              <w:rPr>
                <w:rFonts w:hint="eastAsia" w:ascii="Times New Roman" w:hAnsi="Times New Roman" w:eastAsia="宋体" w:cs="Times New Roman"/>
                <w:kern w:val="0"/>
                <w:sz w:val="24"/>
                <w:szCs w:val="32"/>
                <w:lang w:val="en-US" w:eastAsia="zh-CN"/>
              </w:rPr>
              <w:t>4-5</w:t>
            </w:r>
            <w:r>
              <w:rPr>
                <w:rFonts w:hint="default" w:ascii="Times New Roman" w:hAnsi="Times New Roman" w:eastAsia="宋体" w:cs="Times New Roman"/>
                <w:kern w:val="0"/>
                <w:sz w:val="24"/>
                <w:szCs w:val="32"/>
                <w:lang w:val="en-US" w:eastAsia="zh-CN"/>
              </w:rPr>
              <w:t>kg</w:t>
            </w:r>
            <w:r>
              <w:rPr>
                <w:rFonts w:hint="default" w:ascii="Times New Roman" w:hAnsi="Times New Roman" w:cs="Times New Roman"/>
                <w:sz w:val="24"/>
                <w:szCs w:val="32"/>
              </w:rPr>
              <w:t>泡粒</w:t>
            </w:r>
            <w:r>
              <w:rPr>
                <w:rFonts w:hint="default" w:ascii="Times New Roman" w:hAnsi="Times New Roman" w:eastAsia="宋体" w:cs="Times New Roman"/>
                <w:kern w:val="0"/>
                <w:sz w:val="24"/>
                <w:szCs w:val="32"/>
                <w:lang w:val="en-US" w:eastAsia="zh-CN"/>
              </w:rPr>
              <w:t>，</w:t>
            </w:r>
            <w:r>
              <w:rPr>
                <w:rFonts w:hint="default" w:ascii="Times New Roman" w:hAnsi="Times New Roman" w:eastAsia="宋体" w:cs="Times New Roman"/>
                <w:kern w:val="0"/>
                <w:sz w:val="24"/>
                <w:szCs w:val="32"/>
              </w:rPr>
              <w:t>设备</w:t>
            </w:r>
            <w:r>
              <w:rPr>
                <w:rFonts w:hint="default" w:ascii="Times New Roman" w:hAnsi="Times New Roman" w:eastAsia="宋体" w:cs="Times New Roman"/>
                <w:kern w:val="0"/>
                <w:sz w:val="24"/>
                <w:szCs w:val="32"/>
                <w:lang w:val="en-US" w:eastAsia="zh-CN"/>
              </w:rPr>
              <w:t>最大产能</w:t>
            </w:r>
            <w:r>
              <w:rPr>
                <w:rFonts w:hint="default" w:ascii="Times New Roman" w:hAnsi="Times New Roman" w:eastAsia="宋体" w:cs="Times New Roman"/>
                <w:kern w:val="0"/>
                <w:sz w:val="24"/>
                <w:szCs w:val="32"/>
              </w:rPr>
              <w:t>分析见下表。</w:t>
            </w:r>
          </w:p>
          <w:p>
            <w:pPr>
              <w:keepNext w:val="0"/>
              <w:keepLines w:val="0"/>
              <w:suppressLineNumbers w:val="0"/>
              <w:adjustRightInd w:val="0"/>
              <w:snapToGrid w:val="0"/>
              <w:spacing w:before="0" w:beforeAutospacing="0" w:after="0" w:afterAutospacing="0" w:line="360" w:lineRule="auto"/>
              <w:ind w:left="0" w:right="0" w:firstLine="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表2-</w:t>
            </w:r>
            <w:r>
              <w:rPr>
                <w:rFonts w:hint="default" w:ascii="Times New Roman" w:hAnsi="Times New Roman" w:cs="Times New Roman"/>
                <w:b/>
                <w:bCs/>
                <w:sz w:val="24"/>
                <w:szCs w:val="24"/>
                <w:lang w:val="en-US" w:eastAsia="zh-CN"/>
              </w:rPr>
              <w:t>4</w:t>
            </w:r>
            <w:r>
              <w:rPr>
                <w:rFonts w:hint="default" w:ascii="Times New Roman" w:hAnsi="Times New Roman" w:eastAsia="宋体" w:cs="Times New Roman"/>
                <w:b/>
                <w:bCs/>
                <w:sz w:val="24"/>
                <w:szCs w:val="24"/>
              </w:rPr>
              <w:t>主要设备与产能匹配性</w:t>
            </w:r>
          </w:p>
          <w:tbl>
            <w:tblPr>
              <w:tblStyle w:val="30"/>
              <w:tblW w:w="826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3"/>
              <w:gridCol w:w="1104"/>
              <w:gridCol w:w="912"/>
              <w:gridCol w:w="810"/>
              <w:gridCol w:w="1333"/>
              <w:gridCol w:w="1367"/>
              <w:gridCol w:w="13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403" w:type="dxa"/>
                  <w:tcBorders>
                    <w:tl2br w:val="nil"/>
                    <w:tr2bl w:val="nil"/>
                  </w:tcBorders>
                  <w:noWrap w:val="0"/>
                  <w:vAlign w:val="center"/>
                </w:tcPr>
                <w:p>
                  <w:pPr>
                    <w:pStyle w:val="66"/>
                    <w:rPr>
                      <w:rFonts w:hint="default" w:ascii="Times New Roman" w:hAnsi="Times New Roman" w:eastAsia="宋体" w:cs="Times New Roman"/>
                      <w:b w:val="0"/>
                      <w:szCs w:val="21"/>
                      <w:lang w:val="en-US" w:eastAsia="zh-CN"/>
                    </w:rPr>
                  </w:pPr>
                  <w:r>
                    <w:rPr>
                      <w:rFonts w:hint="default" w:ascii="Times New Roman" w:hAnsi="Times New Roman" w:eastAsia="宋体" w:cs="Times New Roman"/>
                      <w:b w:val="0"/>
                      <w:szCs w:val="21"/>
                      <w:lang w:val="en-US" w:eastAsia="zh-CN"/>
                    </w:rPr>
                    <w:t>设备</w:t>
                  </w:r>
                </w:p>
              </w:tc>
              <w:tc>
                <w:tcPr>
                  <w:tcW w:w="1104" w:type="dxa"/>
                  <w:tcBorders>
                    <w:tl2br w:val="nil"/>
                    <w:tr2bl w:val="nil"/>
                  </w:tcBorders>
                  <w:noWrap w:val="0"/>
                  <w:vAlign w:val="center"/>
                </w:tcPr>
                <w:p>
                  <w:pPr>
                    <w:pStyle w:val="66"/>
                    <w:rPr>
                      <w:rFonts w:hint="default" w:ascii="Times New Roman" w:hAnsi="Times New Roman" w:eastAsia="宋体" w:cs="Times New Roman"/>
                      <w:b w:val="0"/>
                      <w:szCs w:val="21"/>
                      <w:lang w:val="en-US" w:eastAsia="zh-CN"/>
                    </w:rPr>
                  </w:pPr>
                  <w:r>
                    <w:rPr>
                      <w:rFonts w:hint="default" w:ascii="Times New Roman" w:hAnsi="Times New Roman" w:eastAsia="宋体" w:cs="Times New Roman"/>
                      <w:b w:val="0"/>
                      <w:szCs w:val="21"/>
                      <w:lang w:val="en-US" w:eastAsia="zh-CN"/>
                    </w:rPr>
                    <w:t>型号</w:t>
                  </w:r>
                </w:p>
              </w:tc>
              <w:tc>
                <w:tcPr>
                  <w:tcW w:w="912" w:type="dxa"/>
                  <w:tcBorders>
                    <w:tl2br w:val="nil"/>
                    <w:tr2bl w:val="nil"/>
                  </w:tcBorders>
                  <w:noWrap w:val="0"/>
                  <w:vAlign w:val="center"/>
                </w:tcPr>
                <w:p>
                  <w:pPr>
                    <w:pStyle w:val="66"/>
                    <w:rPr>
                      <w:rFonts w:hint="default" w:ascii="Times New Roman" w:hAnsi="Times New Roman" w:eastAsia="宋体" w:cs="Times New Roman"/>
                      <w:b w:val="0"/>
                      <w:szCs w:val="21"/>
                      <w:lang w:val="en-US" w:eastAsia="zh-CN"/>
                    </w:rPr>
                  </w:pPr>
                  <w:r>
                    <w:rPr>
                      <w:rFonts w:hint="default" w:ascii="Times New Roman" w:hAnsi="Times New Roman" w:eastAsia="宋体" w:cs="Times New Roman"/>
                      <w:b w:val="0"/>
                      <w:szCs w:val="21"/>
                      <w:lang w:val="en-US" w:eastAsia="zh-CN"/>
                    </w:rPr>
                    <w:t>数量/台</w:t>
                  </w:r>
                </w:p>
              </w:tc>
              <w:tc>
                <w:tcPr>
                  <w:tcW w:w="810" w:type="dxa"/>
                  <w:tcBorders>
                    <w:tl2br w:val="nil"/>
                    <w:tr2bl w:val="nil"/>
                  </w:tcBorders>
                  <w:noWrap w:val="0"/>
                  <w:vAlign w:val="center"/>
                </w:tcPr>
                <w:p>
                  <w:pPr>
                    <w:pStyle w:val="66"/>
                    <w:rPr>
                      <w:rFonts w:hint="default" w:ascii="Times New Roman" w:hAnsi="Times New Roman" w:eastAsia="宋体" w:cs="Times New Roman"/>
                      <w:b w:val="0"/>
                      <w:szCs w:val="21"/>
                      <w:lang w:eastAsia="zh-CN"/>
                    </w:rPr>
                  </w:pPr>
                  <w:r>
                    <w:rPr>
                      <w:rFonts w:hint="default" w:ascii="Times New Roman" w:hAnsi="Times New Roman" w:eastAsia="宋体" w:cs="Times New Roman"/>
                      <w:b w:val="0"/>
                      <w:szCs w:val="21"/>
                      <w:lang w:val="en-US" w:eastAsia="zh-CN"/>
                    </w:rPr>
                    <w:t>所属工艺</w:t>
                  </w:r>
                </w:p>
              </w:tc>
              <w:tc>
                <w:tcPr>
                  <w:tcW w:w="1333" w:type="dxa"/>
                  <w:tcBorders>
                    <w:tl2br w:val="nil"/>
                    <w:tr2bl w:val="nil"/>
                  </w:tcBorders>
                  <w:noWrap w:val="0"/>
                  <w:vAlign w:val="center"/>
                </w:tcPr>
                <w:p>
                  <w:pPr>
                    <w:pStyle w:val="66"/>
                    <w:rPr>
                      <w:rFonts w:hint="default" w:ascii="Times New Roman" w:hAnsi="Times New Roman" w:eastAsia="宋体" w:cs="Times New Roman"/>
                      <w:b w:val="0"/>
                      <w:szCs w:val="21"/>
                      <w:lang w:val="en-US" w:eastAsia="zh-CN"/>
                    </w:rPr>
                  </w:pPr>
                  <w:r>
                    <w:rPr>
                      <w:rFonts w:hint="default" w:ascii="Times New Roman" w:hAnsi="Times New Roman" w:eastAsia="宋体" w:cs="Times New Roman"/>
                      <w:b w:val="0"/>
                      <w:szCs w:val="21"/>
                      <w:lang w:val="en-US" w:eastAsia="zh-CN"/>
                    </w:rPr>
                    <w:t>年运行时间/h</w:t>
                  </w:r>
                </w:p>
              </w:tc>
              <w:tc>
                <w:tcPr>
                  <w:tcW w:w="1367" w:type="dxa"/>
                  <w:tcBorders>
                    <w:tl2br w:val="nil"/>
                    <w:tr2bl w:val="nil"/>
                  </w:tcBorders>
                  <w:noWrap w:val="0"/>
                  <w:vAlign w:val="center"/>
                </w:tcPr>
                <w:p>
                  <w:pPr>
                    <w:pStyle w:val="66"/>
                    <w:rPr>
                      <w:rFonts w:hint="default" w:ascii="Times New Roman" w:hAnsi="Times New Roman" w:eastAsia="宋体" w:cs="Times New Roman"/>
                      <w:b w:val="0"/>
                      <w:szCs w:val="21"/>
                      <w:lang w:val="en-US" w:eastAsia="zh-CN"/>
                    </w:rPr>
                  </w:pPr>
                  <w:r>
                    <w:rPr>
                      <w:rFonts w:hint="default" w:ascii="Times New Roman" w:hAnsi="Times New Roman" w:eastAsia="宋体" w:cs="Times New Roman"/>
                      <w:b w:val="0"/>
                      <w:szCs w:val="21"/>
                      <w:lang w:val="en-US" w:eastAsia="zh-CN"/>
                    </w:rPr>
                    <w:t>单台最大工作能力（kg/h）</w:t>
                  </w:r>
                </w:p>
              </w:tc>
              <w:tc>
                <w:tcPr>
                  <w:tcW w:w="1336" w:type="dxa"/>
                  <w:tcBorders>
                    <w:tl2br w:val="nil"/>
                    <w:tr2bl w:val="nil"/>
                  </w:tcBorders>
                  <w:noWrap w:val="0"/>
                  <w:vAlign w:val="center"/>
                </w:tcPr>
                <w:p>
                  <w:pPr>
                    <w:pStyle w:val="66"/>
                    <w:rPr>
                      <w:rFonts w:hint="default" w:ascii="Times New Roman" w:hAnsi="Times New Roman" w:eastAsia="宋体" w:cs="Times New Roman"/>
                      <w:b w:val="0"/>
                      <w:szCs w:val="21"/>
                      <w:lang w:val="en-US" w:eastAsia="zh-CN"/>
                    </w:rPr>
                  </w:pPr>
                  <w:r>
                    <w:rPr>
                      <w:rFonts w:hint="default" w:ascii="Times New Roman" w:hAnsi="Times New Roman" w:eastAsia="宋体" w:cs="Times New Roman"/>
                      <w:b w:val="0"/>
                      <w:szCs w:val="21"/>
                      <w:lang w:val="en-US" w:eastAsia="zh-CN"/>
                    </w:rPr>
                    <w:t>年最大产能（t/a）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403" w:type="dxa"/>
                  <w:vMerge w:val="restart"/>
                  <w:tcBorders>
                    <w:tl2br w:val="nil"/>
                    <w:tr2bl w:val="nil"/>
                  </w:tcBorders>
                  <w:shd w:val="clear" w:color="auto" w:fill="auto"/>
                  <w:noWrap w:val="0"/>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lang w:val="en-US" w:eastAsia="zh-CN"/>
                    </w:rPr>
                    <w:t>成型机</w:t>
                  </w:r>
                </w:p>
              </w:tc>
              <w:tc>
                <w:tcPr>
                  <w:tcW w:w="1104"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PSPP1214</w:t>
                  </w:r>
                </w:p>
              </w:tc>
              <w:tc>
                <w:tcPr>
                  <w:tcW w:w="912" w:type="dxa"/>
                  <w:tcBorders>
                    <w:tl2br w:val="nil"/>
                    <w:tr2bl w:val="nil"/>
                  </w:tcBorders>
                  <w:shd w:val="clear" w:color="auto" w:fill="auto"/>
                  <w:noWrap w:val="0"/>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lang w:val="en-US" w:eastAsia="zh-CN"/>
                    </w:rPr>
                    <w:t>2</w:t>
                  </w:r>
                </w:p>
              </w:tc>
              <w:tc>
                <w:tcPr>
                  <w:tcW w:w="810" w:type="dxa"/>
                  <w:vMerge w:val="restart"/>
                  <w:tcBorders>
                    <w:tl2br w:val="nil"/>
                    <w:tr2bl w:val="nil"/>
                  </w:tcBorders>
                  <w:noWrap w:val="0"/>
                  <w:vAlign w:val="center"/>
                </w:tcPr>
                <w:p>
                  <w:pPr>
                    <w:pStyle w:val="66"/>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eastAsia="宋体" w:cs="Times New Roman"/>
                      <w:color w:val="auto"/>
                      <w:sz w:val="21"/>
                      <w:szCs w:val="21"/>
                      <w:lang w:val="en-US" w:eastAsia="zh-CN"/>
                    </w:rPr>
                    <w:t>加热定型</w:t>
                  </w:r>
                </w:p>
              </w:tc>
              <w:tc>
                <w:tcPr>
                  <w:tcW w:w="133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cs="Times New Roman"/>
                      <w:i w:val="0"/>
                      <w:kern w:val="2"/>
                      <w:sz w:val="21"/>
                      <w:szCs w:val="21"/>
                      <w:u w:val="none"/>
                      <w:lang w:val="en-US" w:eastAsia="zh-CN" w:bidi="ar-SA"/>
                    </w:rPr>
                    <w:t>800</w:t>
                  </w:r>
                </w:p>
              </w:tc>
              <w:tc>
                <w:tcPr>
                  <w:tcW w:w="1367"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150</w:t>
                  </w:r>
                </w:p>
              </w:tc>
              <w:tc>
                <w:tcPr>
                  <w:tcW w:w="133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i w:val="0"/>
                      <w:iCs w:val="0"/>
                      <w:color w:val="000000"/>
                      <w:kern w:val="0"/>
                      <w:sz w:val="21"/>
                      <w:szCs w:val="21"/>
                      <w:u w:val="none"/>
                      <w:lang w:val="en-US" w:eastAsia="zh-CN" w:bidi="ar"/>
                    </w:rPr>
                    <w:t>240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403" w:type="dxa"/>
                  <w:vMerge w:val="continue"/>
                  <w:tcBorders>
                    <w:tl2br w:val="nil"/>
                    <w:tr2bl w:val="nil"/>
                  </w:tcBorders>
                  <w:shd w:val="clear" w:color="auto" w:fill="auto"/>
                  <w:noWrap w:val="0"/>
                  <w:vAlign w:val="center"/>
                </w:tcPr>
                <w:p>
                  <w:pPr>
                    <w:pStyle w:val="66"/>
                    <w:spacing w:line="240" w:lineRule="auto"/>
                    <w:rPr>
                      <w:rFonts w:hint="default" w:ascii="Times New Roman" w:hAnsi="Times New Roman" w:eastAsia="宋体" w:cs="Times New Roman"/>
                      <w:kern w:val="2"/>
                      <w:sz w:val="21"/>
                      <w:szCs w:val="21"/>
                      <w:lang w:val="en-US" w:eastAsia="zh-CN" w:bidi="ar-SA"/>
                    </w:rPr>
                  </w:pPr>
                </w:p>
              </w:tc>
              <w:tc>
                <w:tcPr>
                  <w:tcW w:w="1104"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PSPP1318</w:t>
                  </w:r>
                </w:p>
              </w:tc>
              <w:tc>
                <w:tcPr>
                  <w:tcW w:w="912" w:type="dxa"/>
                  <w:tcBorders>
                    <w:tl2br w:val="nil"/>
                    <w:tr2bl w:val="nil"/>
                  </w:tcBorders>
                  <w:shd w:val="clear" w:color="auto" w:fill="auto"/>
                  <w:noWrap w:val="0"/>
                  <w:vAlign w:val="center"/>
                </w:tcPr>
                <w:p>
                  <w:pPr>
                    <w:pStyle w:val="66"/>
                    <w:spacing w:line="240" w:lineRule="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lang w:val="en-US" w:eastAsia="zh-CN"/>
                    </w:rPr>
                    <w:t>3</w:t>
                  </w:r>
                </w:p>
              </w:tc>
              <w:tc>
                <w:tcPr>
                  <w:tcW w:w="810" w:type="dxa"/>
                  <w:vMerge w:val="continue"/>
                  <w:tcBorders>
                    <w:tl2br w:val="nil"/>
                    <w:tr2bl w:val="nil"/>
                  </w:tcBorders>
                  <w:noWrap w:val="0"/>
                  <w:vAlign w:val="center"/>
                </w:tcPr>
                <w:p>
                  <w:pPr>
                    <w:pStyle w:val="66"/>
                    <w:rPr>
                      <w:rFonts w:hint="default" w:ascii="Times New Roman" w:hAnsi="Times New Roman" w:eastAsia="宋体" w:cs="Times New Roman"/>
                      <w:i w:val="0"/>
                      <w:kern w:val="2"/>
                      <w:sz w:val="21"/>
                      <w:szCs w:val="21"/>
                      <w:u w:val="none"/>
                      <w:lang w:val="en-US" w:eastAsia="zh-CN" w:bidi="ar-SA"/>
                    </w:rPr>
                  </w:pPr>
                </w:p>
              </w:tc>
              <w:tc>
                <w:tcPr>
                  <w:tcW w:w="1333"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cs="Times New Roman"/>
                      <w:i w:val="0"/>
                      <w:kern w:val="2"/>
                      <w:sz w:val="21"/>
                      <w:szCs w:val="21"/>
                      <w:u w:val="none"/>
                      <w:lang w:val="en-US" w:eastAsia="zh-CN" w:bidi="ar-SA"/>
                    </w:rPr>
                    <w:t>800</w:t>
                  </w:r>
                </w:p>
              </w:tc>
              <w:tc>
                <w:tcPr>
                  <w:tcW w:w="1367"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kern w:val="2"/>
                      <w:sz w:val="21"/>
                      <w:szCs w:val="21"/>
                      <w:u w:val="none"/>
                      <w:lang w:val="en-US" w:eastAsia="zh-CN" w:bidi="ar-SA"/>
                    </w:rPr>
                  </w:pPr>
                  <w:r>
                    <w:rPr>
                      <w:rFonts w:hint="default" w:ascii="Times New Roman" w:hAnsi="Times New Roman" w:cs="Times New Roman"/>
                      <w:i w:val="0"/>
                      <w:iCs w:val="0"/>
                      <w:color w:val="000000"/>
                      <w:kern w:val="0"/>
                      <w:sz w:val="21"/>
                      <w:szCs w:val="21"/>
                      <w:u w:val="none"/>
                      <w:lang w:val="en-US" w:eastAsia="zh-CN" w:bidi="ar"/>
                    </w:rPr>
                    <w:t>160</w:t>
                  </w:r>
                </w:p>
              </w:tc>
              <w:tc>
                <w:tcPr>
                  <w:tcW w:w="1336" w:type="dxa"/>
                  <w:tcBorders>
                    <w:tl2br w:val="nil"/>
                    <w:tr2bl w:val="nil"/>
                  </w:tcBorders>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r>
                    <w:rPr>
                      <w:rFonts w:hint="default" w:ascii="Times New Roman" w:hAnsi="Times New Roman" w:cs="Times New Roman"/>
                      <w:i w:val="0"/>
                      <w:iCs w:val="0"/>
                      <w:color w:val="000000"/>
                      <w:kern w:val="0"/>
                      <w:sz w:val="21"/>
                      <w:szCs w:val="21"/>
                      <w:u w:val="none"/>
                      <w:lang w:val="en-US" w:eastAsia="zh-CN" w:bidi="ar"/>
                    </w:rPr>
                    <w:t>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6929" w:type="dxa"/>
                  <w:gridSpan w:val="6"/>
                  <w:tcBorders>
                    <w:tl2br w:val="nil"/>
                    <w:tr2bl w:val="nil"/>
                  </w:tcBorders>
                  <w:noWrap w:val="0"/>
                  <w:vAlign w:val="center"/>
                </w:tcPr>
                <w:p>
                  <w:pPr>
                    <w:pStyle w:val="66"/>
                    <w:rPr>
                      <w:rFonts w:hint="default" w:ascii="Times New Roman" w:hAnsi="Times New Roman" w:eastAsia="宋体" w:cs="Times New Roman"/>
                      <w:szCs w:val="21"/>
                      <w:lang w:val="en-US" w:eastAsia="zh-CN"/>
                    </w:rPr>
                  </w:pPr>
                  <w:r>
                    <w:rPr>
                      <w:rFonts w:hint="default" w:ascii="Times New Roman" w:hAnsi="Times New Roman" w:eastAsia="宋体" w:cs="Times New Roman"/>
                      <w:b w:val="0"/>
                      <w:bCs w:val="0"/>
                      <w:szCs w:val="21"/>
                      <w:lang w:val="en-US" w:eastAsia="zh-CN"/>
                    </w:rPr>
                    <w:t>满载年运行最大产能</w:t>
                  </w:r>
                </w:p>
              </w:tc>
              <w:tc>
                <w:tcPr>
                  <w:tcW w:w="1336" w:type="dxa"/>
                  <w:tcBorders>
                    <w:tl2br w:val="nil"/>
                    <w:tr2bl w:val="nil"/>
                  </w:tcBorders>
                  <w:noWrap w:val="0"/>
                  <w:vAlign w:val="center"/>
                </w:tcPr>
                <w:p>
                  <w:pPr>
                    <w:pStyle w:val="66"/>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624</w:t>
                  </w:r>
                </w:p>
              </w:tc>
            </w:tr>
          </w:tbl>
          <w:p>
            <w:pPr>
              <w:autoSpaceDE w:val="0"/>
              <w:autoSpaceDN w:val="0"/>
              <w:adjustRightInd w:val="0"/>
              <w:snapToGrid w:val="0"/>
              <w:spacing w:line="360" w:lineRule="auto"/>
              <w:ind w:firstLine="420" w:firstLineChars="200"/>
              <w:rPr>
                <w:rFonts w:hint="default" w:ascii="Times New Roman" w:hAnsi="Times New Roman" w:eastAsia="宋体" w:cs="Times New Roman"/>
                <w:b w:val="0"/>
                <w:bCs w:val="0"/>
                <w:kern w:val="0"/>
                <w:sz w:val="21"/>
                <w:szCs w:val="24"/>
              </w:rPr>
            </w:pPr>
          </w:p>
          <w:p>
            <w:pPr>
              <w:autoSpaceDE w:val="0"/>
              <w:autoSpaceDN w:val="0"/>
              <w:adjustRightInd w:val="0"/>
              <w:snapToGrid w:val="0"/>
              <w:spacing w:line="360" w:lineRule="auto"/>
              <w:ind w:firstLine="480" w:firstLineChars="200"/>
              <w:rPr>
                <w:rFonts w:hint="default" w:ascii="Times New Roman" w:hAnsi="Times New Roman" w:eastAsia="宋体" w:cs="Times New Roman"/>
                <w:b w:val="0"/>
                <w:bCs w:val="0"/>
                <w:kern w:val="0"/>
                <w:sz w:val="24"/>
                <w:szCs w:val="32"/>
                <w:lang w:val="en-US" w:eastAsia="zh-CN"/>
              </w:rPr>
            </w:pPr>
            <w:r>
              <w:rPr>
                <w:rFonts w:hint="default" w:ascii="Times New Roman" w:hAnsi="Times New Roman" w:eastAsia="宋体" w:cs="Times New Roman"/>
                <w:b w:val="0"/>
                <w:bCs w:val="0"/>
                <w:kern w:val="0"/>
                <w:sz w:val="24"/>
                <w:szCs w:val="32"/>
              </w:rPr>
              <w:t>根据上表，核算产能可达</w:t>
            </w:r>
            <w:r>
              <w:rPr>
                <w:rFonts w:hint="default" w:ascii="Times New Roman" w:hAnsi="Times New Roman" w:cs="Times New Roman"/>
                <w:b w:val="0"/>
                <w:bCs w:val="0"/>
                <w:kern w:val="0"/>
                <w:sz w:val="24"/>
                <w:szCs w:val="32"/>
                <w:lang w:val="en-US" w:eastAsia="zh-CN"/>
              </w:rPr>
              <w:t>624</w:t>
            </w:r>
            <w:r>
              <w:rPr>
                <w:rFonts w:hint="default" w:ascii="Times New Roman" w:hAnsi="Times New Roman" w:eastAsia="宋体" w:cs="Times New Roman"/>
                <w:b w:val="0"/>
                <w:bCs w:val="0"/>
                <w:kern w:val="0"/>
                <w:sz w:val="24"/>
                <w:szCs w:val="32"/>
              </w:rPr>
              <w:t>t/a</w:t>
            </w:r>
            <w:r>
              <w:rPr>
                <w:rFonts w:hint="default" w:ascii="Times New Roman" w:hAnsi="Times New Roman" w:eastAsia="宋体" w:cs="Times New Roman"/>
                <w:b w:val="0"/>
                <w:bCs w:val="0"/>
                <w:kern w:val="0"/>
                <w:sz w:val="24"/>
                <w:szCs w:val="32"/>
                <w:lang w:val="en-US" w:eastAsia="zh-CN"/>
              </w:rPr>
              <w:t>＞</w:t>
            </w:r>
            <w:r>
              <w:rPr>
                <w:rFonts w:hint="default" w:ascii="Times New Roman" w:hAnsi="Times New Roman" w:eastAsia="宋体" w:cs="Times New Roman"/>
                <w:kern w:val="0"/>
                <w:sz w:val="24"/>
                <w:szCs w:val="32"/>
              </w:rPr>
              <w:t>年</w:t>
            </w:r>
            <w:r>
              <w:rPr>
                <w:rFonts w:hint="default" w:ascii="Times New Roman" w:hAnsi="Times New Roman" w:eastAsia="宋体" w:cs="Times New Roman"/>
                <w:kern w:val="0"/>
                <w:sz w:val="24"/>
                <w:szCs w:val="32"/>
                <w:lang w:val="en-US" w:eastAsia="zh-CN"/>
              </w:rPr>
              <w:t>产</w:t>
            </w:r>
            <w:r>
              <w:rPr>
                <w:rFonts w:hint="default" w:ascii="Times New Roman" w:hAnsi="Times New Roman" w:eastAsia="宋体" w:cs="Times New Roman"/>
                <w:kern w:val="0"/>
                <w:sz w:val="24"/>
                <w:szCs w:val="32"/>
              </w:rPr>
              <w:t>量</w:t>
            </w:r>
            <w:r>
              <w:rPr>
                <w:rFonts w:hint="default" w:ascii="Times New Roman" w:hAnsi="Times New Roman" w:cs="Times New Roman"/>
                <w:kern w:val="0"/>
                <w:sz w:val="24"/>
                <w:szCs w:val="32"/>
                <w:lang w:val="en-US" w:eastAsia="zh-CN"/>
              </w:rPr>
              <w:t>50</w:t>
            </w:r>
            <w:r>
              <w:rPr>
                <w:rFonts w:hint="default" w:ascii="Times New Roman" w:hAnsi="Times New Roman" w:eastAsia="宋体" w:cs="Times New Roman"/>
                <w:kern w:val="0"/>
                <w:sz w:val="24"/>
                <w:szCs w:val="32"/>
                <w:lang w:val="en-US" w:eastAsia="zh-CN"/>
              </w:rPr>
              <w:t>0t</w:t>
            </w:r>
            <w:r>
              <w:rPr>
                <w:rFonts w:hint="default" w:ascii="Times New Roman" w:hAnsi="Times New Roman" w:eastAsia="宋体" w:cs="Times New Roman"/>
                <w:kern w:val="0"/>
                <w:sz w:val="24"/>
                <w:szCs w:val="32"/>
              </w:rPr>
              <w:t>/a</w:t>
            </w:r>
            <w:r>
              <w:rPr>
                <w:rFonts w:hint="default" w:ascii="Times New Roman" w:hAnsi="Times New Roman" w:eastAsia="宋体" w:cs="Times New Roman"/>
                <w:b w:val="0"/>
                <w:bCs w:val="0"/>
                <w:kern w:val="0"/>
                <w:sz w:val="24"/>
                <w:szCs w:val="32"/>
              </w:rPr>
              <w:t>。本次</w:t>
            </w:r>
            <w:r>
              <w:rPr>
                <w:rFonts w:hint="default" w:ascii="Times New Roman" w:hAnsi="Times New Roman" w:cs="Times New Roman"/>
                <w:b w:val="0"/>
                <w:bCs w:val="0"/>
                <w:kern w:val="0"/>
                <w:sz w:val="24"/>
                <w:szCs w:val="32"/>
                <w:lang w:eastAsia="zh-CN"/>
              </w:rPr>
              <w:t>新建（迁建）项目</w:t>
            </w:r>
            <w:r>
              <w:rPr>
                <w:rFonts w:hint="default" w:ascii="Times New Roman" w:hAnsi="Times New Roman" w:eastAsia="宋体" w:cs="Times New Roman"/>
                <w:b w:val="0"/>
                <w:bCs w:val="0"/>
                <w:kern w:val="0"/>
                <w:sz w:val="24"/>
                <w:szCs w:val="32"/>
              </w:rPr>
              <w:t>设计</w:t>
            </w:r>
            <w:r>
              <w:rPr>
                <w:rFonts w:hint="default" w:ascii="Times New Roman" w:hAnsi="Times New Roman" w:eastAsia="宋体" w:cs="Times New Roman"/>
                <w:kern w:val="0"/>
                <w:sz w:val="24"/>
                <w:szCs w:val="32"/>
              </w:rPr>
              <w:t>年</w:t>
            </w:r>
            <w:r>
              <w:rPr>
                <w:rFonts w:hint="default" w:ascii="Times New Roman" w:hAnsi="Times New Roman" w:cs="Times New Roman"/>
                <w:kern w:val="0"/>
                <w:sz w:val="24"/>
                <w:szCs w:val="32"/>
                <w:lang w:val="en-US" w:eastAsia="zh-CN"/>
              </w:rPr>
              <w:t>产</w:t>
            </w:r>
            <w:r>
              <w:rPr>
                <w:rFonts w:hint="default" w:ascii="Times New Roman" w:hAnsi="Times New Roman" w:eastAsia="宋体" w:cs="Times New Roman"/>
                <w:kern w:val="0"/>
                <w:sz w:val="24"/>
                <w:szCs w:val="32"/>
              </w:rPr>
              <w:t>量</w:t>
            </w:r>
            <w:r>
              <w:rPr>
                <w:rFonts w:hint="default" w:ascii="Times New Roman" w:hAnsi="Times New Roman" w:eastAsia="宋体" w:cs="Times New Roman"/>
                <w:b w:val="0"/>
                <w:bCs w:val="0"/>
                <w:kern w:val="0"/>
                <w:sz w:val="24"/>
                <w:szCs w:val="32"/>
                <w:lang w:val="en-US" w:eastAsia="zh-CN"/>
              </w:rPr>
              <w:t>约</w:t>
            </w:r>
            <w:r>
              <w:rPr>
                <w:rFonts w:hint="default" w:ascii="Times New Roman" w:hAnsi="Times New Roman" w:cs="Times New Roman"/>
                <w:b w:val="0"/>
                <w:bCs w:val="0"/>
                <w:kern w:val="0"/>
                <w:sz w:val="24"/>
                <w:szCs w:val="32"/>
                <w:lang w:val="en-US" w:eastAsia="zh-CN"/>
              </w:rPr>
              <w:t>50</w:t>
            </w:r>
            <w:r>
              <w:rPr>
                <w:rFonts w:hint="default" w:ascii="Times New Roman" w:hAnsi="Times New Roman" w:eastAsia="宋体" w:cs="Times New Roman"/>
                <w:b w:val="0"/>
                <w:bCs w:val="0"/>
                <w:kern w:val="0"/>
                <w:sz w:val="24"/>
                <w:szCs w:val="32"/>
                <w:lang w:val="en-US" w:eastAsia="zh-CN"/>
              </w:rPr>
              <w:t>0</w:t>
            </w:r>
            <w:r>
              <w:rPr>
                <w:rFonts w:hint="default" w:ascii="Times New Roman" w:hAnsi="Times New Roman" w:eastAsia="宋体" w:cs="Times New Roman"/>
                <w:b w:val="0"/>
                <w:bCs w:val="0"/>
                <w:kern w:val="0"/>
                <w:sz w:val="24"/>
                <w:szCs w:val="32"/>
              </w:rPr>
              <w:t>吨/年，同时对照《关于加强建设项目重大变动环评管理的通知》（苏环办[2015]256号），最大负荷产能未突破申报产能30%，因此设备配置能够满足设计产能需要。</w:t>
            </w:r>
          </w:p>
          <w:p>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rPr>
              <w:t>、</w:t>
            </w:r>
            <w:r>
              <w:rPr>
                <w:rFonts w:hint="default" w:ascii="Times New Roman" w:hAnsi="Times New Roman" w:eastAsia="宋体" w:cs="Times New Roman"/>
                <w:b/>
                <w:bCs/>
                <w:sz w:val="24"/>
                <w:szCs w:val="24"/>
                <w:lang w:val="en-US" w:eastAsia="zh-CN"/>
              </w:rPr>
              <w:t>原辅材料</w:t>
            </w:r>
            <w:r>
              <w:rPr>
                <w:rFonts w:hint="eastAsia" w:ascii="Times New Roman" w:hAnsi="Times New Roman" w:cs="Times New Roman"/>
                <w:b/>
                <w:bCs/>
                <w:sz w:val="24"/>
                <w:szCs w:val="24"/>
                <w:lang w:val="en-US" w:eastAsia="zh-CN"/>
              </w:rPr>
              <w:t>及能源</w:t>
            </w:r>
            <w:r>
              <w:rPr>
                <w:rFonts w:hint="default" w:ascii="Times New Roman" w:hAnsi="Times New Roman" w:eastAsia="宋体" w:cs="Times New Roman"/>
                <w:b/>
                <w:bCs/>
                <w:sz w:val="24"/>
                <w:szCs w:val="24"/>
                <w:lang w:val="en-US" w:eastAsia="zh-CN"/>
              </w:rPr>
              <w:t>消耗</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eastAsia="宋体" w:cs="Times New Roman"/>
                <w:kern w:val="0"/>
                <w:sz w:val="24"/>
                <w:szCs w:val="32"/>
              </w:rPr>
              <w:t>建设项目主要原辅材料消耗及理化性质见</w:t>
            </w:r>
            <w:r>
              <w:rPr>
                <w:rFonts w:hint="default" w:ascii="Times New Roman" w:hAnsi="Times New Roman" w:cs="Times New Roman"/>
                <w:kern w:val="0"/>
                <w:sz w:val="24"/>
                <w:szCs w:val="32"/>
                <w:lang w:val="en-US" w:eastAsia="zh-CN"/>
              </w:rPr>
              <w:t>下</w:t>
            </w:r>
            <w:r>
              <w:rPr>
                <w:rFonts w:hint="default" w:ascii="Times New Roman" w:hAnsi="Times New Roman" w:eastAsia="宋体" w:cs="Times New Roman"/>
                <w:kern w:val="0"/>
                <w:sz w:val="24"/>
                <w:szCs w:val="32"/>
              </w:rPr>
              <w:t>表。</w:t>
            </w:r>
          </w:p>
          <w:p>
            <w:pPr>
              <w:adjustRightInd w:val="0"/>
              <w:snapToGrid w:val="0"/>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表2-</w:t>
            </w:r>
            <w:r>
              <w:rPr>
                <w:rFonts w:hint="default" w:ascii="Times New Roman" w:hAnsi="Times New Roman" w:cs="Times New Roman"/>
                <w:b/>
                <w:bCs/>
                <w:sz w:val="24"/>
                <w:szCs w:val="24"/>
                <w:lang w:val="en-US" w:eastAsia="zh-CN"/>
              </w:rPr>
              <w:t>5</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en-US" w:eastAsia="zh-CN"/>
              </w:rPr>
              <w:t>迁建</w:t>
            </w:r>
            <w:r>
              <w:rPr>
                <w:rFonts w:hint="default" w:ascii="Times New Roman" w:hAnsi="Times New Roman" w:cs="Times New Roman"/>
                <w:b/>
                <w:bCs/>
                <w:sz w:val="24"/>
                <w:szCs w:val="24"/>
              </w:rPr>
              <w:t>项目主要原辅材料表</w:t>
            </w:r>
          </w:p>
          <w:tbl>
            <w:tblPr>
              <w:tblStyle w:val="30"/>
              <w:tblW w:w="830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8"/>
              <w:gridCol w:w="724"/>
              <w:gridCol w:w="2081"/>
              <w:gridCol w:w="1153"/>
              <w:gridCol w:w="1060"/>
              <w:gridCol w:w="1153"/>
              <w:gridCol w:w="1184"/>
              <w:gridCol w:w="6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8" w:type="dxa"/>
                  <w:tcBorders>
                    <w:tl2br w:val="nil"/>
                    <w:tr2bl w:val="nil"/>
                  </w:tcBorders>
                  <w:tcMar>
                    <w:left w:w="0" w:type="dxa"/>
                    <w:right w:w="0"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724" w:type="dxa"/>
                  <w:tcBorders>
                    <w:tl2br w:val="nil"/>
                    <w:tr2bl w:val="nil"/>
                  </w:tcBorders>
                  <w:tcMar>
                    <w:left w:w="0" w:type="dxa"/>
                    <w:right w:w="0"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原辅料名称</w:t>
                  </w:r>
                </w:p>
              </w:tc>
              <w:tc>
                <w:tcPr>
                  <w:tcW w:w="2081" w:type="dxa"/>
                  <w:tcBorders>
                    <w:tl2br w:val="nil"/>
                    <w:tr2bl w:val="nil"/>
                  </w:tcBorders>
                  <w:tcMar>
                    <w:left w:w="0" w:type="dxa"/>
                    <w:right w:w="0"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成份</w:t>
                  </w:r>
                </w:p>
              </w:tc>
              <w:tc>
                <w:tcPr>
                  <w:tcW w:w="1153" w:type="dxa"/>
                  <w:tcBorders>
                    <w:tl2br w:val="nil"/>
                    <w:tr2bl w:val="nil"/>
                  </w:tcBorders>
                  <w:shd w:val="clear" w:color="auto" w:fill="auto"/>
                  <w:vAlign w:val="center"/>
                </w:tcPr>
                <w:p>
                  <w:pPr>
                    <w:pStyle w:val="59"/>
                    <w:adjustRightInd w:val="0"/>
                    <w:snapToGrid w:val="0"/>
                    <w:spacing w:line="240" w:lineRule="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rPr>
                    <w:t>迁建前</w:t>
                  </w:r>
                  <w:r>
                    <w:rPr>
                      <w:rFonts w:hint="default" w:ascii="Times New Roman" w:hAnsi="Times New Roman" w:cs="Times New Roman"/>
                      <w:b/>
                      <w:bCs/>
                      <w:szCs w:val="21"/>
                      <w:lang w:val="en-US" w:eastAsia="zh-CN"/>
                    </w:rPr>
                    <w:t>（t/a）</w:t>
                  </w:r>
                </w:p>
              </w:tc>
              <w:tc>
                <w:tcPr>
                  <w:tcW w:w="1060" w:type="dxa"/>
                  <w:tcBorders>
                    <w:tl2br w:val="nil"/>
                    <w:tr2bl w:val="nil"/>
                  </w:tcBorders>
                  <w:shd w:val="clear" w:color="auto" w:fill="auto"/>
                  <w:vAlign w:val="center"/>
                </w:tcPr>
                <w:p>
                  <w:pPr>
                    <w:snapToGrid w:val="0"/>
                    <w:spacing w:line="240" w:lineRule="auto"/>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szCs w:val="21"/>
                      <w:lang w:val="en-US" w:eastAsia="zh-CN"/>
                    </w:rPr>
                    <w:t>迁建后（t/a）</w:t>
                  </w:r>
                </w:p>
              </w:tc>
              <w:tc>
                <w:tcPr>
                  <w:tcW w:w="1153" w:type="dxa"/>
                  <w:tcBorders>
                    <w:tl2br w:val="nil"/>
                    <w:tr2bl w:val="nil"/>
                  </w:tcBorders>
                  <w:shd w:val="clear" w:color="auto" w:fill="auto"/>
                  <w:vAlign w:val="center"/>
                </w:tcPr>
                <w:p>
                  <w:pPr>
                    <w:pStyle w:val="59"/>
                    <w:adjustRightInd w:val="0"/>
                    <w:snapToGrid w:val="0"/>
                    <w:spacing w:line="240" w:lineRule="auto"/>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b/>
                      <w:bCs/>
                      <w:kern w:val="2"/>
                      <w:sz w:val="21"/>
                      <w:szCs w:val="21"/>
                      <w:lang w:val="en-US" w:eastAsia="zh-CN"/>
                    </w:rPr>
                    <w:t>变化量</w:t>
                  </w:r>
                  <w:r>
                    <w:rPr>
                      <w:rFonts w:hint="default" w:ascii="Times New Roman" w:hAnsi="Times New Roman" w:cs="Times New Roman"/>
                      <w:b/>
                      <w:bCs/>
                      <w:szCs w:val="21"/>
                      <w:lang w:val="en-US" w:eastAsia="zh-CN"/>
                    </w:rPr>
                    <w:t>（t/a）</w:t>
                  </w:r>
                </w:p>
              </w:tc>
              <w:tc>
                <w:tcPr>
                  <w:tcW w:w="1184"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最大储存量</w:t>
                  </w:r>
                  <w:r>
                    <w:rPr>
                      <w:rFonts w:hint="default" w:ascii="Times New Roman" w:hAnsi="Times New Roman" w:cs="Times New Roman"/>
                      <w:b/>
                      <w:bCs/>
                      <w:szCs w:val="21"/>
                      <w:lang w:eastAsia="zh-CN"/>
                    </w:rPr>
                    <w:t>（</w:t>
                  </w:r>
                  <w:r>
                    <w:rPr>
                      <w:rFonts w:hint="default" w:ascii="Times New Roman" w:hAnsi="Times New Roman" w:cs="Times New Roman"/>
                      <w:b/>
                      <w:bCs/>
                      <w:szCs w:val="21"/>
                      <w:lang w:val="en-US" w:eastAsia="zh-CN"/>
                    </w:rPr>
                    <w:t>t/a</w:t>
                  </w:r>
                  <w:r>
                    <w:rPr>
                      <w:rFonts w:hint="default" w:ascii="Times New Roman" w:hAnsi="Times New Roman" w:cs="Times New Roman"/>
                      <w:b/>
                      <w:bCs/>
                      <w:szCs w:val="21"/>
                      <w:lang w:eastAsia="zh-CN"/>
                    </w:rPr>
                    <w:t>）</w:t>
                  </w:r>
                </w:p>
              </w:tc>
              <w:tc>
                <w:tcPr>
                  <w:tcW w:w="675"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储存地点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8" w:type="dxa"/>
                  <w:tcBorders>
                    <w:tl2br w:val="nil"/>
                    <w:tr2bl w:val="nil"/>
                  </w:tcBorders>
                  <w:shd w:val="clear" w:color="auto" w:fill="auto"/>
                  <w:tcMar>
                    <w:left w:w="0" w:type="dxa"/>
                    <w:right w:w="0" w:type="dxa"/>
                  </w:tcMar>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p>
              </w:tc>
              <w:tc>
                <w:tcPr>
                  <w:tcW w:w="724"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EPP（已发泡）</w:t>
                  </w:r>
                </w:p>
              </w:tc>
              <w:tc>
                <w:tcPr>
                  <w:tcW w:w="2081"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颗粒状，</w:t>
                  </w:r>
                  <w:r>
                    <w:rPr>
                      <w:rFonts w:hint="eastAsia" w:ascii="Times New Roman" w:hAnsi="Times New Roman" w:cs="Times New Roman"/>
                      <w:lang w:val="en-US" w:eastAsia="zh-CN"/>
                    </w:rPr>
                    <w:t>聚丙烯树脂＞97%，抗静电剂＜1%，有机颜料＜2%</w:t>
                  </w:r>
                </w:p>
              </w:tc>
              <w:tc>
                <w:tcPr>
                  <w:tcW w:w="1153"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default" w:ascii="Times New Roman" w:hAnsi="Times New Roman" w:cs="Times New Roman"/>
                      <w:lang w:val="en-US" w:eastAsia="zh-CN"/>
                    </w:rPr>
                    <w:t>200</w:t>
                  </w:r>
                </w:p>
              </w:tc>
              <w:tc>
                <w:tcPr>
                  <w:tcW w:w="1060" w:type="dxa"/>
                  <w:tcBorders>
                    <w:tl2br w:val="nil"/>
                    <w:tr2bl w:val="nil"/>
                  </w:tcBorders>
                  <w:shd w:val="clear" w:color="auto" w:fill="auto"/>
                  <w:vAlign w:val="center"/>
                </w:tcPr>
                <w:p>
                  <w:pPr>
                    <w:pStyle w:val="66"/>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505</w:t>
                  </w:r>
                </w:p>
              </w:tc>
              <w:tc>
                <w:tcPr>
                  <w:tcW w:w="1153"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default" w:ascii="Times New Roman" w:hAnsi="Times New Roman" w:cs="Times New Roman"/>
                      <w:lang w:val="en-US" w:eastAsia="zh-CN"/>
                    </w:rPr>
                    <w:t>+305</w:t>
                  </w:r>
                </w:p>
              </w:tc>
              <w:tc>
                <w:tcPr>
                  <w:tcW w:w="1184" w:type="dxa"/>
                  <w:tcBorders>
                    <w:tl2br w:val="nil"/>
                    <w:tr2bl w:val="nil"/>
                  </w:tcBorders>
                  <w:shd w:val="clear" w:color="auto" w:fill="auto"/>
                  <w:vAlign w:val="center"/>
                </w:tcPr>
                <w:p>
                  <w:pPr>
                    <w:pStyle w:val="66"/>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20</w:t>
                  </w:r>
                </w:p>
              </w:tc>
              <w:tc>
                <w:tcPr>
                  <w:tcW w:w="675" w:type="dxa"/>
                  <w:vMerge w:val="restart"/>
                  <w:tcBorders>
                    <w:tl2br w:val="nil"/>
                    <w:tr2bl w:val="nil"/>
                  </w:tcBorders>
                  <w:shd w:val="clear" w:color="auto" w:fill="auto"/>
                  <w:vAlign w:val="center"/>
                </w:tcPr>
                <w:p>
                  <w:pPr>
                    <w:pStyle w:val="66"/>
                    <w:spacing w:line="320" w:lineRule="exac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lang w:val="en-US" w:eastAsia="zh-CN"/>
                    </w:rPr>
                    <w:t>包装仓储区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8" w:type="dxa"/>
                  <w:tcBorders>
                    <w:tl2br w:val="nil"/>
                    <w:tr2bl w:val="nil"/>
                  </w:tcBorders>
                  <w:shd w:val="clear" w:color="auto" w:fill="auto"/>
                  <w:tcMar>
                    <w:left w:w="0" w:type="dxa"/>
                    <w:right w:w="0" w:type="dxa"/>
                  </w:tcMar>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2</w:t>
                  </w:r>
                </w:p>
              </w:tc>
              <w:tc>
                <w:tcPr>
                  <w:tcW w:w="724"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rPr>
                    <w:t>润滑油</w:t>
                  </w:r>
                </w:p>
              </w:tc>
              <w:tc>
                <w:tcPr>
                  <w:tcW w:w="2081"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eastAsia="宋体" w:cs="Times New Roman"/>
                      <w:color w:val="auto"/>
                      <w:sz w:val="21"/>
                      <w:szCs w:val="21"/>
                      <w:lang w:val="en-US" w:eastAsia="zh-CN"/>
                    </w:rPr>
                    <w:t>液态，</w:t>
                  </w:r>
                  <w:r>
                    <w:rPr>
                      <w:rFonts w:hint="default" w:ascii="Times New Roman" w:hAnsi="Times New Roman" w:eastAsia="宋体" w:cs="Times New Roman"/>
                      <w:color w:val="auto"/>
                      <w:sz w:val="21"/>
                      <w:szCs w:val="21"/>
                    </w:rPr>
                    <w:t>矿物油</w:t>
                  </w:r>
                </w:p>
              </w:tc>
              <w:tc>
                <w:tcPr>
                  <w:tcW w:w="1153"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default" w:ascii="Times New Roman" w:hAnsi="Times New Roman" w:cs="Times New Roman"/>
                      <w:lang w:val="en-US" w:eastAsia="zh-CN"/>
                    </w:rPr>
                    <w:t>/</w:t>
                  </w:r>
                </w:p>
              </w:tc>
              <w:tc>
                <w:tcPr>
                  <w:tcW w:w="1060" w:type="dxa"/>
                  <w:tcBorders>
                    <w:tl2br w:val="nil"/>
                    <w:tr2bl w:val="nil"/>
                  </w:tcBorders>
                  <w:shd w:val="clear" w:color="auto" w:fill="auto"/>
                  <w:vAlign w:val="center"/>
                </w:tcPr>
                <w:p>
                  <w:pPr>
                    <w:pStyle w:val="66"/>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0.1</w:t>
                  </w:r>
                </w:p>
              </w:tc>
              <w:tc>
                <w:tcPr>
                  <w:tcW w:w="1153"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default" w:ascii="Times New Roman" w:hAnsi="Times New Roman" w:cs="Times New Roman"/>
                      <w:lang w:val="en-US" w:eastAsia="zh-CN"/>
                    </w:rPr>
                    <w:t>+0.1</w:t>
                  </w:r>
                </w:p>
              </w:tc>
              <w:tc>
                <w:tcPr>
                  <w:tcW w:w="1184" w:type="dxa"/>
                  <w:tcBorders>
                    <w:tl2br w:val="nil"/>
                    <w:tr2bl w:val="nil"/>
                  </w:tcBorders>
                  <w:shd w:val="clear" w:color="auto" w:fill="auto"/>
                  <w:vAlign w:val="center"/>
                </w:tcPr>
                <w:p>
                  <w:pPr>
                    <w:pStyle w:val="66"/>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lang w:val="en-US" w:eastAsia="zh-CN"/>
                    </w:rPr>
                    <w:t>0.1</w:t>
                  </w:r>
                </w:p>
              </w:tc>
              <w:tc>
                <w:tcPr>
                  <w:tcW w:w="675" w:type="dxa"/>
                  <w:vMerge w:val="continue"/>
                  <w:tcBorders>
                    <w:tl2br w:val="nil"/>
                    <w:tr2bl w:val="nil"/>
                  </w:tcBorders>
                  <w:shd w:val="clear" w:color="auto" w:fill="auto"/>
                  <w:vAlign w:val="center"/>
                </w:tcPr>
                <w:p>
                  <w:pPr>
                    <w:pStyle w:val="66"/>
                    <w:spacing w:line="320" w:lineRule="exact"/>
                    <w:rPr>
                      <w:rFonts w:hint="default" w:ascii="Times New Roman" w:hAnsi="Times New Roman" w:eastAsia="宋体" w:cs="Times New Roman"/>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8" w:type="dxa"/>
                  <w:tcBorders>
                    <w:tl2br w:val="nil"/>
                    <w:tr2bl w:val="nil"/>
                  </w:tcBorders>
                  <w:shd w:val="clear" w:color="auto" w:fill="auto"/>
                  <w:tcMar>
                    <w:left w:w="0" w:type="dxa"/>
                    <w:right w:w="0" w:type="dxa"/>
                  </w:tcMar>
                  <w:vAlign w:val="center"/>
                </w:tcPr>
                <w:p>
                  <w:pPr>
                    <w:jc w:val="center"/>
                    <w:rPr>
                      <w:rFonts w:hint="eastAsia" w:ascii="Times New Roman" w:hAnsi="Times New Roman" w:eastAsia="宋体" w:cs="Times New Roman"/>
                      <w:szCs w:val="21"/>
                      <w:lang w:val="en-US" w:eastAsia="zh-CN"/>
                    </w:rPr>
                  </w:pPr>
                  <w:r>
                    <w:rPr>
                      <w:rFonts w:hint="eastAsia" w:cs="Times New Roman"/>
                      <w:szCs w:val="21"/>
                      <w:lang w:val="en-US" w:eastAsia="zh-CN"/>
                    </w:rPr>
                    <w:t>3</w:t>
                  </w:r>
                </w:p>
              </w:tc>
              <w:tc>
                <w:tcPr>
                  <w:tcW w:w="724"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水</w:t>
                  </w:r>
                </w:p>
              </w:tc>
              <w:tc>
                <w:tcPr>
                  <w:tcW w:w="2081"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水</w:t>
                  </w:r>
                </w:p>
              </w:tc>
              <w:tc>
                <w:tcPr>
                  <w:tcW w:w="1153" w:type="dxa"/>
                  <w:tcBorders>
                    <w:tl2br w:val="nil"/>
                    <w:tr2bl w:val="nil"/>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500</w:t>
                  </w:r>
                </w:p>
              </w:tc>
              <w:tc>
                <w:tcPr>
                  <w:tcW w:w="1060" w:type="dxa"/>
                  <w:tcBorders>
                    <w:tl2br w:val="nil"/>
                    <w:tr2bl w:val="nil"/>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eastAsia" w:cs="Times New Roman"/>
                      <w:sz w:val="21"/>
                      <w:szCs w:val="21"/>
                      <w:lang w:val="en-US" w:eastAsia="zh-CN"/>
                    </w:rPr>
                    <w:t>615</w:t>
                  </w:r>
                </w:p>
              </w:tc>
              <w:tc>
                <w:tcPr>
                  <w:tcW w:w="1153" w:type="dxa"/>
                  <w:tcBorders>
                    <w:tl2br w:val="nil"/>
                    <w:tr2bl w:val="nil"/>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eastAsia" w:cs="Times New Roman"/>
                      <w:sz w:val="21"/>
                      <w:szCs w:val="21"/>
                      <w:lang w:val="en-US" w:eastAsia="zh-CN"/>
                    </w:rPr>
                    <w:t>+115</w:t>
                  </w:r>
                </w:p>
              </w:tc>
              <w:tc>
                <w:tcPr>
                  <w:tcW w:w="1184"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eastAsia" w:ascii="Times New Roman" w:hAnsi="Times New Roman" w:cs="Times New Roman"/>
                      <w:lang w:val="en-US" w:eastAsia="zh-CN"/>
                    </w:rPr>
                    <w:t>/</w:t>
                  </w:r>
                </w:p>
              </w:tc>
              <w:tc>
                <w:tcPr>
                  <w:tcW w:w="675"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eastAsia" w:ascii="Times New Roman" w:hAnsi="Times New Roman" w:cs="Times New Roman"/>
                      <w:lang w:val="en-US" w:eastAsia="zh-CN"/>
                    </w:rPr>
                    <w:t>管道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78" w:type="dxa"/>
                  <w:tcBorders>
                    <w:tl2br w:val="nil"/>
                    <w:tr2bl w:val="nil"/>
                  </w:tcBorders>
                  <w:shd w:val="clear" w:color="auto" w:fill="auto"/>
                  <w:tcMar>
                    <w:left w:w="0" w:type="dxa"/>
                    <w:right w:w="0" w:type="dxa"/>
                  </w:tcMar>
                  <w:vAlign w:val="center"/>
                </w:tcPr>
                <w:p>
                  <w:pPr>
                    <w:jc w:val="center"/>
                    <w:rPr>
                      <w:rFonts w:hint="eastAsia" w:ascii="Times New Roman" w:hAnsi="Times New Roman" w:eastAsia="宋体" w:cs="Times New Roman"/>
                      <w:szCs w:val="21"/>
                      <w:lang w:val="en-US" w:eastAsia="zh-CN"/>
                    </w:rPr>
                  </w:pPr>
                  <w:r>
                    <w:rPr>
                      <w:rFonts w:hint="eastAsia" w:cs="Times New Roman"/>
                      <w:szCs w:val="21"/>
                      <w:lang w:val="en-US" w:eastAsia="zh-CN"/>
                    </w:rPr>
                    <w:t>4</w:t>
                  </w:r>
                </w:p>
              </w:tc>
              <w:tc>
                <w:tcPr>
                  <w:tcW w:w="724"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蒸汽</w:t>
                  </w:r>
                </w:p>
              </w:tc>
              <w:tc>
                <w:tcPr>
                  <w:tcW w:w="2081" w:type="dxa"/>
                  <w:tcBorders>
                    <w:tl2br w:val="nil"/>
                    <w:tr2bl w:val="nil"/>
                  </w:tcBorders>
                  <w:shd w:val="clear" w:color="auto" w:fill="auto"/>
                  <w:tcMar>
                    <w:left w:w="0" w:type="dxa"/>
                    <w:right w:w="0" w:type="dxa"/>
                  </w:tcMar>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水</w:t>
                  </w:r>
                </w:p>
              </w:tc>
              <w:tc>
                <w:tcPr>
                  <w:tcW w:w="1153" w:type="dxa"/>
                  <w:tcBorders>
                    <w:tl2br w:val="nil"/>
                    <w:tr2bl w:val="nil"/>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2000</w:t>
                  </w:r>
                </w:p>
              </w:tc>
              <w:tc>
                <w:tcPr>
                  <w:tcW w:w="1060" w:type="dxa"/>
                  <w:tcBorders>
                    <w:tl2br w:val="nil"/>
                    <w:tr2bl w:val="nil"/>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1800</w:t>
                  </w:r>
                </w:p>
              </w:tc>
              <w:tc>
                <w:tcPr>
                  <w:tcW w:w="1153" w:type="dxa"/>
                  <w:tcBorders>
                    <w:tl2br w:val="nil"/>
                    <w:tr2bl w:val="nil"/>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-200</w:t>
                  </w:r>
                </w:p>
              </w:tc>
              <w:tc>
                <w:tcPr>
                  <w:tcW w:w="1184"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eastAsia" w:ascii="Times New Roman" w:hAnsi="Times New Roman" w:cs="Times New Roman"/>
                      <w:lang w:val="en-US" w:eastAsia="zh-CN"/>
                    </w:rPr>
                    <w:t>/</w:t>
                  </w:r>
                </w:p>
              </w:tc>
              <w:tc>
                <w:tcPr>
                  <w:tcW w:w="675" w:type="dxa"/>
                  <w:tcBorders>
                    <w:tl2br w:val="nil"/>
                    <w:tr2bl w:val="nil"/>
                  </w:tcBorders>
                  <w:shd w:val="clear" w:color="auto" w:fill="auto"/>
                  <w:vAlign w:val="center"/>
                </w:tcPr>
                <w:p>
                  <w:pPr>
                    <w:pStyle w:val="66"/>
                    <w:spacing w:line="320" w:lineRule="exact"/>
                    <w:rPr>
                      <w:rFonts w:hint="default" w:ascii="Times New Roman" w:hAnsi="Times New Roman" w:cs="Times New Roman"/>
                      <w:lang w:val="en-US" w:eastAsia="zh-CN"/>
                    </w:rPr>
                  </w:pPr>
                  <w:r>
                    <w:rPr>
                      <w:rFonts w:hint="eastAsia" w:ascii="Times New Roman" w:hAnsi="Times New Roman" w:cs="Times New Roman"/>
                      <w:lang w:val="en-US" w:eastAsia="zh-CN"/>
                    </w:rPr>
                    <w:t>管道</w:t>
                  </w:r>
                </w:p>
              </w:tc>
            </w:tr>
          </w:tbl>
          <w:p>
            <w:pPr>
              <w:adjustRightInd w:val="0"/>
              <w:snapToGrid w:val="0"/>
              <w:spacing w:line="360" w:lineRule="auto"/>
              <w:jc w:val="center"/>
              <w:rPr>
                <w:rFonts w:hint="default" w:ascii="Times New Roman" w:hAnsi="Times New Roman" w:cs="Times New Roman"/>
                <w:b/>
                <w:bCs/>
                <w:sz w:val="24"/>
                <w:szCs w:val="24"/>
              </w:rPr>
            </w:pPr>
          </w:p>
          <w:p>
            <w:pPr>
              <w:adjustRightInd w:val="0"/>
              <w:snapToGrid w:val="0"/>
              <w:spacing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表2-</w:t>
            </w:r>
            <w:r>
              <w:rPr>
                <w:rFonts w:hint="default" w:ascii="Times New Roman" w:hAnsi="Times New Roman" w:cs="Times New Roman"/>
                <w:b/>
                <w:bCs/>
                <w:sz w:val="24"/>
                <w:szCs w:val="24"/>
                <w:lang w:val="en-US" w:eastAsia="zh-CN"/>
              </w:rPr>
              <w:t>6</w:t>
            </w:r>
            <w:r>
              <w:rPr>
                <w:rFonts w:hint="default" w:ascii="Times New Roman" w:hAnsi="Times New Roman" w:cs="Times New Roman"/>
                <w:b/>
                <w:bCs/>
                <w:sz w:val="24"/>
                <w:szCs w:val="24"/>
              </w:rPr>
              <w:t xml:space="preserve">  理化性质表</w:t>
            </w:r>
          </w:p>
          <w:tbl>
            <w:tblPr>
              <w:tblStyle w:val="30"/>
              <w:tblW w:w="830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04"/>
              <w:gridCol w:w="956"/>
              <w:gridCol w:w="4486"/>
              <w:gridCol w:w="1434"/>
              <w:gridCol w:w="9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04" w:type="dxa"/>
                  <w:tcBorders>
                    <w:tl2br w:val="nil"/>
                    <w:tr2bl w:val="nil"/>
                  </w:tcBorders>
                  <w:tcMar>
                    <w:left w:w="0" w:type="dxa"/>
                    <w:right w:w="0"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956" w:type="dxa"/>
                  <w:tcBorders>
                    <w:tl2br w:val="nil"/>
                    <w:tr2bl w:val="nil"/>
                  </w:tcBorders>
                  <w:tcMar>
                    <w:left w:w="0" w:type="dxa"/>
                    <w:right w:w="0" w:type="dxa"/>
                  </w:tcMar>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名称</w:t>
                  </w:r>
                </w:p>
              </w:tc>
              <w:tc>
                <w:tcPr>
                  <w:tcW w:w="4486"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理化特征</w:t>
                  </w:r>
                </w:p>
              </w:tc>
              <w:tc>
                <w:tcPr>
                  <w:tcW w:w="1434"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燃烧爆炸性</w:t>
                  </w:r>
                </w:p>
              </w:tc>
              <w:tc>
                <w:tcPr>
                  <w:tcW w:w="928"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毒理性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04" w:type="dxa"/>
                  <w:tcBorders>
                    <w:tl2br w:val="nil"/>
                    <w:tr2bl w:val="nil"/>
                  </w:tcBorders>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956"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EPP（已发泡）</w:t>
                  </w:r>
                </w:p>
              </w:tc>
              <w:tc>
                <w:tcPr>
                  <w:tcW w:w="4486"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颗粒状，</w:t>
                  </w:r>
                  <w:r>
                    <w:rPr>
                      <w:rFonts w:hint="eastAsia" w:ascii="Times New Roman" w:hAnsi="Times New Roman" w:eastAsia="宋体" w:cs="Times New Roman"/>
                      <w:color w:val="auto"/>
                      <w:kern w:val="2"/>
                      <w:sz w:val="21"/>
                      <w:szCs w:val="21"/>
                      <w:lang w:val="en-US" w:eastAsia="zh-CN" w:bidi="ar-SA"/>
                    </w:rPr>
                    <w:t>自燃</w:t>
                  </w:r>
                  <w:r>
                    <w:rPr>
                      <w:rFonts w:hint="default" w:ascii="Times New Roman" w:hAnsi="Times New Roman" w:eastAsia="宋体" w:cs="Times New Roman"/>
                      <w:color w:val="auto"/>
                      <w:kern w:val="2"/>
                      <w:sz w:val="21"/>
                      <w:szCs w:val="21"/>
                      <w:lang w:val="en-US" w:eastAsia="zh-CN" w:bidi="ar-SA"/>
                    </w:rPr>
                    <w:t>温度3</w:t>
                  </w:r>
                  <w:r>
                    <w:rPr>
                      <w:rFonts w:hint="eastAsia" w:ascii="Times New Roman" w:hAnsi="Times New Roman" w:eastAsia="宋体" w:cs="Times New Roman"/>
                      <w:color w:val="auto"/>
                      <w:kern w:val="2"/>
                      <w:sz w:val="21"/>
                      <w:szCs w:val="21"/>
                      <w:lang w:val="en-US" w:eastAsia="zh-CN" w:bidi="ar-SA"/>
                    </w:rPr>
                    <w:t>57</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闪点＞</w:t>
                  </w:r>
                  <w:r>
                    <w:rPr>
                      <w:rFonts w:hint="default" w:ascii="Times New Roman" w:hAnsi="Times New Roman" w:eastAsia="宋体" w:cs="Times New Roman"/>
                      <w:color w:val="auto"/>
                      <w:kern w:val="2"/>
                      <w:sz w:val="21"/>
                      <w:szCs w:val="21"/>
                      <w:lang w:val="en-US" w:eastAsia="zh-CN" w:bidi="ar-SA"/>
                    </w:rPr>
                    <w:t>3</w:t>
                  </w:r>
                  <w:r>
                    <w:rPr>
                      <w:rFonts w:hint="eastAsia" w:ascii="Times New Roman" w:hAnsi="Times New Roman" w:eastAsia="宋体" w:cs="Times New Roman"/>
                      <w:color w:val="auto"/>
                      <w:kern w:val="2"/>
                      <w:sz w:val="21"/>
                      <w:szCs w:val="21"/>
                      <w:lang w:val="en-US" w:eastAsia="zh-CN" w:bidi="ar-SA"/>
                    </w:rPr>
                    <w:t>29</w:t>
                  </w:r>
                  <w:r>
                    <w:rPr>
                      <w:rFonts w:hint="default"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w:t>
                  </w:r>
                  <w:r>
                    <w:rPr>
                      <w:rFonts w:hint="default" w:ascii="Times New Roman" w:hAnsi="Times New Roman" w:eastAsia="宋体" w:cs="Times New Roman"/>
                      <w:color w:val="auto"/>
                      <w:kern w:val="2"/>
                      <w:sz w:val="21"/>
                      <w:szCs w:val="21"/>
                      <w:lang w:val="en-US" w:eastAsia="zh-CN" w:bidi="ar-SA"/>
                    </w:rPr>
                    <w:t>燃烧</w:t>
                  </w:r>
                  <w:r>
                    <w:rPr>
                      <w:rFonts w:hint="eastAsia" w:ascii="Times New Roman" w:hAnsi="Times New Roman" w:eastAsia="宋体" w:cs="Times New Roman"/>
                      <w:color w:val="auto"/>
                      <w:kern w:val="2"/>
                      <w:sz w:val="21"/>
                      <w:szCs w:val="21"/>
                      <w:lang w:val="en-US" w:eastAsia="zh-CN" w:bidi="ar-SA"/>
                    </w:rPr>
                    <w:t>产物仅碳氧化物</w:t>
                  </w:r>
                  <w:r>
                    <w:rPr>
                      <w:rFonts w:hint="default" w:ascii="Times New Roman" w:hAnsi="Times New Roman" w:eastAsia="宋体" w:cs="Times New Roman"/>
                      <w:color w:val="auto"/>
                      <w:kern w:val="2"/>
                      <w:sz w:val="21"/>
                      <w:szCs w:val="21"/>
                      <w:lang w:val="en-US" w:eastAsia="zh-CN" w:bidi="ar-SA"/>
                    </w:rPr>
                    <w:t>。</w:t>
                  </w:r>
                </w:p>
              </w:tc>
              <w:tc>
                <w:tcPr>
                  <w:tcW w:w="1434"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可燃</w:t>
                  </w:r>
                </w:p>
              </w:tc>
              <w:tc>
                <w:tcPr>
                  <w:tcW w:w="928"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lang w:val="en-US" w:eastAsia="zh-CN"/>
                    </w:rPr>
                    <w:t>无毒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504" w:type="dxa"/>
                  <w:tcBorders>
                    <w:tl2br w:val="nil"/>
                    <w:tr2bl w:val="nil"/>
                  </w:tcBorders>
                  <w:vAlign w:val="center"/>
                </w:tcPr>
                <w:p>
                  <w:pPr>
                    <w:adjustRightInd w:val="0"/>
                    <w:snapToGrid w:val="0"/>
                    <w:jc w:val="center"/>
                    <w:rPr>
                      <w:rFonts w:hint="eastAsia" w:ascii="Times New Roman" w:hAnsi="Times New Roman" w:eastAsia="宋体" w:cs="Times New Roman"/>
                      <w:szCs w:val="21"/>
                      <w:lang w:val="en-US" w:eastAsia="zh-CN"/>
                    </w:rPr>
                  </w:pPr>
                  <w:r>
                    <w:rPr>
                      <w:rFonts w:hint="eastAsia" w:cs="Times New Roman"/>
                      <w:szCs w:val="21"/>
                      <w:lang w:val="en-US" w:eastAsia="zh-CN"/>
                    </w:rPr>
                    <w:t>2</w:t>
                  </w:r>
                </w:p>
              </w:tc>
              <w:tc>
                <w:tcPr>
                  <w:tcW w:w="956"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润滑油</w:t>
                  </w:r>
                </w:p>
              </w:tc>
              <w:tc>
                <w:tcPr>
                  <w:tcW w:w="4486"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淡黄色粘稠液体，</w:t>
                  </w:r>
                  <w:r>
                    <w:rPr>
                      <w:rFonts w:hint="default" w:ascii="Times New Roman" w:hAnsi="Times New Roman" w:eastAsia="宋体" w:cs="Times New Roman"/>
                      <w:color w:val="auto"/>
                      <w:kern w:val="2"/>
                      <w:sz w:val="21"/>
                      <w:szCs w:val="21"/>
                      <w:lang w:val="en-US" w:eastAsia="zh-CN" w:bidi="ar-SA"/>
                    </w:rPr>
                    <w:t>密度为0.</w:t>
                  </w:r>
                  <w:r>
                    <w:rPr>
                      <w:rFonts w:hint="eastAsia" w:ascii="Times New Roman" w:hAnsi="Times New Roman" w:eastAsia="宋体" w:cs="Times New Roman"/>
                      <w:color w:val="auto"/>
                      <w:kern w:val="2"/>
                      <w:sz w:val="21"/>
                      <w:szCs w:val="21"/>
                      <w:lang w:val="en-US" w:eastAsia="zh-CN" w:bidi="ar-SA"/>
                    </w:rPr>
                    <w:t>85</w:t>
                  </w:r>
                  <w:r>
                    <w:rPr>
                      <w:rFonts w:hint="default" w:ascii="Times New Roman" w:hAnsi="Times New Roman" w:eastAsia="宋体" w:cs="Times New Roman"/>
                      <w:color w:val="auto"/>
                      <w:kern w:val="2"/>
                      <w:sz w:val="21"/>
                      <w:szCs w:val="21"/>
                      <w:lang w:val="en-US" w:eastAsia="zh-CN" w:bidi="ar-SA"/>
                    </w:rPr>
                    <w:t>g/cm</w:t>
                  </w:r>
                  <w:r>
                    <w:rPr>
                      <w:rFonts w:hint="eastAsia" w:ascii="Times New Roman" w:hAnsi="Times New Roman" w:eastAsia="宋体" w:cs="Times New Roman"/>
                      <w:color w:val="auto"/>
                      <w:kern w:val="2"/>
                      <w:sz w:val="21"/>
                      <w:szCs w:val="21"/>
                      <w:vertAlign w:val="superscript"/>
                      <w:lang w:val="en-US" w:eastAsia="zh-CN" w:bidi="ar-SA"/>
                    </w:rPr>
                    <w:t>3</w:t>
                  </w:r>
                </w:p>
              </w:tc>
              <w:tc>
                <w:tcPr>
                  <w:tcW w:w="1434"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可燃</w:t>
                  </w:r>
                </w:p>
              </w:tc>
              <w:tc>
                <w:tcPr>
                  <w:tcW w:w="928" w:type="dxa"/>
                  <w:tcBorders>
                    <w:tl2br w:val="nil"/>
                    <w:tr2bl w:val="nil"/>
                  </w:tcBorders>
                  <w:shd w:val="clear" w:color="auto" w:fill="auto"/>
                  <w:vAlign w:val="center"/>
                </w:tcPr>
                <w:p>
                  <w:pPr>
                    <w:pStyle w:val="66"/>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baseline"/>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r>
          </w:tbl>
          <w:p>
            <w:pPr>
              <w:jc w:val="center"/>
              <w:rPr>
                <w:rFonts w:hint="default" w:ascii="Times New Roman" w:hAnsi="Times New Roman" w:cs="Times New Roman"/>
                <w:b/>
                <w:bCs/>
                <w:szCs w:val="21"/>
              </w:rPr>
            </w:pPr>
          </w:p>
          <w:p>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6、水平衡</w:t>
            </w:r>
          </w:p>
          <w:p>
            <w:pPr>
              <w:autoSpaceDE w:val="0"/>
              <w:autoSpaceDN w:val="0"/>
              <w:adjustRightInd w:val="0"/>
              <w:snapToGrid w:val="0"/>
              <w:spacing w:line="360" w:lineRule="auto"/>
              <w:ind w:firstLine="480" w:firstLineChars="200"/>
              <w:rPr>
                <w:rFonts w:hint="default" w:ascii="Times New Roman" w:hAnsi="Times New Roman" w:eastAsia="宋体" w:cs="Times New Roman"/>
                <w:kern w:val="0"/>
                <w:sz w:val="24"/>
                <w:szCs w:val="32"/>
              </w:rPr>
            </w:pPr>
            <w:r>
              <w:rPr>
                <w:rFonts w:hint="default" w:ascii="Times New Roman" w:hAnsi="Times New Roman" w:cs="Times New Roman"/>
                <w:sz w:val="24"/>
                <w:szCs w:val="24"/>
                <w:lang w:val="en-US" w:eastAsia="zh-CN"/>
              </w:rPr>
              <w:t>迁建</w:t>
            </w:r>
            <w:r>
              <w:rPr>
                <w:rFonts w:hint="eastAsia" w:cs="Times New Roman"/>
                <w:sz w:val="24"/>
                <w:szCs w:val="24"/>
                <w:lang w:val="en-US" w:eastAsia="zh-CN"/>
              </w:rPr>
              <w:t>后</w:t>
            </w:r>
            <w:r>
              <w:rPr>
                <w:rFonts w:hint="default" w:ascii="Times New Roman" w:hAnsi="Times New Roman" w:cs="Times New Roman"/>
                <w:sz w:val="24"/>
                <w:szCs w:val="24"/>
              </w:rPr>
              <w:t>自来水用量为</w:t>
            </w:r>
            <w:r>
              <w:rPr>
                <w:rFonts w:hint="eastAsia" w:cs="Times New Roman"/>
                <w:sz w:val="24"/>
                <w:szCs w:val="24"/>
                <w:lang w:val="en-US" w:eastAsia="zh-CN"/>
              </w:rPr>
              <w:t>615</w:t>
            </w:r>
            <w:r>
              <w:rPr>
                <w:rFonts w:hint="default" w:ascii="Times New Roman" w:hAnsi="Times New Roman" w:cs="Times New Roman"/>
                <w:sz w:val="24"/>
                <w:szCs w:val="24"/>
              </w:rPr>
              <w:t>t/a，</w:t>
            </w:r>
            <w:r>
              <w:rPr>
                <w:rFonts w:hint="default" w:ascii="Times New Roman" w:hAnsi="Times New Roman" w:cs="Times New Roman"/>
                <w:sz w:val="24"/>
                <w:szCs w:val="24"/>
                <w:lang w:val="en-US" w:eastAsia="zh-CN"/>
              </w:rPr>
              <w:t>其中</w:t>
            </w:r>
            <w:r>
              <w:rPr>
                <w:rFonts w:hint="default" w:ascii="Times New Roman" w:hAnsi="Times New Roman" w:cs="Times New Roman"/>
                <w:sz w:val="24"/>
                <w:szCs w:val="24"/>
              </w:rPr>
              <w:t>生活用水</w:t>
            </w:r>
            <w:r>
              <w:rPr>
                <w:rFonts w:hint="default" w:ascii="Times New Roman" w:hAnsi="Times New Roman" w:cs="Times New Roman"/>
                <w:sz w:val="24"/>
                <w:szCs w:val="24"/>
                <w:lang w:val="en-US" w:eastAsia="zh-CN"/>
              </w:rPr>
              <w:t>300t/a，冷却用水</w:t>
            </w:r>
            <w:r>
              <w:rPr>
                <w:rFonts w:hint="eastAsia" w:cs="Times New Roman"/>
                <w:sz w:val="24"/>
                <w:szCs w:val="24"/>
                <w:lang w:val="en-US" w:eastAsia="zh-CN"/>
              </w:rPr>
              <w:t>315</w:t>
            </w:r>
            <w:r>
              <w:rPr>
                <w:rFonts w:hint="default" w:ascii="Times New Roman" w:hAnsi="Times New Roman" w:cs="Times New Roman"/>
                <w:sz w:val="24"/>
                <w:szCs w:val="24"/>
                <w:lang w:val="en-US" w:eastAsia="zh-CN"/>
              </w:rPr>
              <w:t>t/a</w:t>
            </w:r>
            <w:r>
              <w:rPr>
                <w:rFonts w:hint="default" w:ascii="Times New Roman" w:hAnsi="Times New Roman" w:eastAsia="宋体" w:cs="Times New Roman"/>
                <w:kern w:val="0"/>
                <w:sz w:val="24"/>
                <w:szCs w:val="32"/>
              </w:rPr>
              <w:t>。建设项目用排水平衡见图2-1。</w:t>
            </w:r>
          </w:p>
          <w:p>
            <w:pPr>
              <w:pStyle w:val="13"/>
              <w:spacing w:before="0" w:after="0" w:line="360" w:lineRule="auto"/>
              <w:ind w:right="0"/>
              <w:jc w:val="center"/>
              <w:rPr>
                <w:rFonts w:hint="default" w:ascii="Times New Roman" w:hAnsi="Times New Roman" w:cs="Times New Roman"/>
                <w:sz w:val="21"/>
              </w:rPr>
            </w:pPr>
            <w:r>
              <w:rPr>
                <w:rFonts w:hint="default" w:ascii="Times New Roman" w:hAnsi="Times New Roman" w:cs="Times New Roman"/>
              </w:rPr>
              <mc:AlternateContent>
                <mc:Choice Requires="wpc">
                  <w:drawing>
                    <wp:inline distT="0" distB="0" distL="114300" distR="114300">
                      <wp:extent cx="5274310" cy="1949450"/>
                      <wp:effectExtent l="0" t="0" r="0" b="13335"/>
                      <wp:docPr id="68" name="画布 68"/>
                      <wp:cNvGraphicFramePr/>
                      <a:graphic xmlns:a="http://schemas.openxmlformats.org/drawingml/2006/main">
                        <a:graphicData uri="http://schemas.microsoft.com/office/word/2010/wordprocessingCanvas">
                          <wpc:wpc>
                            <wpc:bg/>
                            <wpc:whole>
                              <a:ln w="9525">
                                <a:noFill/>
                              </a:ln>
                            </wpc:whole>
                            <wps:wsp>
                              <wps:cNvPr id="5" name="文本框 50"/>
                              <wps:cNvSpPr txBox="1"/>
                              <wps:spPr>
                                <a:xfrm>
                                  <a:off x="19050" y="751205"/>
                                  <a:ext cx="68389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615</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52"/>
                              <wps:cNvSpPr txBox="1"/>
                              <wps:spPr>
                                <a:xfrm>
                                  <a:off x="3871595" y="179705"/>
                                  <a:ext cx="879475" cy="675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接管如皋恒发水处理有限公司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文本框 55"/>
                              <wps:cNvSpPr txBox="1"/>
                              <wps:spPr>
                                <a:xfrm>
                                  <a:off x="0" y="513080"/>
                                  <a:ext cx="62293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自来水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62"/>
                              <wps:cNvCnPr/>
                              <wps:spPr>
                                <a:xfrm>
                                  <a:off x="1955165" y="470535"/>
                                  <a:ext cx="701040"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7" name="文本框 53"/>
                              <wps:cNvSpPr txBox="1"/>
                              <wps:spPr>
                                <a:xfrm>
                                  <a:off x="2075180" y="151130"/>
                                  <a:ext cx="5397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240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 name="文本框 45"/>
                              <wps:cNvSpPr txBox="1"/>
                              <wps:spPr>
                                <a:xfrm>
                                  <a:off x="1322705" y="0"/>
                                  <a:ext cx="89979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rPr>
                                      <w:t>损耗</w:t>
                                    </w:r>
                                    <w:r>
                                      <w:rPr>
                                        <w:rFonts w:hint="eastAsia"/>
                                        <w:lang w:val="en-US" w:eastAsia="zh-CN"/>
                                      </w:rPr>
                                      <w:t>60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 name="文本框 51"/>
                              <wps:cNvSpPr txBox="1"/>
                              <wps:spPr>
                                <a:xfrm>
                                  <a:off x="2656205" y="332105"/>
                                  <a:ext cx="612140"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化粪池</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46"/>
                              <wps:cNvSpPr txBox="1"/>
                              <wps:spPr>
                                <a:xfrm>
                                  <a:off x="1198880" y="332105"/>
                                  <a:ext cx="75628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生活用水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 name="直接连接符 58"/>
                              <wps:cNvCnPr/>
                              <wps:spPr>
                                <a:xfrm flipV="1">
                                  <a:off x="1208405" y="217805"/>
                                  <a:ext cx="215900" cy="101600"/>
                                </a:xfrm>
                                <a:prstGeom prst="line">
                                  <a:avLst/>
                                </a:prstGeom>
                                <a:ln w="9525" cap="flat" cmpd="sng">
                                  <a:solidFill>
                                    <a:srgbClr val="000000"/>
                                  </a:solidFill>
                                  <a:prstDash val="dash"/>
                                  <a:headEnd type="none" w="med" len="med"/>
                                  <a:tailEnd type="triangle" w="med" len="med"/>
                                </a:ln>
                              </wps:spPr>
                              <wps:bodyPr/>
                            </wps:wsp>
                            <wps:wsp>
                              <wps:cNvPr id="41" name="直接箭头连接符 66"/>
                              <wps:cNvCnPr/>
                              <wps:spPr>
                                <a:xfrm>
                                  <a:off x="646430" y="465455"/>
                                  <a:ext cx="57594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59" name="文本框 69"/>
                              <wps:cNvSpPr txBox="1"/>
                              <wps:spPr>
                                <a:xfrm>
                                  <a:off x="608330" y="160655"/>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300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 name="直接箭头连接符 70"/>
                              <wps:cNvCnPr/>
                              <wps:spPr>
                                <a:xfrm>
                                  <a:off x="3275330" y="484505"/>
                                  <a:ext cx="46799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65" name="文本框 73"/>
                              <wps:cNvSpPr txBox="1"/>
                              <wps:spPr>
                                <a:xfrm>
                                  <a:off x="3265805" y="170180"/>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240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6" name="直接连接符 112"/>
                              <wps:cNvCnPr/>
                              <wps:spPr>
                                <a:xfrm>
                                  <a:off x="646430" y="465455"/>
                                  <a:ext cx="0" cy="64800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74" name="直接箭头连接符 70"/>
                              <wps:cNvCnPr/>
                              <wps:spPr>
                                <a:xfrm>
                                  <a:off x="160655" y="770255"/>
                                  <a:ext cx="46799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5" name="文本框 46"/>
                              <wps:cNvSpPr txBox="1"/>
                              <wps:spPr>
                                <a:xfrm>
                                  <a:off x="2922905" y="960755"/>
                                  <a:ext cx="75628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冷却</w:t>
                                    </w:r>
                                    <w:r>
                                      <w:rPr>
                                        <w:rFonts w:hint="eastAsia"/>
                                      </w:rPr>
                                      <w:t>用水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文本框 69"/>
                              <wps:cNvSpPr txBox="1"/>
                              <wps:spPr>
                                <a:xfrm>
                                  <a:off x="836930" y="846455"/>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315</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8" name="直接箭头连接符 66"/>
                              <wps:cNvCnPr>
                                <a:endCxn id="170" idx="1"/>
                              </wps:cNvCnPr>
                              <wps:spPr>
                                <a:xfrm>
                                  <a:off x="652780" y="1089660"/>
                                  <a:ext cx="2270125" cy="9525"/>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79" name="文本框 45"/>
                              <wps:cNvSpPr txBox="1"/>
                              <wps:spPr>
                                <a:xfrm>
                                  <a:off x="3151505" y="703580"/>
                                  <a:ext cx="89979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rPr>
                                      <w:t>损耗</w:t>
                                    </w:r>
                                    <w:r>
                                      <w:rPr>
                                        <w:rFonts w:hint="eastAsia"/>
                                        <w:lang w:val="en-US" w:eastAsia="zh-CN"/>
                                      </w:rPr>
                                      <w:t>675</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直接连接符 58"/>
                              <wps:cNvCnPr/>
                              <wps:spPr>
                                <a:xfrm flipV="1">
                                  <a:off x="2913380" y="855980"/>
                                  <a:ext cx="215900" cy="101600"/>
                                </a:xfrm>
                                <a:prstGeom prst="line">
                                  <a:avLst/>
                                </a:prstGeom>
                                <a:ln w="9525" cap="flat" cmpd="sng">
                                  <a:solidFill>
                                    <a:srgbClr val="000000"/>
                                  </a:solidFill>
                                  <a:prstDash val="dash"/>
                                  <a:headEnd type="none" w="med" len="med"/>
                                  <a:tailEnd type="triangle" w="med" len="med"/>
                                </a:ln>
                              </wps:spPr>
                              <wps:bodyPr/>
                            </wps:wsp>
                            <wps:wsp>
                              <wps:cNvPr id="81" name="肘形连接符 181"/>
                              <wps:cNvCnPr>
                                <a:stCxn id="170" idx="3"/>
                                <a:endCxn id="170" idx="2"/>
                              </wps:cNvCnPr>
                              <wps:spPr>
                                <a:xfrm flipH="1">
                                  <a:off x="3301365" y="1099185"/>
                                  <a:ext cx="377825" cy="137795"/>
                                </a:xfrm>
                                <a:prstGeom prst="bentConnector4">
                                  <a:avLst>
                                    <a:gd name="adj1" fmla="val -63025"/>
                                    <a:gd name="adj2" fmla="val 27281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2" name="文本框 71"/>
                              <wps:cNvSpPr txBox="1"/>
                              <wps:spPr>
                                <a:xfrm>
                                  <a:off x="3294380" y="1227455"/>
                                  <a:ext cx="67183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15000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文本框 55"/>
                              <wps:cNvSpPr txBox="1"/>
                              <wps:spPr>
                                <a:xfrm>
                                  <a:off x="8255" y="1341755"/>
                                  <a:ext cx="62293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val="en-US" w:eastAsia="zh-CN"/>
                                      </w:rPr>
                                    </w:pPr>
                                    <w:r>
                                      <w:rPr>
                                        <w:rFonts w:hint="eastAsia"/>
                                        <w:lang w:val="en-US" w:eastAsia="zh-CN"/>
                                      </w:rPr>
                                      <w:t>蒸汽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50"/>
                              <wps:cNvSpPr txBox="1"/>
                              <wps:spPr>
                                <a:xfrm>
                                  <a:off x="0" y="1646555"/>
                                  <a:ext cx="683895"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1800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直接箭头连接符 70"/>
                              <wps:cNvCnPr/>
                              <wps:spPr>
                                <a:xfrm>
                                  <a:off x="65405" y="1627505"/>
                                  <a:ext cx="467995" cy="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87" name="文本框 51"/>
                              <wps:cNvSpPr txBox="1"/>
                              <wps:spPr>
                                <a:xfrm>
                                  <a:off x="532130" y="1494155"/>
                                  <a:ext cx="767715" cy="4102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加热定型/烘干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直接连接符 58"/>
                              <wps:cNvCnPr/>
                              <wps:spPr>
                                <a:xfrm flipV="1">
                                  <a:off x="560705" y="1379855"/>
                                  <a:ext cx="215900" cy="101600"/>
                                </a:xfrm>
                                <a:prstGeom prst="line">
                                  <a:avLst/>
                                </a:prstGeom>
                                <a:ln w="9525" cap="flat" cmpd="sng">
                                  <a:solidFill>
                                    <a:srgbClr val="000000"/>
                                  </a:solidFill>
                                  <a:prstDash val="dash"/>
                                  <a:headEnd type="none" w="med" len="med"/>
                                  <a:tailEnd type="triangle" w="med" len="med"/>
                                </a:ln>
                              </wps:spPr>
                              <wps:bodyPr/>
                            </wps:wsp>
                            <wps:wsp>
                              <wps:cNvPr id="89" name="文本框 45"/>
                              <wps:cNvSpPr txBox="1"/>
                              <wps:spPr>
                                <a:xfrm>
                                  <a:off x="713105" y="1217930"/>
                                  <a:ext cx="899795"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rPr>
                                      <w:t>损耗</w:t>
                                    </w:r>
                                    <w:r>
                                      <w:rPr>
                                        <w:rFonts w:hint="eastAsia"/>
                                        <w:lang w:val="en-US" w:eastAsia="zh-CN"/>
                                      </w:rPr>
                                      <w:t>1440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直接箭头连接符 66"/>
                              <wps:cNvCnPr>
                                <a:endCxn id="21" idx="1"/>
                              </wps:cNvCnPr>
                              <wps:spPr>
                                <a:xfrm>
                                  <a:off x="1284605" y="1637030"/>
                                  <a:ext cx="685800" cy="5080"/>
                                </a:xfrm>
                                <a:prstGeom prst="straightConnector1">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1" name="文本框 51"/>
                              <wps:cNvSpPr txBox="1"/>
                              <wps:spPr>
                                <a:xfrm>
                                  <a:off x="1970405" y="1503680"/>
                                  <a:ext cx="526415" cy="2762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冷凝</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肘形连接符 23"/>
                              <wps:cNvCnPr>
                                <a:stCxn id="21" idx="3"/>
                                <a:endCxn id="170" idx="1"/>
                              </wps:cNvCnPr>
                              <wps:spPr>
                                <a:xfrm flipV="1">
                                  <a:off x="2496820" y="1099185"/>
                                  <a:ext cx="426085" cy="542925"/>
                                </a:xfrm>
                                <a:prstGeom prst="bentConnector3">
                                  <a:avLst>
                                    <a:gd name="adj1" fmla="val 50075"/>
                                  </a:avLst>
                                </a:prstGeom>
                                <a:ln w="9525">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93" name="文本框 69"/>
                              <wps:cNvSpPr txBox="1"/>
                              <wps:spPr>
                                <a:xfrm>
                                  <a:off x="1341755" y="1389380"/>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360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文本框 69"/>
                              <wps:cNvSpPr txBox="1"/>
                              <wps:spPr>
                                <a:xfrm>
                                  <a:off x="2189480" y="1208405"/>
                                  <a:ext cx="61595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lang w:val="en-US" w:eastAsia="zh-CN"/>
                                      </w:rPr>
                                      <w:t>360</w:t>
                                    </w:r>
                                    <w:r>
                                      <w:rPr>
                                        <w:rFonts w:hint="eastAsia"/>
                                      </w:rPr>
                                      <w:t>t/a</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53.5pt;width:415.3pt;" coordsize="5274310,1949450" editas="canvas" o:gfxdata="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">
                      <o:lock v:ext="edit" aspectratio="f"/>
                      <v:shape id="_x0000_s1026" o:spid="_x0000_s1026" style="position:absolute;left:0;top:0;height:1949450;width:5274310;" filled="f" stroked="f" coordsize="21600,21600" o:gfxdata="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">
                        <v:fill on="f" focussize="0,0"/>
                        <v:stroke on="f"/>
                        <v:imagedata o:title=""/>
                        <o:lock v:ext="edit" aspectratio="f"/>
                      </v:shape>
                      <v:shape id="文本框 50" o:spid="_x0000_s1026" o:spt="202" type="#_x0000_t202" style="position:absolute;left:19050;top:751205;height:276225;width:683895;" fillcolor="#FFFFFF [3201]" filled="t" stroked="f" coordsize="21600,21600" o:gfxdata="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eJKu80gAAAAUBAAAPAAAAAAAAAAEAIAAAACIAAABkcnMvZG93bnJl&#10;di54bWxQSwECFAAUAAAACACHTuJAdICWSjwCAABKBAAADgAAAAAAAAABACAAAAAhAQAAZHJzL2Uy&#10;b0RvYy54bWxQSwUGAAAAAAYABgBZAQAAzwUAAAAA&#10;">
                        <v:fill on="t" focussize="0,0"/>
                        <v:stroke on="f" weight="0.5pt"/>
                        <v:imagedata o:title=""/>
                        <o:lock v:ext="edit" aspectratio="f"/>
                        <v:textbox>
                          <w:txbxContent>
                            <w:p>
                              <w:r>
                                <w:rPr>
                                  <w:rFonts w:hint="eastAsia"/>
                                  <w:lang w:val="en-US" w:eastAsia="zh-CN"/>
                                </w:rPr>
                                <w:t>615</w:t>
                              </w:r>
                              <w:r>
                                <w:rPr>
                                  <w:rFonts w:hint="eastAsia"/>
                                </w:rPr>
                                <w:t>t/a</w:t>
                              </w:r>
                            </w:p>
                          </w:txbxContent>
                        </v:textbox>
                      </v:shape>
                      <v:shape id="文本框 52" o:spid="_x0000_s1026" o:spt="202" type="#_x0000_t202" style="position:absolute;left:3871595;top:179705;height:675640;width:879475;" fillcolor="#FFFFFF [3201]" filled="t" stroked="f" coordsize="21600,21600" o:gfxdata="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iSrvNIAAAAFAQAADwAAAAAAAAABACAAAAAiAAAAZHJzL2Rv&#10;d25yZXYueG1sUEsBAhQAFAAAAAgAh07iQPWqasZAAgAATAQAAA4AAAAAAAAAAQAgAAAAIQEAAGRy&#10;cy9lMm9Eb2MueG1sUEsFBgAAAAAGAAYAWQEAANMFAAAAAA==&#10;">
                        <v:fill on="t" focussize="0,0"/>
                        <v:stroke on="f" weight="0.5pt"/>
                        <v:imagedata o:title=""/>
                        <o:lock v:ext="edit" aspectratio="f"/>
                        <v:textbox>
                          <w:txbxContent>
                            <w:p>
                              <w:r>
                                <w:rPr>
                                  <w:rFonts w:hint="eastAsia"/>
                                </w:rPr>
                                <w:t>接管如皋恒发水处理有限公司</w:t>
                              </w:r>
                            </w:p>
                          </w:txbxContent>
                        </v:textbox>
                      </v:shape>
                      <v:shape id="文本框 55" o:spid="_x0000_s1026" o:spt="202" type="#_x0000_t202" style="position:absolute;left:0;top:513080;height:276225;width:622935;" fillcolor="#FFFFFF [3201]" filled="t" stroked="f" coordsize="21600,21600" o:gfxdata="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iSrvNIAAAAFAQAADwAAAAAAAAABACAAAAAiAAAAZHJzL2Rvd25yZXYu&#10;eG1sUEsBAhQAFAAAAAgAh07iQEKeYcY6AgAARgQAAA4AAAAAAAAAAQAgAAAAIQEAAGRycy9lMm9E&#10;b2MueG1sUEsFBgAAAAAGAAYAWQEAAM0FAAAAAA==&#10;">
                        <v:fill on="t" focussize="0,0"/>
                        <v:stroke on="f" weight="0.5pt"/>
                        <v:imagedata o:title=""/>
                        <o:lock v:ext="edit" aspectratio="f"/>
                        <v:textbox>
                          <w:txbxContent>
                            <w:p>
                              <w:r>
                                <w:rPr>
                                  <w:rFonts w:hint="eastAsia"/>
                                </w:rPr>
                                <w:t>自来水</w:t>
                              </w:r>
                            </w:p>
                          </w:txbxContent>
                        </v:textbox>
                      </v:shape>
                      <v:shape id="直接箭头连接符 62" o:spid="_x0000_s1026" o:spt="32" type="#_x0000_t32" style="position:absolute;left:1955165;top:470535;height:0;width:701040;"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noCqS1gAAAAUBAAAPAAAAAAAAAAEAIAAAACIAAABkcnMvZG93bnJl&#10;di54bWxQSwECFAAUAAAACACHTuJAkgA16f8BAACyAwAADgAAAAAAAAABACAAAAAlAQAAZHJzL2Uy&#10;b0RvYy54bWxQSwUGAAAAAAYABgBZAQAAlgUAAAAA&#10;">
                        <v:fill on="f" focussize="0,0"/>
                        <v:stroke color="#000000 [3213]" joinstyle="round" endarrow="block"/>
                        <v:imagedata o:title=""/>
                        <o:lock v:ext="edit" aspectratio="f"/>
                      </v:shape>
                      <v:shape id="文本框 53" o:spid="_x0000_s1026" o:spt="202" type="#_x0000_t202" style="position:absolute;left:2075180;top:151130;height:276225;width:53975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3Egh51wAAAAUBAAAPAAAAAAAAAAEAIAAAACIAAABkcnMvZG93bnJldi54bWxQSwECFAAUAAAA&#10;CACHTuJAr4jpBCgCAAAkBAAADgAAAAAAAAABACAAAAAmAQAAZHJzL2Uyb0RvYy54bWxQSwUGAAAA&#10;AAYABgBZAQAAwAUAAAAA&#10;">
                        <v:fill on="f" focussize="0,0"/>
                        <v:stroke on="f" weight="0.5pt"/>
                        <v:imagedata o:title=""/>
                        <o:lock v:ext="edit" aspectratio="f"/>
                        <v:textbox>
                          <w:txbxContent>
                            <w:p>
                              <w:r>
                                <w:rPr>
                                  <w:rFonts w:hint="eastAsia"/>
                                  <w:lang w:val="en-US" w:eastAsia="zh-CN"/>
                                </w:rPr>
                                <w:t>240</w:t>
                              </w:r>
                              <w:r>
                                <w:rPr>
                                  <w:rFonts w:hint="eastAsia"/>
                                </w:rPr>
                                <w:t>t/a</w:t>
                              </w:r>
                            </w:p>
                          </w:txbxContent>
                        </v:textbox>
                      </v:shape>
                      <v:shape id="文本框 45" o:spid="_x0000_s1026" o:spt="202" type="#_x0000_t202" style="position:absolute;left:1322705;top:0;height:276225;width:899795;"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3&#10;Egh51wAAAAUBAAAPAAAAAAAAAAEAIAAAACIAAABkcnMvZG93bnJldi54bWxQSwECFAAUAAAACACH&#10;TuJAbJWOOSUCAAAfBAAADgAAAAAAAAABACAAAAAmAQAAZHJzL2Uyb0RvYy54bWxQSwUGAAAAAAYA&#10;BgBZAQAAvQUAAAAA&#10;">
                        <v:fill on="f" focussize="0,0"/>
                        <v:stroke on="f" weight="0.5pt"/>
                        <v:imagedata o:title=""/>
                        <o:lock v:ext="edit" aspectratio="f"/>
                        <v:textbox>
                          <w:txbxContent>
                            <w:p>
                              <w:r>
                                <w:rPr>
                                  <w:rFonts w:hint="eastAsia"/>
                                </w:rPr>
                                <w:t>损耗</w:t>
                              </w:r>
                              <w:r>
                                <w:rPr>
                                  <w:rFonts w:hint="eastAsia"/>
                                  <w:lang w:val="en-US" w:eastAsia="zh-CN"/>
                                </w:rPr>
                                <w:t>60</w:t>
                              </w:r>
                              <w:r>
                                <w:rPr>
                                  <w:rFonts w:hint="eastAsia"/>
                                </w:rPr>
                                <w:t>t/a</w:t>
                              </w:r>
                            </w:p>
                          </w:txbxContent>
                        </v:textbox>
                      </v:shape>
                      <v:shape id="文本框 51" o:spid="_x0000_s1026" o:spt="202" type="#_x0000_t202" style="position:absolute;left:2656205;top:332105;height:276225;width:612140;" fillcolor="#FFFFFF [3201]" filled="t" stroked="t" coordsize="21600,21600" o:gfxdata="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kBOFv0wAAAAUBAAAPAAAAAAAAAAEAIAAAACIA&#10;AABkcnMvZG93bnJldi54bWxQSwECFAAUAAAACACHTuJA8eGYkUcCAAB1BAAADgAAAAAAAAABACAA&#10;AAAiAQAAZHJzL2Uyb0RvYy54bWxQSwUGAAAAAAYABgBZAQAA2wUAAAAA&#10;">
                        <v:fill on="t" focussize="0,0"/>
                        <v:stroke weight="0.5pt" color="#000000 [3204]" joinstyle="round"/>
                        <v:imagedata o:title=""/>
                        <o:lock v:ext="edit" aspectratio="f"/>
                        <v:textbox>
                          <w:txbxContent>
                            <w:p>
                              <w:r>
                                <w:rPr>
                                  <w:rFonts w:hint="eastAsia"/>
                                </w:rPr>
                                <w:t>化粪池</w:t>
                              </w:r>
                            </w:p>
                          </w:txbxContent>
                        </v:textbox>
                      </v:shape>
                      <v:shape id="文本框 46" o:spid="_x0000_s1026" o:spt="202" type="#_x0000_t202" style="position:absolute;left:1198880;top:332105;height:276225;width:756285;" fillcolor="#FFFFFF [3201]" filled="t" stroked="t" coordsize="21600,21600" o:gfxdata="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kBOFv0wAAAAUBAAAPAAAAAAAAAAEAIAAA&#10;ACIAAABkcnMvZG93bnJldi54bWxQSwECFAAUAAAACACHTuJA2OfkakoCAAB1BAAADgAAAAAAAAAB&#10;ACAAAAAiAQAAZHJzL2Uyb0RvYy54bWxQSwUGAAAAAAYABgBZAQAA3gUAAAAA&#10;">
                        <v:fill on="t" focussize="0,0"/>
                        <v:stroke weight="0.5pt" color="#000000 [3204]" joinstyle="round"/>
                        <v:imagedata o:title=""/>
                        <o:lock v:ext="edit" aspectratio="f"/>
                        <v:textbox>
                          <w:txbxContent>
                            <w:p>
                              <w:r>
                                <w:rPr>
                                  <w:rFonts w:hint="eastAsia"/>
                                </w:rPr>
                                <w:t>生活用水</w:t>
                              </w:r>
                            </w:p>
                          </w:txbxContent>
                        </v:textbox>
                      </v:shape>
                      <v:line id="直接连接符 58" o:spid="_x0000_s1026" o:spt="20" style="position:absolute;left:1208405;top:217805;flip:y;height:101600;width:215900;" filled="f" stroked="t" coordsize="21600,21600" o:gfxdata="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Zk&#10;PtQAAAAFAQAADwAAAAAAAAABACAAAAAiAAAAZHJzL2Rvd25yZXYueG1sUEsBAhQAFAAAAAgAh07i&#10;QPKmgpPtAQAAqAMAAA4AAAAAAAAAAQAgAAAAIwEAAGRycy9lMm9Eb2MueG1sUEsFBgAAAAAGAAYA&#10;WQEAAIIFAAAAAA==&#10;">
                        <v:fill on="f" focussize="0,0"/>
                        <v:stroke color="#000000" joinstyle="round" dashstyle="dash" endarrow="block"/>
                        <v:imagedata o:title=""/>
                        <o:lock v:ext="edit" aspectratio="f"/>
                      </v:line>
                      <v:shape id="直接箭头连接符 66" o:spid="_x0000_s1026" o:spt="32" type="#_x0000_t32" style="position:absolute;left:646430;top:465455;height:0;width:575945;"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gKpLWAAAABQEAAA8AAAAAAAAAAQAgAAAAIgAAAGRycy9kb3ducmV2&#10;LnhtbFBLAQIUABQAAAAIAIdO4kDytpbP/gEAALEDAAAOAAAAAAAAAAEAIAAAACUBAABkcnMvZTJv&#10;RG9jLnhtbFBLBQYAAAAABgAGAFkBAACVBQAAAAA=&#10;">
                        <v:fill on="f" focussize="0,0"/>
                        <v:stroke color="#000000 [3213]" joinstyle="round" endarrow="block"/>
                        <v:imagedata o:title=""/>
                        <o:lock v:ext="edit" aspectratio="f"/>
                      </v:shape>
                      <v:shape id="文本框 69" o:spid="_x0000_s1026" o:spt="202" type="#_x0000_t202" style="position:absolute;left:608330;top:160655;height:276225;width:61595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3Egh51wAAAAUBAAAPAAAAAAAAAAEAIAAAACIAAABkcnMvZG93bnJldi54bWxQSwECFAAUAAAA&#10;CACHTuJA/3HoqSgCAAAjBAAADgAAAAAAAAABACAAAAAmAQAAZHJzL2Uyb0RvYy54bWxQSwUGAAAA&#10;AAYABgBZAQAAwAUAAAAA&#10;">
                        <v:fill on="f" focussize="0,0"/>
                        <v:stroke on="f" weight="0.5pt"/>
                        <v:imagedata o:title=""/>
                        <o:lock v:ext="edit" aspectratio="f"/>
                        <v:textbox>
                          <w:txbxContent>
                            <w:p>
                              <w:r>
                                <w:rPr>
                                  <w:rFonts w:hint="eastAsia"/>
                                  <w:lang w:val="en-US" w:eastAsia="zh-CN"/>
                                </w:rPr>
                                <w:t>300</w:t>
                              </w:r>
                              <w:r>
                                <w:rPr>
                                  <w:rFonts w:hint="eastAsia"/>
                                </w:rPr>
                                <w:t>t/a</w:t>
                              </w:r>
                            </w:p>
                          </w:txbxContent>
                        </v:textbox>
                      </v:shape>
                      <v:shape id="直接箭头连接符 70" o:spid="_x0000_s1026" o:spt="32" type="#_x0000_t32" style="position:absolute;left:3275330;top:484505;height:0;width:467995;"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egKpLWAAAABQEAAA8AAAAAAAAAAQAgAAAAIgAAAGRycy9kb3ducmV2&#10;LnhtbFBLAQIUABQAAAAIAIdO4kC2+9Gu/gEAALIDAAAOAAAAAAAAAAEAIAAAACUBAABkcnMvZTJv&#10;RG9jLnhtbFBLBQYAAAAABgAGAFkBAACVBQAAAAA=&#10;">
                        <v:fill on="f" focussize="0,0"/>
                        <v:stroke color="#000000 [3213]" joinstyle="round" endarrow="block"/>
                        <v:imagedata o:title=""/>
                        <o:lock v:ext="edit" aspectratio="f"/>
                      </v:shape>
                      <v:shape id="文本框 73" o:spid="_x0000_s1026" o:spt="202" type="#_x0000_t202" style="position:absolute;left:3265805;top:170180;height:276225;width:61595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cSCHnXAAAABQEAAA8AAAAAAAAAAQAgAAAAIgAAAGRycy9kb3ducmV2LnhtbFBLAQIUABQAAAAI&#10;AIdO4kBM6SJAJwIAACQEAAAOAAAAAAAAAAEAIAAAACYBAABkcnMvZTJvRG9jLnhtbFBLBQYAAAAA&#10;BgAGAFkBAAC/BQAAAAA=&#10;">
                        <v:fill on="f" focussize="0,0"/>
                        <v:stroke on="f" weight="0.5pt"/>
                        <v:imagedata o:title=""/>
                        <o:lock v:ext="edit" aspectratio="f"/>
                        <v:textbox>
                          <w:txbxContent>
                            <w:p>
                              <w:r>
                                <w:rPr>
                                  <w:rFonts w:hint="eastAsia"/>
                                  <w:lang w:val="en-US" w:eastAsia="zh-CN"/>
                                </w:rPr>
                                <w:t>240</w:t>
                              </w:r>
                              <w:r>
                                <w:rPr>
                                  <w:rFonts w:hint="eastAsia"/>
                                </w:rPr>
                                <w:t>t/a</w:t>
                              </w:r>
                            </w:p>
                          </w:txbxContent>
                        </v:textbox>
                      </v:shape>
                      <v:line id="直接连接符 112" o:spid="_x0000_s1026" o:spt="20" style="position:absolute;left:646430;top:465455;height:648000;width:0;" filled="f" stroked="t" coordsize="21600,21600" o:gfxdata="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uuPOI1AAAAAUBAAAPAAAAAAAAAAEAIAAAACIAAABkcnMvZG93&#10;bnJldi54bWxQSwECFAAUAAAACACHTuJAtBh9sssBAABYAwAADgAAAAAAAAABACAAAAAjAQAAZHJz&#10;L2Uyb0RvYy54bWxQSwUGAAAAAAYABgBZAQAAYAUAAAAA&#10;">
                        <v:fill on="f" focussize="0,0"/>
                        <v:stroke color="#000000 [3213]" joinstyle="round"/>
                        <v:imagedata o:title=""/>
                        <o:lock v:ext="edit" aspectratio="f"/>
                      </v:line>
                      <v:shape id="直接箭头连接符 70" o:spid="_x0000_s1026" o:spt="32" type="#_x0000_t32" style="position:absolute;left:160655;top:770255;height:0;width:467995;"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egKpLWAAAABQEAAA8AAAAAAAAAAQAgAAAAIgAAAGRycy9kb3ducmV2Lnht&#10;bFBLAQIUABQAAAAIAIdO4kDn3qHG+wEAALEDAAAOAAAAAAAAAAEAIAAAACUBAABkcnMvZTJvRG9j&#10;LnhtbFBLBQYAAAAABgAGAFkBAACSBQAAAAA=&#10;">
                        <v:fill on="f" focussize="0,0"/>
                        <v:stroke color="#000000 [3213]" joinstyle="round" endarrow="block"/>
                        <v:imagedata o:title=""/>
                        <o:lock v:ext="edit" aspectratio="f"/>
                      </v:shape>
                      <v:shape id="文本框 46" o:spid="_x0000_s1026" o:spt="202" type="#_x0000_t202" style="position:absolute;left:2922905;top:960755;height:276225;width:756285;" fillcolor="#FFFFFF [3201]" filled="t" stroked="t" coordsize="21600,21600" o:gfxdata="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kBOFv0wAAAAUBAAAPAAAAAAAAAAEAIAAA&#10;ACIAAABkcnMvZG93bnJldi54bWxQSwECFAAUAAAACACHTuJAU5HBsUoCAAB1BAAADgAAAAAAAAAB&#10;ACAAAAAiAQAAZHJzL2Uyb0RvYy54bWxQSwUGAAAAAAYABgBZAQAA3gUAAAAA&#10;">
                        <v:fill on="t" focussize="0,0"/>
                        <v:stroke weight="0.5pt" color="#000000 [3204]" joinstyle="round"/>
                        <v:imagedata o:title=""/>
                        <o:lock v:ext="edit" aspectratio="f"/>
                        <v:textbox>
                          <w:txbxContent>
                            <w:p>
                              <w:r>
                                <w:rPr>
                                  <w:rFonts w:hint="eastAsia"/>
                                  <w:lang w:val="en-US" w:eastAsia="zh-CN"/>
                                </w:rPr>
                                <w:t>冷却</w:t>
                              </w:r>
                              <w:r>
                                <w:rPr>
                                  <w:rFonts w:hint="eastAsia"/>
                                </w:rPr>
                                <w:t>用水</w:t>
                              </w:r>
                            </w:p>
                          </w:txbxContent>
                        </v:textbox>
                      </v:shape>
                      <v:shape id="文本框 69" o:spid="_x0000_s1026" o:spt="202" type="#_x0000_t202" style="position:absolute;left:836930;top:846455;height:276225;width:61595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9xIIedcAAAAFAQAADwAAAAAAAAABACAAAAAiAAAAZHJzL2Rvd25yZXYueG1sUEsBAhQAFAAA&#10;AAgAh07iQNiQ89spAgAAIwQAAA4AAAAAAAAAAQAgAAAAJgEAAGRycy9lMm9Eb2MueG1sUEsFBgAA&#10;AAAGAAYAWQEAAMEFAAAAAA==&#10;">
                        <v:fill on="f" focussize="0,0"/>
                        <v:stroke on="f" weight="0.5pt"/>
                        <v:imagedata o:title=""/>
                        <o:lock v:ext="edit" aspectratio="f"/>
                        <v:textbox>
                          <w:txbxContent>
                            <w:p>
                              <w:r>
                                <w:rPr>
                                  <w:rFonts w:hint="eastAsia"/>
                                  <w:lang w:val="en-US" w:eastAsia="zh-CN"/>
                                </w:rPr>
                                <w:t>315</w:t>
                              </w:r>
                              <w:r>
                                <w:rPr>
                                  <w:rFonts w:hint="eastAsia"/>
                                </w:rPr>
                                <w:t>t/a</w:t>
                              </w:r>
                            </w:p>
                          </w:txbxContent>
                        </v:textbox>
                      </v:shape>
                      <v:shape id="直接箭头连接符 66" o:spid="_x0000_s1026" o:spt="32" type="#_x0000_t32" style="position:absolute;left:652780;top:1089660;height:9525;width:2270125;"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6AqktYAAAAFAQAADwAAAAAAAAAB&#10;ACAAAAAiAAAAZHJzL2Rvd25yZXYueG1sUEsBAhQAFAAAAAgAh07iQDLrEDMSAgAA3wMAAA4AAAAA&#10;AAAAAQAgAAAAJQEAAGRycy9lMm9Eb2MueG1sUEsFBgAAAAAGAAYAWQEAAKkFAAAAAA==&#10;">
                        <v:fill on="f" focussize="0,0"/>
                        <v:stroke color="#000000 [3213]" joinstyle="round" endarrow="block"/>
                        <v:imagedata o:title=""/>
                        <o:lock v:ext="edit" aspectratio="f"/>
                      </v:shape>
                      <v:shape id="文本框 45" o:spid="_x0000_s1026" o:spt="202" type="#_x0000_t202" style="position:absolute;left:3151505;top:703580;height:276225;width:899795;"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SCHnXAAAABQEAAA8AAAAAAAAAAQAgAAAAIgAAAGRycy9kb3ducmV2LnhtbFBLAQIUABQA&#10;AAAIAIdO4kAmQZTqKgIAACQEAAAOAAAAAAAAAAEAIAAAACYBAABkcnMvZTJvRG9jLnhtbFBLBQYA&#10;AAAABgAGAFkBAADCBQAAAAA=&#10;">
                        <v:fill on="f" focussize="0,0"/>
                        <v:stroke on="f" weight="0.5pt"/>
                        <v:imagedata o:title=""/>
                        <o:lock v:ext="edit" aspectratio="f"/>
                        <v:textbox>
                          <w:txbxContent>
                            <w:p>
                              <w:pPr>
                                <w:rPr>
                                  <w:rFonts w:hint="default" w:eastAsia="宋体"/>
                                  <w:lang w:val="en-US" w:eastAsia="zh-CN"/>
                                </w:rPr>
                              </w:pPr>
                              <w:r>
                                <w:rPr>
                                  <w:rFonts w:hint="eastAsia"/>
                                </w:rPr>
                                <w:t>损耗</w:t>
                              </w:r>
                              <w:r>
                                <w:rPr>
                                  <w:rFonts w:hint="eastAsia"/>
                                  <w:lang w:val="en-US" w:eastAsia="zh-CN"/>
                                </w:rPr>
                                <w:t>675</w:t>
                              </w:r>
                              <w:r>
                                <w:rPr>
                                  <w:rFonts w:hint="eastAsia"/>
                                </w:rPr>
                                <w:t>t/a</w:t>
                              </w:r>
                            </w:p>
                          </w:txbxContent>
                        </v:textbox>
                      </v:shape>
                      <v:line id="直接连接符 58" o:spid="_x0000_s1026" o:spt="20" style="position:absolute;left:2913380;top:855980;flip:y;height:101600;width:215900;" filled="f" stroked="t" coordsize="21600,21600" o:gfxdata="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dmQ+&#10;1AAAAAUBAAAPAAAAAAAAAAEAIAAAACIAAABkcnMvZG93bnJldi54bWxQSwECFAAUAAAACACHTuJA&#10;yufVBuwBAACoAwAADgAAAAAAAAABACAAAAAjAQAAZHJzL2Uyb0RvYy54bWxQSwUGAAAAAAYABgBZ&#10;AQAAgQUAAAAA&#10;">
                        <v:fill on="f" focussize="0,0"/>
                        <v:stroke color="#000000" joinstyle="round" dashstyle="dash" endarrow="block"/>
                        <v:imagedata o:title=""/>
                        <o:lock v:ext="edit" aspectratio="f"/>
                      </v:line>
                      <v:shape id="肘形连接符 181" o:spid="_x0000_s1026" o:spt="35" type="#_x0000_t35" style="position:absolute;left:3301365;top:1099185;flip:x;height:137795;width:377825;" filled="f" stroked="t" coordsize="21600,21600" o:gfxdata="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&#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PEu91QAAAAUBAAAPAAAAAAAAAAEAIAAAACIAAABk&#10;cnMvZG93bnJldi54bWxQSwECFAAUAAAACACHTuJApwM6/0ICAABQBAAADgAAAAAAAAABACAAAAAk&#10;AQAAZHJzL2Uyb0RvYy54bWxQSwUGAAAAAAYABgBZAQAA2AUAAAAA&#10;" adj="-13613,58927">
                        <v:fill on="f" focussize="0,0"/>
                        <v:stroke color="#000000 [3213]" joinstyle="round" endarrow="block"/>
                        <v:imagedata o:title=""/>
                        <o:lock v:ext="edit" aspectratio="f"/>
                      </v:shape>
                      <v:shape id="文本框 71" o:spid="_x0000_s1026" o:spt="202" type="#_x0000_t202" style="position:absolute;left:3294380;top:1227455;height:276225;width:67183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3Egh51wAAAAUBAAAPAAAAAAAAAAEAIAAAACIAAABkcnMvZG93bnJldi54bWxQSwECFAAU&#10;AAAACACHTuJAd+kmFCsCAAAlBAAADgAAAAAAAAABACAAAAAmAQAAZHJzL2Uyb0RvYy54bWxQSwUG&#10;AAAAAAYABgBZAQAAwwUAAAAA&#10;">
                        <v:fill on="f" focussize="0,0"/>
                        <v:stroke on="f" weight="0.5pt"/>
                        <v:imagedata o:title=""/>
                        <o:lock v:ext="edit" aspectratio="f"/>
                        <v:textbox>
                          <w:txbxContent>
                            <w:p>
                              <w:r>
                                <w:rPr>
                                  <w:rFonts w:hint="eastAsia"/>
                                  <w:lang w:val="en-US" w:eastAsia="zh-CN"/>
                                </w:rPr>
                                <w:t>15000</w:t>
                              </w:r>
                              <w:r>
                                <w:rPr>
                                  <w:rFonts w:hint="eastAsia"/>
                                </w:rPr>
                                <w:t>t/a</w:t>
                              </w:r>
                            </w:p>
                          </w:txbxContent>
                        </v:textbox>
                      </v:shape>
                      <v:shape id="文本框 55" o:spid="_x0000_s1026" o:spt="202" type="#_x0000_t202" style="position:absolute;left:8255;top:1341755;height:276225;width:622935;" fillcolor="#FFFFFF [3201]" filled="t" stroked="f" coordsize="21600,21600" o:gfxdata="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4kq7zSAAAABQEAAA8AAAAAAAAAAQAgAAAAIgAAAGRycy9kb3du&#10;cmV2LnhtbFBLAQIUABQAAAAIAIdO4kAqun2cPgIAAEsEAAAOAAAAAAAAAAEAIAAAACEBAABkcnMv&#10;ZTJvRG9jLnhtbFBLBQYAAAAABgAGAFkBAADRBQAAAAA=&#10;">
                        <v:fill on="t" focussize="0,0"/>
                        <v:stroke on="f" weight="0.5pt"/>
                        <v:imagedata o:title=""/>
                        <o:lock v:ext="edit" aspectratio="f"/>
                        <v:textbox>
                          <w:txbxContent>
                            <w:p>
                              <w:pPr>
                                <w:rPr>
                                  <w:rFonts w:hint="eastAsia" w:eastAsia="宋体"/>
                                  <w:lang w:val="en-US" w:eastAsia="zh-CN"/>
                                </w:rPr>
                              </w:pPr>
                              <w:r>
                                <w:rPr>
                                  <w:rFonts w:hint="eastAsia"/>
                                  <w:lang w:val="en-US" w:eastAsia="zh-CN"/>
                                </w:rPr>
                                <w:t>蒸汽</w:t>
                              </w:r>
                            </w:p>
                          </w:txbxContent>
                        </v:textbox>
                      </v:shape>
                      <v:shape id="文本框 50" o:spid="_x0000_s1026" o:spt="202" type="#_x0000_t202" style="position:absolute;left:0;top:1646555;height:276225;width:683895;" fillcolor="#FFFFFF [3201]" filled="t" stroked="f" coordsize="21600,21600" o:gfxdata="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4kq7zSAAAABQEAAA8AAAAAAAAAAQAgAAAAIgAAAGRycy9kb3ducmV2&#10;LnhtbFBLAQIUABQAAAAIAIdO4kBBH+jtOwIAAEgEAAAOAAAAAAAAAAEAIAAAACEBAABkcnMvZTJv&#10;RG9jLnhtbFBLBQYAAAAABgAGAFkBAADOBQAAAAA=&#10;">
                        <v:fill on="t" focussize="0,0"/>
                        <v:stroke on="f" weight="0.5pt"/>
                        <v:imagedata o:title=""/>
                        <o:lock v:ext="edit" aspectratio="f"/>
                        <v:textbox>
                          <w:txbxContent>
                            <w:p>
                              <w:r>
                                <w:rPr>
                                  <w:rFonts w:hint="eastAsia"/>
                                  <w:lang w:val="en-US" w:eastAsia="zh-CN"/>
                                </w:rPr>
                                <w:t>1800</w:t>
                              </w:r>
                              <w:r>
                                <w:rPr>
                                  <w:rFonts w:hint="eastAsia"/>
                                </w:rPr>
                                <w:t>t/a</w:t>
                              </w:r>
                            </w:p>
                          </w:txbxContent>
                        </v:textbox>
                      </v:shape>
                      <v:shape id="直接箭头连接符 70" o:spid="_x0000_s1026" o:spt="32" type="#_x0000_t32" style="position:absolute;left:65405;top:1627505;height:0;width:467995;"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6AqktYAAAAFAQAADwAAAAAAAAABACAAAAAiAAAAZHJzL2Rvd25yZXYu&#10;eG1sUEsBAhQAFAAAAAgAh07iQCUBit39AQAAsQMAAA4AAAAAAAAAAQAgAAAAJQEAAGRycy9lMm9E&#10;b2MueG1sUEsFBgAAAAAGAAYAWQEAAJQFAAAAAA==&#10;">
                        <v:fill on="f" focussize="0,0"/>
                        <v:stroke color="#000000 [3213]" joinstyle="round" endarrow="block"/>
                        <v:imagedata o:title=""/>
                        <o:lock v:ext="edit" aspectratio="f"/>
                      </v:shape>
                      <v:shape id="文本框 51" o:spid="_x0000_s1026" o:spt="202" type="#_x0000_t202" style="position:absolute;left:532130;top:1494155;height:410210;width:767715;" fillcolor="#FFFFFF [3201]" filled="t" stroked="t" coordsize="21600,21600" o:gfxdata="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QE4W/TAAAABQEAAA8AAAAAAAAAAQAg&#10;AAAAIgAAAGRycy9kb3ducmV2LnhtbFBLAQIUABQAAAAIAIdO4kBOFzRbTAIAAHUEAAAOAAAAAAAA&#10;AAEAIAAAACIBAABkcnMvZTJvRG9jLnhtbFBLBQYAAAAABgAGAFkBAADgBQ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加热定型/烘干</w:t>
                              </w:r>
                            </w:p>
                          </w:txbxContent>
                        </v:textbox>
                      </v:shape>
                      <v:line id="直接连接符 58" o:spid="_x0000_s1026" o:spt="20" style="position:absolute;left:560705;top:1379855;flip:y;height:101600;width:215900;" filled="f" stroked="t" coordsize="21600,21600" o:gfxdata="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HZkPtQAAAAFAQAADwAAAAAAAAABACAAAAAiAAAAZHJzL2Rvd25yZXYueG1sUEsBAhQAFAAAAAgA&#10;h07iQKEakTfwAQAAqAMAAA4AAAAAAAAAAQAgAAAAIwEAAGRycy9lMm9Eb2MueG1sUEsFBgAAAAAG&#10;AAYAWQEAAIUFAAAAAA==&#10;">
                        <v:fill on="f" focussize="0,0"/>
                        <v:stroke color="#000000" joinstyle="round" dashstyle="dash" endarrow="block"/>
                        <v:imagedata o:title=""/>
                        <o:lock v:ext="edit" aspectratio="f"/>
                      </v:line>
                      <v:shape id="文本框 45" o:spid="_x0000_s1026" o:spt="202" type="#_x0000_t202" style="position:absolute;left:713105;top:1217930;height:276225;width:899795;"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SCHnXAAAABQEAAA8AAAAAAAAAAQAgAAAAIgAAAGRycy9kb3ducmV2LnhtbFBLAQIUABQA&#10;AAAIAIdO4kA3+/M9KgIAACQEAAAOAAAAAAAAAAEAIAAAACYBAABkcnMvZTJvRG9jLnhtbFBLBQYA&#10;AAAABgAGAFkBAADCBQAAAAA=&#10;">
                        <v:fill on="f" focussize="0,0"/>
                        <v:stroke on="f" weight="0.5pt"/>
                        <v:imagedata o:title=""/>
                        <o:lock v:ext="edit" aspectratio="f"/>
                        <v:textbox>
                          <w:txbxContent>
                            <w:p>
                              <w:pPr>
                                <w:rPr>
                                  <w:rFonts w:hint="default" w:eastAsia="宋体"/>
                                  <w:lang w:val="en-US" w:eastAsia="zh-CN"/>
                                </w:rPr>
                              </w:pPr>
                              <w:r>
                                <w:rPr>
                                  <w:rFonts w:hint="eastAsia"/>
                                </w:rPr>
                                <w:t>损耗</w:t>
                              </w:r>
                              <w:r>
                                <w:rPr>
                                  <w:rFonts w:hint="eastAsia"/>
                                  <w:lang w:val="en-US" w:eastAsia="zh-CN"/>
                                </w:rPr>
                                <w:t>1440</w:t>
                              </w:r>
                              <w:r>
                                <w:rPr>
                                  <w:rFonts w:hint="eastAsia"/>
                                </w:rPr>
                                <w:t>t/a</w:t>
                              </w:r>
                            </w:p>
                          </w:txbxContent>
                        </v:textbox>
                      </v:shape>
                      <v:shape id="直接箭头连接符 66" o:spid="_x0000_s1026" o:spt="32" type="#_x0000_t32" style="position:absolute;left:1284605;top:1637030;height:5080;width:685800;" filled="f" stroked="t" coordsize="21600,21600" o:gfxdata="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6AqktYAAAAFAQAADwAAAAAAAAAB&#10;ACAAAAAiAAAAZHJzL2Rvd25yZXYueG1sUEsBAhQAFAAAAAgAh07iQPBWvjcSAgAA3gMAAA4AAAAA&#10;AAAAAQAgAAAAJQEAAGRycy9lMm9Eb2MueG1sUEsFBgAAAAAGAAYAWQEAAKkFAAAAAA==&#10;">
                        <v:fill on="f" focussize="0,0"/>
                        <v:stroke color="#000000 [3213]" joinstyle="round" endarrow="block"/>
                        <v:imagedata o:title=""/>
                        <o:lock v:ext="edit" aspectratio="f"/>
                      </v:shape>
                      <v:shape id="文本框 51" o:spid="_x0000_s1026" o:spt="202" type="#_x0000_t202" style="position:absolute;left:1970405;top:1503680;height:276225;width:526415;" fillcolor="#FFFFFF [3201]" filled="t" stroked="t" coordsize="21600,21600" o:gfxdata="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AThb9MAAAAFAQAADwAAAAAAAAABACAAAAAi&#10;AAAAZHJzL2Rvd25yZXYueG1sUEsBAhQAFAAAAAgAh07iQHZTd29IAgAAdgQAAA4AAAAAAAAAAQAg&#10;AAAAIgEAAGRycy9lMm9Eb2MueG1sUEsFBgAAAAAGAAYAWQEAANwFAAAAAA==&#10;">
                        <v:fill on="t" focussize="0,0"/>
                        <v:stroke weight="0.5pt" color="#000000 [3204]" joinstyle="round"/>
                        <v:imagedata o:title=""/>
                        <o:lock v:ext="edit" aspectratio="f"/>
                        <v:textbox>
                          <w:txbxContent>
                            <w:p>
                              <w:pPr>
                                <w:rPr>
                                  <w:rFonts w:hint="default" w:eastAsia="宋体"/>
                                  <w:lang w:val="en-US" w:eastAsia="zh-CN"/>
                                </w:rPr>
                              </w:pPr>
                              <w:r>
                                <w:rPr>
                                  <w:rFonts w:hint="eastAsia"/>
                                  <w:lang w:val="en-US" w:eastAsia="zh-CN"/>
                                </w:rPr>
                                <w:t>冷凝</w:t>
                              </w:r>
                            </w:p>
                          </w:txbxContent>
                        </v:textbox>
                      </v:shape>
                      <v:shape id="肘形连接符 23" o:spid="_x0000_s1026" o:spt="34" type="#_x0000_t34" style="position:absolute;left:2496820;top:1099185;flip:y;height:542925;width:426085;" filled="f" stroked="t" coordsize="21600,21600" o:gfxdata="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InbJ0wAAAAUBAAAPAAAAAAAAAAEAIAAAACIAAABkcnMvZG93bnJl&#10;di54bWxQSwECFAAUAAAACACHTuJAbkQjODsCAAAoBAAADgAAAAAAAAABACAAAAAiAQAAZHJzL2Uy&#10;b0RvYy54bWxQSwUGAAAAAAYABgBZAQAAzwUAAAAA&#10;" adj="10816">
                        <v:fill on="f" focussize="0,0"/>
                        <v:stroke color="#000000 [3213]" joinstyle="round" endarrow="block"/>
                        <v:imagedata o:title=""/>
                        <o:lock v:ext="edit" aspectratio="f"/>
                      </v:shape>
                      <v:shape id="文本框 69" o:spid="_x0000_s1026" o:spt="202" type="#_x0000_t202" style="position:absolute;left:1341755;top:1389380;height:276225;width:61595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cSCHnXAAAABQEAAA8AAAAAAAAAAQAgAAAAIgAAAGRycy9kb3ducmV2LnhtbFBLAQIUABQAAAAI&#10;AIdO4kA8FsdWJwIAACUEAAAOAAAAAAAAAAEAIAAAACYBAABkcnMvZTJvRG9jLnhtbFBLBQYAAAAA&#10;BgAGAFkBAAC/BQAAAAA=&#10;">
                        <v:fill on="f" focussize="0,0"/>
                        <v:stroke on="f" weight="0.5pt"/>
                        <v:imagedata o:title=""/>
                        <o:lock v:ext="edit" aspectratio="f"/>
                        <v:textbox>
                          <w:txbxContent>
                            <w:p>
                              <w:r>
                                <w:rPr>
                                  <w:rFonts w:hint="eastAsia"/>
                                  <w:lang w:val="en-US" w:eastAsia="zh-CN"/>
                                </w:rPr>
                                <w:t>360</w:t>
                              </w:r>
                              <w:r>
                                <w:rPr>
                                  <w:rFonts w:hint="eastAsia"/>
                                </w:rPr>
                                <w:t>t/a</w:t>
                              </w:r>
                            </w:p>
                          </w:txbxContent>
                        </v:textbox>
                      </v:shape>
                      <v:shape id="文本框 69" o:spid="_x0000_s1026" o:spt="202" type="#_x0000_t202" style="position:absolute;left:2189480;top:1208405;height:276225;width:615950;" filled="f" stroked="f" coordsize="21600,21600" o:gfxdata="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cSCHnXAAAABQEAAA8AAAAAAAAAAQAgAAAAIgAAAGRycy9kb3ducmV2LnhtbFBLAQIUABQA&#10;AAAIAIdO4kAcvlf2KgIAACUEAAAOAAAAAAAAAAEAIAAAACYBAABkcnMvZTJvRG9jLnhtbFBLBQYA&#10;AAAABgAGAFkBAADCBQAAAAA=&#10;">
                        <v:fill on="f" focussize="0,0"/>
                        <v:stroke on="f" weight="0.5pt"/>
                        <v:imagedata o:title=""/>
                        <o:lock v:ext="edit" aspectratio="f"/>
                        <v:textbox>
                          <w:txbxContent>
                            <w:p>
                              <w:r>
                                <w:rPr>
                                  <w:rFonts w:hint="eastAsia"/>
                                  <w:lang w:val="en-US" w:eastAsia="zh-CN"/>
                                </w:rPr>
                                <w:t>360</w:t>
                              </w:r>
                              <w:r>
                                <w:rPr>
                                  <w:rFonts w:hint="eastAsia"/>
                                </w:rPr>
                                <w:t>t/a</w:t>
                              </w:r>
                            </w:p>
                          </w:txbxContent>
                        </v:textbox>
                      </v:shape>
                      <w10:wrap type="none"/>
                      <w10:anchorlock/>
                    </v:group>
                  </w:pict>
                </mc:Fallback>
              </mc:AlternateContent>
            </w:r>
          </w:p>
          <w:p>
            <w:pPr>
              <w:pStyle w:val="13"/>
              <w:spacing w:before="0" w:after="0" w:line="360" w:lineRule="auto"/>
              <w:ind w:right="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图2-1  建设项目水平衡图（t/a）</w:t>
            </w:r>
          </w:p>
          <w:p>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7、劳动定员及工作制度</w:t>
            </w:r>
          </w:p>
          <w:p>
            <w:pPr>
              <w:autoSpaceDE w:val="0"/>
              <w:autoSpaceDN w:val="0"/>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建设项目实行</w:t>
            </w:r>
            <w:r>
              <w:rPr>
                <w:rFonts w:hint="default" w:ascii="Times New Roman" w:hAnsi="Times New Roman" w:cs="Times New Roman"/>
                <w:sz w:val="24"/>
                <w:szCs w:val="24"/>
                <w:lang w:val="en-US" w:eastAsia="zh-CN"/>
              </w:rPr>
              <w:t>两</w:t>
            </w:r>
            <w:r>
              <w:rPr>
                <w:rFonts w:hint="default" w:ascii="Times New Roman" w:hAnsi="Times New Roman" w:cs="Times New Roman"/>
                <w:sz w:val="24"/>
                <w:szCs w:val="24"/>
              </w:rPr>
              <w:t>班</w:t>
            </w:r>
            <w:r>
              <w:rPr>
                <w:rFonts w:hint="default" w:ascii="Times New Roman" w:hAnsi="Times New Roman" w:cs="Times New Roman"/>
                <w:sz w:val="24"/>
                <w:szCs w:val="24"/>
                <w:lang w:val="en-US" w:eastAsia="zh-CN"/>
              </w:rPr>
              <w:t>10</w:t>
            </w:r>
            <w:r>
              <w:rPr>
                <w:rFonts w:hint="default" w:ascii="Times New Roman" w:hAnsi="Times New Roman" w:cs="Times New Roman"/>
                <w:sz w:val="24"/>
                <w:szCs w:val="24"/>
              </w:rPr>
              <w:t>h工作制，年工作日约</w:t>
            </w:r>
            <w:r>
              <w:rPr>
                <w:rFonts w:hint="default" w:ascii="Times New Roman" w:hAnsi="Times New Roman" w:cs="Times New Roman"/>
                <w:sz w:val="24"/>
                <w:szCs w:val="24"/>
                <w:lang w:val="en-US" w:eastAsia="zh-CN"/>
              </w:rPr>
              <w:t>30</w:t>
            </w:r>
            <w:r>
              <w:rPr>
                <w:rFonts w:hint="default" w:ascii="Times New Roman" w:hAnsi="Times New Roman" w:cs="Times New Roman"/>
                <w:sz w:val="24"/>
                <w:szCs w:val="24"/>
              </w:rPr>
              <w:t>0天，职工</w:t>
            </w:r>
            <w:r>
              <w:rPr>
                <w:rFonts w:hint="default" w:ascii="Times New Roman" w:hAnsi="Times New Roman" w:cs="Times New Roman"/>
                <w:sz w:val="24"/>
                <w:szCs w:val="24"/>
                <w:lang w:val="en-US" w:eastAsia="zh-CN"/>
              </w:rPr>
              <w:t>20</w:t>
            </w:r>
            <w:r>
              <w:rPr>
                <w:rFonts w:hint="default" w:ascii="Times New Roman" w:hAnsi="Times New Roman" w:cs="Times New Roman"/>
                <w:sz w:val="24"/>
                <w:szCs w:val="24"/>
              </w:rPr>
              <w:t>人，不提供食宿，职工用餐自行解决。</w:t>
            </w:r>
          </w:p>
          <w:p>
            <w:pPr>
              <w:autoSpaceDE w:val="0"/>
              <w:autoSpaceDN w:val="0"/>
              <w:adjustRightInd w:val="0"/>
              <w:snapToGrid w:val="0"/>
              <w:spacing w:line="360" w:lineRule="auto"/>
              <w:ind w:firstLine="482" w:firstLineChars="2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8、厂区位置及平面布置</w:t>
            </w:r>
          </w:p>
          <w:p>
            <w:pPr>
              <w:autoSpaceDE w:val="0"/>
              <w:autoSpaceDN w:val="0"/>
              <w:adjustRightInd w:val="0"/>
              <w:snapToGrid w:val="0"/>
              <w:spacing w:line="360" w:lineRule="auto"/>
              <w:ind w:firstLine="480" w:firstLineChars="200"/>
              <w:rPr>
                <w:rFonts w:hint="default" w:ascii="Times New Roman" w:hAnsi="Times New Roman" w:cs="Times New Roman"/>
                <w:color w:val="auto"/>
                <w:sz w:val="24"/>
                <w:szCs w:val="32"/>
                <w:highlight w:val="none"/>
                <w:lang w:eastAsia="zh-CN"/>
              </w:rPr>
            </w:pPr>
            <w:r>
              <w:rPr>
                <w:rFonts w:hint="default" w:ascii="Times New Roman" w:hAnsi="Times New Roman" w:eastAsia="宋体" w:cs="Times New Roman"/>
                <w:sz w:val="24"/>
                <w:szCs w:val="24"/>
              </w:rPr>
              <w:t>建设</w:t>
            </w:r>
            <w:r>
              <w:rPr>
                <w:rFonts w:hint="default" w:ascii="Times New Roman" w:hAnsi="Times New Roman" w:eastAsia="宋体" w:cs="Times New Roman"/>
                <w:color w:val="auto"/>
                <w:sz w:val="24"/>
                <w:szCs w:val="32"/>
                <w:highlight w:val="none"/>
              </w:rPr>
              <w:t>项目位于如皋市城北街道陆桥村9组，详细地理位置见附图1</w:t>
            </w:r>
            <w:r>
              <w:rPr>
                <w:rFonts w:hint="default" w:ascii="Times New Roman" w:hAnsi="Times New Roman" w:cs="Times New Roman"/>
                <w:color w:val="auto"/>
                <w:sz w:val="24"/>
                <w:szCs w:val="32"/>
                <w:highlight w:val="none"/>
                <w:lang w:eastAsia="zh-CN"/>
              </w:rPr>
              <w:t>。</w:t>
            </w:r>
          </w:p>
          <w:p>
            <w:pPr>
              <w:autoSpaceDE w:val="0"/>
              <w:autoSpaceDN w:val="0"/>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建设项目租赁如皋市大生线路器材有限公司现有闲置厂房</w:t>
            </w:r>
            <w:r>
              <w:rPr>
                <w:rFonts w:hint="default" w:ascii="Times New Roman" w:hAnsi="Times New Roman" w:cs="Times New Roman"/>
                <w:sz w:val="24"/>
                <w:szCs w:val="24"/>
                <w:lang w:val="en-US" w:eastAsia="zh-CN"/>
              </w:rPr>
              <w:t>，占地面积</w:t>
            </w:r>
            <w:r>
              <w:rPr>
                <w:rFonts w:hint="default" w:ascii="Times New Roman" w:hAnsi="Times New Roman" w:eastAsia="宋体" w:cs="Times New Roman"/>
                <w:sz w:val="24"/>
                <w:szCs w:val="24"/>
              </w:rPr>
              <w:t>约</w:t>
            </w:r>
            <w:r>
              <w:rPr>
                <w:rFonts w:hint="default" w:ascii="Times New Roman" w:hAnsi="Times New Roman" w:cs="Times New Roman"/>
                <w:sz w:val="24"/>
                <w:szCs w:val="24"/>
                <w:lang w:val="en-US" w:eastAsia="zh-CN"/>
              </w:rPr>
              <w:t>282</w:t>
            </w:r>
            <w:r>
              <w:rPr>
                <w:rFonts w:hint="default" w:ascii="Times New Roman" w:hAnsi="Times New Roman" w:eastAsia="宋体" w:cs="Times New Roman"/>
                <w:sz w:val="24"/>
                <w:szCs w:val="24"/>
              </w:rPr>
              <w:t>0平方米，</w:t>
            </w:r>
            <w:r>
              <w:rPr>
                <w:rFonts w:hint="default" w:ascii="Times New Roman" w:hAnsi="Times New Roman" w:cs="Times New Roman"/>
                <w:kern w:val="2"/>
                <w:sz w:val="24"/>
                <w:szCs w:val="24"/>
              </w:rPr>
              <w:t>从</w:t>
            </w:r>
            <w:r>
              <w:rPr>
                <w:rFonts w:hint="default" w:ascii="Times New Roman" w:hAnsi="Times New Roman" w:cs="Times New Roman"/>
                <w:kern w:val="2"/>
                <w:sz w:val="24"/>
                <w:szCs w:val="24"/>
                <w:lang w:val="en-US" w:eastAsia="zh-CN"/>
              </w:rPr>
              <w:t>南</w:t>
            </w:r>
            <w:r>
              <w:rPr>
                <w:rFonts w:hint="default" w:ascii="Times New Roman" w:hAnsi="Times New Roman" w:cs="Times New Roman"/>
                <w:kern w:val="2"/>
                <w:sz w:val="24"/>
                <w:szCs w:val="24"/>
              </w:rPr>
              <w:t>到</w:t>
            </w:r>
            <w:r>
              <w:rPr>
                <w:rFonts w:hint="default" w:ascii="Times New Roman" w:hAnsi="Times New Roman" w:cs="Times New Roman"/>
                <w:kern w:val="2"/>
                <w:sz w:val="24"/>
                <w:szCs w:val="24"/>
                <w:lang w:val="en-US" w:eastAsia="zh-CN"/>
              </w:rPr>
              <w:t>北</w:t>
            </w:r>
            <w:r>
              <w:rPr>
                <w:rFonts w:hint="default" w:ascii="Times New Roman" w:hAnsi="Times New Roman" w:cs="Times New Roman"/>
                <w:kern w:val="2"/>
                <w:sz w:val="24"/>
                <w:szCs w:val="24"/>
              </w:rPr>
              <w:t>依次为仓储区、办公区、生产区</w:t>
            </w:r>
            <w:r>
              <w:rPr>
                <w:rFonts w:hint="default" w:ascii="Times New Roman" w:hAnsi="Times New Roman" w:eastAsia="宋体" w:cs="Times New Roman"/>
                <w:sz w:val="24"/>
                <w:szCs w:val="24"/>
              </w:rPr>
              <w:t>。车间布局做到功能分区明确，符合安全生产间距要求，平面布置较合理。项目平面布置示意图详见附图</w:t>
            </w: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p>
          <w:p>
            <w:pPr>
              <w:autoSpaceDE w:val="0"/>
              <w:autoSpaceDN w:val="0"/>
              <w:adjustRightInd w:val="0"/>
              <w:snapToGrid w:val="0"/>
              <w:spacing w:line="360" w:lineRule="auto"/>
              <w:ind w:firstLine="480" w:firstLineChars="200"/>
              <w:rPr>
                <w:rFonts w:hint="default" w:ascii="Times New Roman" w:hAnsi="Times New Roman" w:cs="Times New Roman"/>
                <w:kern w:val="2"/>
                <w:sz w:val="21"/>
                <w:szCs w:val="21"/>
              </w:rPr>
            </w:pPr>
            <w:r>
              <w:rPr>
                <w:rFonts w:hint="default" w:ascii="Times New Roman" w:hAnsi="Times New Roman" w:cs="Times New Roman"/>
                <w:sz w:val="24"/>
                <w:szCs w:val="24"/>
                <w:highlight w:val="none"/>
                <w:lang w:val="en-US" w:eastAsia="zh-CN"/>
              </w:rPr>
              <w:t>厂界</w:t>
            </w:r>
            <w:r>
              <w:rPr>
                <w:rFonts w:hint="default" w:ascii="Times New Roman" w:hAnsi="Times New Roman" w:cs="Times New Roman"/>
                <w:sz w:val="24"/>
                <w:szCs w:val="24"/>
                <w:highlight w:val="none"/>
              </w:rPr>
              <w:t>东侧为</w:t>
            </w:r>
            <w:r>
              <w:rPr>
                <w:rFonts w:hint="default" w:ascii="Times New Roman" w:hAnsi="Times New Roman" w:cs="Times New Roman"/>
                <w:sz w:val="24"/>
                <w:szCs w:val="24"/>
                <w:highlight w:val="none"/>
                <w:lang w:val="en-US" w:eastAsia="zh-CN"/>
              </w:rPr>
              <w:t>如皋跨越速运有限公司（惠民西路店）</w:t>
            </w:r>
            <w:r>
              <w:rPr>
                <w:rFonts w:hint="default" w:ascii="Times New Roman" w:hAnsi="Times New Roman" w:cs="Times New Roman"/>
                <w:sz w:val="24"/>
                <w:szCs w:val="24"/>
                <w:highlight w:val="none"/>
              </w:rPr>
              <w:t>，南侧为</w:t>
            </w:r>
            <w:r>
              <w:rPr>
                <w:rFonts w:hint="default" w:ascii="Times New Roman" w:hAnsi="Times New Roman" w:cs="Times New Roman"/>
                <w:sz w:val="24"/>
                <w:szCs w:val="24"/>
                <w:highlight w:val="none"/>
                <w:lang w:val="en-US" w:eastAsia="zh-CN"/>
              </w:rPr>
              <w:t>陆桥村居民点</w:t>
            </w:r>
            <w:r>
              <w:rPr>
                <w:rFonts w:hint="default" w:ascii="Times New Roman" w:hAnsi="Times New Roman" w:cs="Times New Roman"/>
                <w:sz w:val="24"/>
                <w:szCs w:val="24"/>
              </w:rPr>
              <w:t>，西侧</w:t>
            </w:r>
            <w:r>
              <w:rPr>
                <w:rFonts w:hint="default" w:ascii="Times New Roman" w:hAnsi="Times New Roman" w:cs="Times New Roman"/>
                <w:sz w:val="24"/>
                <w:szCs w:val="24"/>
                <w:lang w:val="en-US" w:eastAsia="zh-CN"/>
              </w:rPr>
              <w:t>隔陆桥中心路</w:t>
            </w:r>
            <w:r>
              <w:rPr>
                <w:rFonts w:hint="default" w:ascii="Times New Roman" w:hAnsi="Times New Roman" w:cs="Times New Roman"/>
                <w:sz w:val="24"/>
                <w:szCs w:val="24"/>
              </w:rPr>
              <w:t>为如皋市国力机械有限公司，北侧为</w:t>
            </w:r>
            <w:r>
              <w:rPr>
                <w:rFonts w:hint="default" w:ascii="Times New Roman" w:hAnsi="Times New Roman" w:cs="Times New Roman"/>
                <w:sz w:val="24"/>
                <w:szCs w:val="24"/>
                <w:lang w:val="en-US" w:eastAsia="zh-CN"/>
              </w:rPr>
              <w:t>惠民西路</w:t>
            </w:r>
            <w:r>
              <w:rPr>
                <w:rFonts w:hint="default" w:ascii="Times New Roman" w:hAnsi="Times New Roman" w:eastAsia="宋体" w:cs="Times New Roman"/>
                <w:sz w:val="24"/>
                <w:szCs w:val="24"/>
              </w:rPr>
              <w:t>。</w:t>
            </w:r>
            <w:r>
              <w:rPr>
                <w:rFonts w:hint="default" w:ascii="Times New Roman" w:hAnsi="Times New Roman" w:eastAsia="宋体" w:cs="Times New Roman"/>
                <w:color w:val="auto"/>
                <w:sz w:val="24"/>
                <w:szCs w:val="32"/>
                <w:highlight w:val="none"/>
              </w:rPr>
              <w:t>项目周边环境概况见附图</w:t>
            </w:r>
            <w:r>
              <w:rPr>
                <w:rFonts w:hint="default" w:ascii="Times New Roman" w:hAnsi="Times New Roman" w:eastAsia="宋体" w:cs="Times New Roman"/>
                <w:color w:val="auto"/>
                <w:sz w:val="24"/>
                <w:szCs w:val="32"/>
                <w:highlight w:val="none"/>
                <w:lang w:val="en-US" w:eastAsia="zh-CN"/>
              </w:rPr>
              <w:t>2</w:t>
            </w:r>
            <w:r>
              <w:rPr>
                <w:rFonts w:hint="default" w:ascii="Times New Roman" w:hAnsi="Times New Roman" w:eastAsia="宋体" w:cs="Times New Roman"/>
                <w:color w:val="auto"/>
                <w:sz w:val="24"/>
                <w:szCs w:val="32"/>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6" w:type="dxa"/>
            <w:vAlign w:val="center"/>
          </w:tcPr>
          <w:p>
            <w:pPr>
              <w:pStyle w:val="26"/>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b/>
                <w:bCs/>
                <w:sz w:val="24"/>
                <w:szCs w:val="24"/>
              </w:rPr>
              <w:t>工艺流程和产排污环节</w:t>
            </w:r>
          </w:p>
        </w:tc>
        <w:tc>
          <w:tcPr>
            <w:tcW w:w="8524" w:type="dxa"/>
          </w:tcPr>
          <w:p>
            <w:pPr>
              <w:pStyle w:val="77"/>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（一）</w:t>
            </w:r>
            <w:r>
              <w:rPr>
                <w:rFonts w:hint="default" w:ascii="Times New Roman" w:hAnsi="Times New Roman" w:eastAsia="宋体" w:cs="Times New Roman"/>
                <w:b/>
                <w:bCs/>
                <w:color w:val="auto"/>
                <w:sz w:val="24"/>
                <w:szCs w:val="24"/>
                <w:lang w:val="en-US" w:eastAsia="zh-CN"/>
              </w:rPr>
              <w:t>施工期</w:t>
            </w:r>
          </w:p>
          <w:p>
            <w:pPr>
              <w:pStyle w:val="14"/>
              <w:spacing w:after="0" w:line="360" w:lineRule="auto"/>
              <w:ind w:left="0" w:leftChars="0" w:firstLine="480" w:firstLineChars="200"/>
              <w:rPr>
                <w:rFonts w:hint="default" w:ascii="Times New Roman" w:hAnsi="Times New Roman" w:eastAsia="宋体" w:cs="Times New Roman"/>
                <w:color w:val="auto"/>
                <w:kern w:val="2"/>
                <w:sz w:val="24"/>
                <w:szCs w:val="22"/>
                <w:highlight w:val="none"/>
                <w:lang w:val="en-US" w:eastAsia="zh-CN" w:bidi="ar-SA"/>
              </w:rPr>
            </w:pPr>
            <w:r>
              <w:rPr>
                <w:rFonts w:hint="default" w:ascii="Times New Roman" w:hAnsi="Times New Roman" w:eastAsia="宋体" w:cs="Times New Roman"/>
                <w:color w:val="auto"/>
                <w:kern w:val="2"/>
                <w:sz w:val="24"/>
                <w:szCs w:val="22"/>
                <w:highlight w:val="none"/>
                <w:lang w:val="en-US" w:eastAsia="zh-CN" w:bidi="ar-SA"/>
              </w:rPr>
              <w:t>本项目利用现有厂房，施工期影响主要为后续设备安装产生的噪声，对环境影响较小，本项目不作具体分析。</w:t>
            </w:r>
          </w:p>
          <w:p>
            <w:pPr>
              <w:pStyle w:val="80"/>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bCs/>
                <w:color w:val="auto"/>
                <w:sz w:val="24"/>
                <w:szCs w:val="24"/>
                <w:lang w:val="en-US" w:eastAsia="zh-CN"/>
              </w:rPr>
              <w:t>（二）</w:t>
            </w:r>
            <w:r>
              <w:rPr>
                <w:rFonts w:hint="default" w:ascii="Times New Roman" w:hAnsi="Times New Roman" w:eastAsia="宋体" w:cs="Times New Roman"/>
                <w:b/>
                <w:bCs/>
                <w:color w:val="auto"/>
                <w:sz w:val="24"/>
                <w:szCs w:val="24"/>
                <w:lang w:val="en-US" w:eastAsia="zh-CN"/>
              </w:rPr>
              <w:t>营运期</w:t>
            </w:r>
          </w:p>
          <w:p>
            <w:pPr>
              <w:adjustRightInd w:val="0"/>
              <w:ind w:firstLine="482" w:firstLineChars="200"/>
              <w:rPr>
                <w:rFonts w:hint="default" w:ascii="Times New Roman" w:hAnsi="Times New Roman" w:cs="Times New Roman"/>
                <w:sz w:val="24"/>
                <w:szCs w:val="32"/>
              </w:rPr>
            </w:pPr>
            <w:r>
              <w:rPr>
                <w:rFonts w:hint="default" w:ascii="Times New Roman" w:hAnsi="Times New Roman" w:eastAsia="宋体" w:cs="Times New Roman"/>
                <w:b/>
                <w:bCs/>
                <w:color w:val="auto"/>
                <w:sz w:val="24"/>
                <w:szCs w:val="32"/>
              </w:rPr>
              <w:t>1、工艺流程</w:t>
            </w:r>
            <w:r>
              <w:rPr>
                <w:rFonts w:hint="default" w:ascii="Times New Roman" w:hAnsi="Times New Roman" w:cs="Times New Roman"/>
                <w:sz w:val="24"/>
                <w:szCs w:val="32"/>
              </w:rPr>
              <w:t>：</w:t>
            </w:r>
          </w:p>
          <w:p>
            <w:pPr>
              <w:adjustRightInd w:val="0"/>
              <w:jc w:val="center"/>
              <w:rPr>
                <w:rFonts w:hint="default" w:ascii="Times New Roman" w:hAnsi="Times New Roman" w:cs="Times New Roman"/>
              </w:rPr>
            </w:pPr>
            <w:r>
              <w:rPr>
                <w:rFonts w:hint="default" w:ascii="Times New Roman" w:hAnsi="Times New Roman" w:cs="Times New Roman"/>
                <w:b/>
                <w:color w:val="0000FF"/>
              </w:rPr>
              <w:object>
                <v:shape id="_x0000_i1025" o:spt="75" type="#_x0000_t75" style="height:293.35pt;width:201.0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pPr>
              <w:adjustRightInd w:val="0"/>
              <w:spacing w:line="360" w:lineRule="auto"/>
              <w:jc w:val="center"/>
              <w:rPr>
                <w:rFonts w:hint="default" w:ascii="Times New Roman" w:hAnsi="Times New Roman" w:cs="Times New Roman"/>
                <w:b/>
                <w:bCs/>
                <w:sz w:val="24"/>
                <w:szCs w:val="32"/>
              </w:rPr>
            </w:pPr>
            <w:r>
              <w:rPr>
                <w:rFonts w:hint="default" w:ascii="Times New Roman" w:hAnsi="Times New Roman" w:cs="Times New Roman"/>
                <w:b/>
                <w:bCs/>
                <w:sz w:val="24"/>
                <w:szCs w:val="32"/>
              </w:rPr>
              <w:t>图2-2  生产工艺流程及产污环节示意图</w:t>
            </w:r>
          </w:p>
          <w:p>
            <w:pPr>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工艺流程简介：</w:t>
            </w:r>
          </w:p>
          <w:p>
            <w:pPr>
              <w:widowControl/>
              <w:numPr>
                <w:ilvl w:val="0"/>
                <w:numId w:val="4"/>
              </w:numPr>
              <w:adjustRightInd w:val="0"/>
              <w:snapToGrid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rPr>
              <w:t>预压</w:t>
            </w:r>
            <w:r>
              <w:rPr>
                <w:rFonts w:hint="default" w:ascii="Times New Roman" w:hAnsi="Times New Roman" w:cs="Times New Roman"/>
                <w:sz w:val="24"/>
                <w:szCs w:val="32"/>
                <w:lang w:eastAsia="zh-CN"/>
              </w:rPr>
              <w:t>：</w:t>
            </w:r>
            <w:r>
              <w:rPr>
                <w:rFonts w:hint="default" w:ascii="Times New Roman" w:hAnsi="Times New Roman" w:cs="Times New Roman"/>
                <w:sz w:val="24"/>
                <w:szCs w:val="32"/>
              </w:rPr>
              <w:t>将发泡好的EPP原料在预压罐中进行预压，向罐里充气，压力为4kg，以此来增强原料颗粒内部的压力，以生产出密度较低的模制件。发泡好的EPP原料</w:t>
            </w:r>
            <w:r>
              <w:rPr>
                <w:rFonts w:hint="default" w:ascii="Times New Roman" w:hAnsi="Times New Roman" w:cs="Times New Roman"/>
                <w:sz w:val="24"/>
                <w:szCs w:val="32"/>
                <w:lang w:val="en-US" w:eastAsia="zh-CN"/>
              </w:rPr>
              <w:t>进厂时表面已无发泡剂残留</w:t>
            </w:r>
            <w:r>
              <w:rPr>
                <w:rFonts w:hint="default" w:ascii="Times New Roman" w:hAnsi="Times New Roman" w:eastAsia="宋体" w:cs="Times New Roman"/>
                <w:sz w:val="24"/>
                <w:szCs w:val="32"/>
                <w:lang w:val="en-US" w:eastAsia="zh-CN"/>
              </w:rPr>
              <w:t>，</w:t>
            </w:r>
            <w:r>
              <w:rPr>
                <w:rFonts w:hint="default" w:ascii="Times New Roman" w:hAnsi="Times New Roman" w:cs="Times New Roman"/>
                <w:sz w:val="24"/>
                <w:szCs w:val="32"/>
                <w:lang w:val="en-US" w:eastAsia="zh-CN"/>
              </w:rPr>
              <w:t>在</w:t>
            </w:r>
            <w:r>
              <w:rPr>
                <w:rFonts w:hint="default" w:ascii="Times New Roman" w:hAnsi="Times New Roman" w:cs="Times New Roman"/>
                <w:sz w:val="24"/>
                <w:szCs w:val="32"/>
              </w:rPr>
              <w:t>预压</w:t>
            </w:r>
            <w:r>
              <w:rPr>
                <w:rFonts w:hint="default" w:ascii="Times New Roman" w:hAnsi="Times New Roman" w:cs="Times New Roman"/>
                <w:sz w:val="24"/>
                <w:szCs w:val="32"/>
                <w:lang w:val="en-US" w:eastAsia="zh-CN"/>
              </w:rPr>
              <w:t>过程中无需添加发泡剂。</w:t>
            </w:r>
          </w:p>
          <w:p>
            <w:pPr>
              <w:widowControl/>
              <w:adjustRightInd w:val="0"/>
              <w:snapToGrid w:val="0"/>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产污环节：此工序会产生设备运转N噪声。</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lang w:eastAsia="zh-CN"/>
              </w:rPr>
              <w:t>（</w:t>
            </w:r>
            <w:r>
              <w:rPr>
                <w:rFonts w:hint="default" w:ascii="Times New Roman" w:hAnsi="Times New Roman" w:cs="Times New Roman"/>
                <w:sz w:val="24"/>
                <w:szCs w:val="32"/>
                <w:lang w:val="en-US" w:eastAsia="zh-CN"/>
              </w:rPr>
              <w:t>2</w:t>
            </w:r>
            <w:r>
              <w:rPr>
                <w:rFonts w:hint="default" w:ascii="Times New Roman" w:hAnsi="Times New Roman" w:cs="Times New Roman"/>
                <w:sz w:val="24"/>
                <w:szCs w:val="32"/>
                <w:lang w:eastAsia="zh-CN"/>
              </w:rPr>
              <w:t>）</w:t>
            </w:r>
            <w:r>
              <w:rPr>
                <w:rFonts w:hint="default" w:ascii="Times New Roman" w:hAnsi="Times New Roman" w:cs="Times New Roman"/>
                <w:sz w:val="24"/>
                <w:szCs w:val="32"/>
              </w:rPr>
              <w:t>入料</w:t>
            </w:r>
            <w:r>
              <w:rPr>
                <w:rFonts w:hint="default" w:ascii="Times New Roman" w:hAnsi="Times New Roman" w:cs="Times New Roman"/>
                <w:sz w:val="24"/>
                <w:szCs w:val="32"/>
                <w:lang w:eastAsia="zh-CN"/>
              </w:rPr>
              <w:t>：</w:t>
            </w:r>
            <w:r>
              <w:rPr>
                <w:rFonts w:hint="default" w:ascii="Times New Roman" w:hAnsi="Times New Roman" w:cs="Times New Roman"/>
                <w:sz w:val="24"/>
                <w:szCs w:val="32"/>
              </w:rPr>
              <w:t>将预压好的EPP用空压机</w:t>
            </w:r>
            <w:r>
              <w:rPr>
                <w:rFonts w:hint="eastAsia" w:ascii="Times New Roman" w:hAnsi="Times New Roman" w:cs="Times New Roman"/>
                <w:sz w:val="24"/>
                <w:szCs w:val="32"/>
                <w:lang w:val="en-US" w:eastAsia="zh-CN"/>
              </w:rPr>
              <w:t>通过密闭管道</w:t>
            </w:r>
            <w:r>
              <w:rPr>
                <w:rFonts w:hint="default" w:ascii="Times New Roman" w:hAnsi="Times New Roman" w:cs="Times New Roman"/>
                <w:sz w:val="24"/>
                <w:szCs w:val="32"/>
              </w:rPr>
              <w:t>注入到EPP成型机的模具内。</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产污环节：此工序会产生设备运转N噪声。</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lang w:eastAsia="zh-CN"/>
              </w:rPr>
              <w:t>（</w:t>
            </w:r>
            <w:r>
              <w:rPr>
                <w:rFonts w:hint="default" w:ascii="Times New Roman" w:hAnsi="Times New Roman" w:cs="Times New Roman"/>
                <w:sz w:val="24"/>
                <w:szCs w:val="32"/>
                <w:lang w:val="en-US" w:eastAsia="zh-CN"/>
              </w:rPr>
              <w:t>3</w:t>
            </w:r>
            <w:r>
              <w:rPr>
                <w:rFonts w:hint="default" w:ascii="Times New Roman" w:hAnsi="Times New Roman" w:cs="Times New Roman"/>
                <w:sz w:val="24"/>
                <w:szCs w:val="32"/>
                <w:lang w:eastAsia="zh-CN"/>
              </w:rPr>
              <w:t>）</w:t>
            </w:r>
            <w:r>
              <w:rPr>
                <w:rFonts w:hint="default" w:ascii="Times New Roman" w:hAnsi="Times New Roman" w:cs="Times New Roman"/>
                <w:sz w:val="24"/>
                <w:szCs w:val="32"/>
              </w:rPr>
              <w:t>加热定型</w:t>
            </w:r>
            <w:r>
              <w:rPr>
                <w:rFonts w:hint="default" w:ascii="Times New Roman" w:hAnsi="Times New Roman" w:cs="Times New Roman"/>
                <w:sz w:val="24"/>
                <w:szCs w:val="32"/>
                <w:lang w:eastAsia="zh-CN"/>
              </w:rPr>
              <w:t>：</w:t>
            </w:r>
            <w:r>
              <w:rPr>
                <w:rFonts w:hint="default" w:ascii="Times New Roman" w:hAnsi="Times New Roman" w:cs="Times New Roman"/>
                <w:sz w:val="24"/>
                <w:szCs w:val="32"/>
              </w:rPr>
              <w:t>将蒸汽通入模具中（本项目蒸汽来源于江苏大唐国际如皋热电有限责任公司，通过供气管道进入厂房内），温度控制在160℃左右（EPP自燃温度357℃，因此，本项目加热温度在160℃左右能够使EPP软化，并且不会导致EPP分解），使EPP泡粒受热软化，体积膨胀而融结为型腔形状。</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此工序分三步将蒸汽通入模具中：</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 xml:space="preserve">①蒸汽冲刷：蒸汽从上至下冲刷，以将空气排出蒸汽室，冷凝水流出。在此过程中，打开上方的蒸汽进汽阀和下方的冷凝水排放阀。    </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 xml:space="preserve">②横向蒸汽：使蒸汽从蒸汽室的一边横扫向原料，穿透原料后到达另一边。此时关闭一边的冷凝水阀，打开蒸汽进汽阀。同时，使相对面的蒸汽进汽阀关闭，冷凝水阀打开，以使蒸汽从相反的方向喷出。如果模具内有薄的法兰，则蒸汽最好是从法兰周围穿过，以使夹在法兰里面的原料也可以得到蒸熔。    </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③压力保持：横向通蒸汽后，需要经过压力保持或双面蒸融过程。在此过程中，打开蒸汽进汽阀，关闭冷凝水排放阀，使压力逐渐达到峰值。</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本项目使用模具不在厂内维修，若模具有损坏，由模具供应产商回收修理。</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产污环节：此工序会产生</w:t>
            </w:r>
            <w:r>
              <w:rPr>
                <w:rFonts w:hint="default" w:ascii="Times New Roman" w:hAnsi="Times New Roman" w:cs="Times New Roman"/>
                <w:sz w:val="24"/>
                <w:szCs w:val="32"/>
                <w:lang w:val="en-US" w:eastAsia="zh-CN"/>
              </w:rPr>
              <w:t>加热定型废气G、</w:t>
            </w:r>
            <w:r>
              <w:rPr>
                <w:rFonts w:hint="default" w:ascii="Times New Roman" w:hAnsi="Times New Roman" w:cs="Times New Roman"/>
                <w:sz w:val="24"/>
                <w:szCs w:val="32"/>
              </w:rPr>
              <w:t>设备运转N噪声。</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4）冷却脱模</w:t>
            </w:r>
            <w:r>
              <w:rPr>
                <w:rFonts w:hint="default" w:ascii="Times New Roman" w:hAnsi="Times New Roman" w:cs="Times New Roman"/>
                <w:sz w:val="24"/>
                <w:szCs w:val="32"/>
                <w:lang w:eastAsia="zh-CN"/>
              </w:rPr>
              <w:t>：</w:t>
            </w:r>
            <w:r>
              <w:rPr>
                <w:rFonts w:hint="default" w:ascii="Times New Roman" w:hAnsi="Times New Roman" w:cs="Times New Roman"/>
                <w:color w:val="auto"/>
                <w:sz w:val="24"/>
                <w:szCs w:val="32"/>
              </w:rPr>
              <w:t>用蒸</w:t>
            </w:r>
            <w:r>
              <w:rPr>
                <w:rFonts w:hint="default" w:ascii="Times New Roman" w:hAnsi="Times New Roman" w:cs="Times New Roman"/>
                <w:sz w:val="24"/>
                <w:szCs w:val="32"/>
              </w:rPr>
              <w:t>汽冷凝水通过冷却塔对模具进行间接冷却，</w:t>
            </w:r>
            <w:r>
              <w:rPr>
                <w:rFonts w:hint="eastAsia" w:cs="Times New Roman"/>
                <w:sz w:val="24"/>
                <w:szCs w:val="32"/>
                <w:lang w:val="en-US" w:eastAsia="zh-CN"/>
              </w:rPr>
              <w:t>进塔温度</w:t>
            </w:r>
            <w:r>
              <w:rPr>
                <w:rFonts w:hint="eastAsia" w:cs="Times New Roman"/>
                <w:color w:val="auto"/>
                <w:sz w:val="24"/>
                <w:szCs w:val="32"/>
                <w:lang w:val="en-US" w:eastAsia="zh-CN"/>
              </w:rPr>
              <w:t>65</w:t>
            </w:r>
            <w:r>
              <w:rPr>
                <w:rFonts w:hint="eastAsia" w:ascii="Times New Roman" w:hAnsi="Times New Roman" w:cs="Times New Roman"/>
                <w:color w:val="auto"/>
                <w:sz w:val="24"/>
                <w:szCs w:val="32"/>
                <w:lang w:val="en-US" w:eastAsia="zh-CN"/>
              </w:rPr>
              <w:t>℃</w:t>
            </w:r>
            <w:r>
              <w:rPr>
                <w:rFonts w:hint="eastAsia" w:cs="Times New Roman"/>
                <w:color w:val="auto"/>
                <w:sz w:val="24"/>
                <w:szCs w:val="32"/>
                <w:lang w:val="en-US" w:eastAsia="zh-CN"/>
              </w:rPr>
              <w:t>左右</w:t>
            </w:r>
            <w:r>
              <w:rPr>
                <w:rFonts w:hint="eastAsia" w:ascii="Times New Roman" w:hAnsi="Times New Roman" w:cs="Times New Roman"/>
                <w:color w:val="auto"/>
                <w:sz w:val="24"/>
                <w:szCs w:val="32"/>
                <w:lang w:val="en-US" w:eastAsia="zh-CN"/>
              </w:rPr>
              <w:t>，出塔温度</w:t>
            </w:r>
            <w:r>
              <w:rPr>
                <w:rFonts w:hint="eastAsia" w:cs="Times New Roman"/>
                <w:color w:val="auto"/>
                <w:sz w:val="24"/>
                <w:szCs w:val="32"/>
                <w:lang w:val="en-US" w:eastAsia="zh-CN"/>
              </w:rPr>
              <w:t>45</w:t>
            </w:r>
            <w:r>
              <w:rPr>
                <w:rFonts w:hint="eastAsia" w:ascii="Times New Roman" w:hAnsi="Times New Roman" w:cs="Times New Roman"/>
                <w:color w:val="auto"/>
                <w:sz w:val="24"/>
                <w:szCs w:val="32"/>
                <w:lang w:val="en-US" w:eastAsia="zh-CN"/>
              </w:rPr>
              <w:t>℃</w:t>
            </w:r>
            <w:r>
              <w:rPr>
                <w:rFonts w:hint="eastAsia" w:cs="Times New Roman"/>
                <w:color w:val="auto"/>
                <w:sz w:val="24"/>
                <w:szCs w:val="32"/>
                <w:lang w:val="en-US" w:eastAsia="zh-CN"/>
              </w:rPr>
              <w:t>左右，</w:t>
            </w:r>
            <w:r>
              <w:rPr>
                <w:rFonts w:hint="default" w:ascii="Times New Roman" w:hAnsi="Times New Roman" w:cs="Times New Roman"/>
                <w:sz w:val="24"/>
                <w:szCs w:val="32"/>
              </w:rPr>
              <w:t>不需要添加脱模剂，将模具冷却至70℃左右即可进行脱模操作</w:t>
            </w:r>
            <w:r>
              <w:rPr>
                <w:rFonts w:hint="eastAsia" w:cs="Times New Roman"/>
                <w:sz w:val="24"/>
                <w:szCs w:val="32"/>
                <w:lang w:eastAsia="zh-CN"/>
              </w:rPr>
              <w:t>。</w:t>
            </w:r>
            <w:r>
              <w:rPr>
                <w:rFonts w:hint="default" w:ascii="Times New Roman" w:hAnsi="Times New Roman" w:cs="Times New Roman"/>
                <w:sz w:val="24"/>
                <w:szCs w:val="32"/>
              </w:rPr>
              <w:t>发泡好的EPP原料</w:t>
            </w:r>
            <w:r>
              <w:rPr>
                <w:rFonts w:hint="default" w:ascii="Times New Roman" w:hAnsi="Times New Roman" w:cs="Times New Roman"/>
                <w:sz w:val="24"/>
                <w:szCs w:val="24"/>
              </w:rPr>
              <w:t>，</w:t>
            </w:r>
            <w:r>
              <w:rPr>
                <w:rFonts w:hint="eastAsia" w:cs="Times New Roman"/>
                <w:sz w:val="24"/>
                <w:szCs w:val="24"/>
                <w:lang w:val="en-US" w:eastAsia="zh-CN"/>
              </w:rPr>
              <w:t>生产过程</w:t>
            </w:r>
            <w:r>
              <w:rPr>
                <w:rFonts w:hint="default" w:ascii="Times New Roman" w:hAnsi="Times New Roman" w:cs="Times New Roman"/>
                <w:sz w:val="24"/>
                <w:szCs w:val="32"/>
                <w:lang w:val="en-US" w:eastAsia="zh-CN"/>
              </w:rPr>
              <w:t>无需添加发泡剂</w:t>
            </w:r>
            <w:r>
              <w:rPr>
                <w:rFonts w:hint="default" w:ascii="Times New Roman" w:hAnsi="Times New Roman" w:cs="Times New Roman"/>
                <w:sz w:val="24"/>
                <w:szCs w:val="24"/>
              </w:rPr>
              <w:t>，</w:t>
            </w:r>
            <w:r>
              <w:rPr>
                <w:rFonts w:hint="eastAsia" w:cs="Times New Roman"/>
                <w:sz w:val="24"/>
                <w:szCs w:val="32"/>
                <w:lang w:eastAsia="zh-CN"/>
              </w:rPr>
              <w:t>极少量未聚合单体在加热定型环节</w:t>
            </w:r>
            <w:r>
              <w:rPr>
                <w:rFonts w:hint="eastAsia" w:cs="Times New Roman"/>
                <w:sz w:val="24"/>
                <w:szCs w:val="32"/>
                <w:lang w:val="en-US" w:eastAsia="zh-CN"/>
              </w:rPr>
              <w:t>已</w:t>
            </w:r>
            <w:r>
              <w:rPr>
                <w:rFonts w:hint="eastAsia" w:cs="Times New Roman"/>
                <w:sz w:val="24"/>
                <w:szCs w:val="32"/>
                <w:lang w:eastAsia="zh-CN"/>
              </w:rPr>
              <w:t>全部挥发出，约20%蒸汽成为蒸汽冷凝水（其余80%蒸发损耗）</w:t>
            </w:r>
            <w:r>
              <w:rPr>
                <w:rFonts w:hint="default" w:ascii="Times New Roman" w:hAnsi="Times New Roman" w:cs="Times New Roman"/>
                <w:sz w:val="24"/>
                <w:szCs w:val="24"/>
              </w:rPr>
              <w:t>，冷却用水对水质要求不高，主要是</w:t>
            </w:r>
            <w:r>
              <w:rPr>
                <w:rFonts w:hint="default" w:ascii="Times New Roman" w:hAnsi="Times New Roman" w:cs="Times New Roman"/>
                <w:sz w:val="24"/>
                <w:szCs w:val="24"/>
                <w:lang w:val="en-US" w:eastAsia="zh-CN"/>
              </w:rPr>
              <w:t>用于间接冷却脱模</w:t>
            </w:r>
            <w:r>
              <w:rPr>
                <w:rFonts w:hint="default" w:ascii="Times New Roman" w:hAnsi="Times New Roman" w:cs="Times New Roman"/>
                <w:sz w:val="24"/>
                <w:szCs w:val="24"/>
              </w:rPr>
              <w:t>的温度</w:t>
            </w:r>
            <w:r>
              <w:rPr>
                <w:rFonts w:hint="default" w:ascii="Times New Roman" w:hAnsi="Times New Roman" w:cs="Times New Roman"/>
                <w:sz w:val="24"/>
                <w:szCs w:val="24"/>
                <w:lang w:val="en-US" w:eastAsia="zh-CN"/>
              </w:rPr>
              <w:t>调控</w:t>
            </w:r>
            <w:r>
              <w:rPr>
                <w:rFonts w:hint="default" w:ascii="Times New Roman" w:hAnsi="Times New Roman" w:cs="Times New Roman"/>
                <w:sz w:val="24"/>
                <w:szCs w:val="24"/>
              </w:rPr>
              <w:t>，因此冷却水可循环使用不排放（考虑到盐分累积对设备和管线影响，企业会增加设备检测维护频次）</w:t>
            </w:r>
            <w:r>
              <w:rPr>
                <w:rFonts w:hint="default" w:ascii="Times New Roman" w:hAnsi="Times New Roman" w:cs="Times New Roman"/>
                <w:sz w:val="24"/>
                <w:szCs w:val="32"/>
              </w:rPr>
              <w:t>。</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产污环节：该工序无污染产生。</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5）烘干</w:t>
            </w:r>
            <w:r>
              <w:rPr>
                <w:rFonts w:hint="default" w:ascii="Times New Roman" w:hAnsi="Times New Roman" w:cs="Times New Roman"/>
                <w:sz w:val="24"/>
                <w:szCs w:val="32"/>
                <w:lang w:eastAsia="zh-CN"/>
              </w:rPr>
              <w:t>：</w:t>
            </w:r>
            <w:r>
              <w:rPr>
                <w:rFonts w:hint="default" w:ascii="Times New Roman" w:hAnsi="Times New Roman" w:cs="Times New Roman"/>
                <w:sz w:val="24"/>
                <w:szCs w:val="32"/>
              </w:rPr>
              <w:t>脱模出来的工件无须进行切边等工序，需要进行烘干，去除产品表面水份，将产品直接移入烘干房内进行烘干，烘干温度控制在85℃，烘干房内保持空气干燥，通风良好，烘干房内加热由蒸汽供热（EPP自燃温度357℃，因此在烘干过程，不会导致EPP</w:t>
            </w:r>
            <w:r>
              <w:rPr>
                <w:rFonts w:hint="eastAsia" w:cs="Times New Roman"/>
                <w:sz w:val="24"/>
                <w:szCs w:val="32"/>
                <w:lang w:val="en-US" w:eastAsia="zh-CN"/>
              </w:rPr>
              <w:t>自燃</w:t>
            </w:r>
            <w:r>
              <w:rPr>
                <w:rFonts w:hint="eastAsia" w:cs="Times New Roman"/>
                <w:sz w:val="24"/>
                <w:szCs w:val="32"/>
                <w:lang w:eastAsia="zh-CN"/>
              </w:rPr>
              <w:t>，极少量未聚合单体在加热定型环节</w:t>
            </w:r>
            <w:r>
              <w:rPr>
                <w:rFonts w:hint="eastAsia" w:cs="Times New Roman"/>
                <w:sz w:val="24"/>
                <w:szCs w:val="32"/>
                <w:lang w:val="en-US" w:eastAsia="zh-CN"/>
              </w:rPr>
              <w:t>已</w:t>
            </w:r>
            <w:r>
              <w:rPr>
                <w:rFonts w:hint="eastAsia" w:cs="Times New Roman"/>
                <w:sz w:val="24"/>
                <w:szCs w:val="32"/>
                <w:lang w:eastAsia="zh-CN"/>
              </w:rPr>
              <w:t>全部挥发出</w:t>
            </w:r>
            <w:r>
              <w:rPr>
                <w:rFonts w:hint="default" w:ascii="Times New Roman" w:hAnsi="Times New Roman" w:cs="Times New Roman"/>
                <w:sz w:val="24"/>
                <w:szCs w:val="32"/>
              </w:rPr>
              <w:t>），蒸汽间接接触产品，烘干温度约为85℃。</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产污环节：该工序无污染产生。</w:t>
            </w:r>
          </w:p>
          <w:p>
            <w:pPr>
              <w:widowControl/>
              <w:adjustRightInd w:val="0"/>
              <w:snapToGrid w:val="0"/>
              <w:spacing w:line="360" w:lineRule="auto"/>
              <w:ind w:firstLine="480" w:firstLineChars="20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6）检验、入库、成品出厂</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rPr>
              <w:t>对烘干后的产品进行</w:t>
            </w:r>
            <w:r>
              <w:rPr>
                <w:rFonts w:hint="eastAsia" w:cs="Times New Roman"/>
                <w:sz w:val="24"/>
                <w:szCs w:val="32"/>
                <w:lang w:val="en-US" w:eastAsia="zh-CN"/>
              </w:rPr>
              <w:t>人工物理</w:t>
            </w:r>
            <w:r>
              <w:rPr>
                <w:rFonts w:hint="default" w:ascii="Times New Roman" w:hAnsi="Times New Roman" w:eastAsia="宋体" w:cs="Times New Roman"/>
                <w:sz w:val="24"/>
                <w:szCs w:val="32"/>
              </w:rPr>
              <w:t>检验</w:t>
            </w:r>
            <w:r>
              <w:rPr>
                <w:rFonts w:hint="default" w:ascii="Times New Roman" w:hAnsi="Times New Roman" w:eastAsia="宋体" w:cs="Times New Roman"/>
                <w:sz w:val="24"/>
                <w:szCs w:val="32"/>
                <w:lang w:eastAsia="zh-CN"/>
              </w:rPr>
              <w:t>，</w:t>
            </w:r>
            <w:r>
              <w:rPr>
                <w:rFonts w:hint="default" w:ascii="Times New Roman" w:hAnsi="Times New Roman" w:eastAsia="宋体" w:cs="Times New Roman"/>
                <w:sz w:val="24"/>
                <w:szCs w:val="32"/>
                <w:lang w:val="en-US" w:eastAsia="zh-CN"/>
              </w:rPr>
              <w:t>不使用试剂</w:t>
            </w:r>
            <w:r>
              <w:rPr>
                <w:rFonts w:hint="default" w:ascii="Times New Roman" w:hAnsi="Times New Roman" w:eastAsia="宋体" w:cs="Times New Roman"/>
                <w:sz w:val="24"/>
                <w:szCs w:val="32"/>
              </w:rPr>
              <w:t>，而后入库，最终作为成品出厂。</w:t>
            </w:r>
          </w:p>
          <w:p>
            <w:pPr>
              <w:widowControl/>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eastAsia="宋体" w:cs="Times New Roman"/>
                <w:sz w:val="24"/>
                <w:szCs w:val="32"/>
              </w:rPr>
              <w:t>产污环节：此工序会有少许残次品产生</w:t>
            </w:r>
            <w:r>
              <w:rPr>
                <w:rFonts w:hint="default" w:ascii="Times New Roman" w:hAnsi="Times New Roman" w:cs="Times New Roman"/>
                <w:sz w:val="24"/>
                <w:szCs w:val="32"/>
              </w:rPr>
              <w:t>。</w:t>
            </w:r>
          </w:p>
          <w:p>
            <w:pPr>
              <w:pStyle w:val="14"/>
              <w:adjustRightInd w:val="0"/>
              <w:snapToGrid w:val="0"/>
              <w:spacing w:after="0" w:line="360" w:lineRule="auto"/>
              <w:ind w:left="0" w:leftChars="0"/>
              <w:jc w:val="center"/>
              <w:rPr>
                <w:rFonts w:hint="default" w:ascii="Times New Roman" w:hAnsi="Times New Roman" w:cs="Times New Roman"/>
                <w:b/>
                <w:bCs/>
                <w:sz w:val="24"/>
                <w:szCs w:val="28"/>
              </w:rPr>
            </w:pPr>
            <w:r>
              <w:rPr>
                <w:rFonts w:hint="default" w:ascii="Times New Roman" w:hAnsi="Times New Roman" w:cs="Times New Roman"/>
                <w:b/>
                <w:bCs/>
                <w:sz w:val="24"/>
                <w:szCs w:val="28"/>
              </w:rPr>
              <w:t>表2-</w:t>
            </w:r>
            <w:r>
              <w:rPr>
                <w:rFonts w:hint="default" w:ascii="Times New Roman" w:hAnsi="Times New Roman" w:cs="Times New Roman"/>
                <w:b/>
                <w:bCs/>
                <w:sz w:val="24"/>
                <w:szCs w:val="28"/>
                <w:lang w:val="en-US" w:eastAsia="zh-CN"/>
              </w:rPr>
              <w:t>7</w:t>
            </w:r>
            <w:r>
              <w:rPr>
                <w:rFonts w:hint="default" w:ascii="Times New Roman" w:hAnsi="Times New Roman" w:cs="Times New Roman"/>
                <w:b/>
                <w:bCs/>
                <w:sz w:val="24"/>
                <w:szCs w:val="28"/>
              </w:rPr>
              <w:t xml:space="preserve">  主要产污环节和排污特征</w:t>
            </w:r>
          </w:p>
          <w:tbl>
            <w:tblPr>
              <w:tblStyle w:val="30"/>
              <w:tblW w:w="830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921"/>
              <w:gridCol w:w="2393"/>
              <w:gridCol w:w="718"/>
              <w:gridCol w:w="24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Align w:val="center"/>
                </w:tcPr>
                <w:p>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类别</w:t>
                  </w:r>
                </w:p>
              </w:tc>
              <w:tc>
                <w:tcPr>
                  <w:tcW w:w="1921" w:type="dxa"/>
                  <w:vAlign w:val="center"/>
                </w:tcPr>
                <w:p>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产生点</w:t>
                  </w:r>
                </w:p>
              </w:tc>
              <w:tc>
                <w:tcPr>
                  <w:tcW w:w="2393" w:type="dxa"/>
                  <w:vAlign w:val="center"/>
                </w:tcPr>
                <w:p>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污染物</w:t>
                  </w:r>
                </w:p>
              </w:tc>
              <w:tc>
                <w:tcPr>
                  <w:tcW w:w="718" w:type="dxa"/>
                  <w:vAlign w:val="center"/>
                </w:tcPr>
                <w:p>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产生特征</w:t>
                  </w:r>
                </w:p>
              </w:tc>
              <w:tc>
                <w:tcPr>
                  <w:tcW w:w="2444" w:type="dxa"/>
                  <w:vAlign w:val="center"/>
                </w:tcPr>
                <w:p>
                  <w:pPr>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废气</w:t>
                  </w:r>
                </w:p>
              </w:tc>
              <w:tc>
                <w:tcPr>
                  <w:tcW w:w="1921" w:type="dxa"/>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 w:val="21"/>
                      <w:szCs w:val="21"/>
                      <w:lang w:val="en-US" w:eastAsia="zh-CN"/>
                    </w:rPr>
                    <w:t>加热定型</w:t>
                  </w:r>
                </w:p>
              </w:tc>
              <w:tc>
                <w:tcPr>
                  <w:tcW w:w="2393" w:type="dxa"/>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非甲烷总烃、臭气浓度</w:t>
                  </w:r>
                </w:p>
              </w:tc>
              <w:tc>
                <w:tcPr>
                  <w:tcW w:w="718" w:type="dxa"/>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rPr>
                    <w:t>间断</w:t>
                  </w:r>
                </w:p>
              </w:tc>
              <w:tc>
                <w:tcPr>
                  <w:tcW w:w="2444" w:type="dxa"/>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无组织排放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废水</w:t>
                  </w:r>
                </w:p>
              </w:tc>
              <w:tc>
                <w:tcPr>
                  <w:tcW w:w="192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生活污水</w:t>
                  </w:r>
                </w:p>
              </w:tc>
              <w:tc>
                <w:tcPr>
                  <w:tcW w:w="2393"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pH、COD、SS、氨氮、总磷、总氮</w:t>
                  </w:r>
                </w:p>
              </w:tc>
              <w:tc>
                <w:tcPr>
                  <w:tcW w:w="71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间断</w:t>
                  </w:r>
                </w:p>
              </w:tc>
              <w:tc>
                <w:tcPr>
                  <w:tcW w:w="244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接管</w:t>
                  </w:r>
                  <w:r>
                    <w:rPr>
                      <w:rFonts w:hint="default" w:ascii="Times New Roman" w:hAnsi="Times New Roman" w:eastAsia="宋体" w:cs="Times New Roman"/>
                      <w:color w:val="000000"/>
                      <w:szCs w:val="21"/>
                      <w:lang w:val="en-US" w:eastAsia="zh-CN"/>
                    </w:rPr>
                    <w:t>如皋恒发水处理有限公司</w:t>
                  </w:r>
                  <w:r>
                    <w:rPr>
                      <w:rFonts w:hint="default" w:ascii="Times New Roman" w:hAnsi="Times New Roman" w:cs="Times New Roman"/>
                      <w:szCs w:val="21"/>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噪声</w:t>
                  </w:r>
                </w:p>
              </w:tc>
              <w:tc>
                <w:tcPr>
                  <w:tcW w:w="192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高噪声设备</w:t>
                  </w:r>
                </w:p>
              </w:tc>
              <w:tc>
                <w:tcPr>
                  <w:tcW w:w="2393"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噪声</w:t>
                  </w:r>
                </w:p>
              </w:tc>
              <w:tc>
                <w:tcPr>
                  <w:tcW w:w="71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间断</w:t>
                  </w:r>
                </w:p>
              </w:tc>
              <w:tc>
                <w:tcPr>
                  <w:tcW w:w="244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固废</w:t>
                  </w:r>
                </w:p>
              </w:tc>
              <w:tc>
                <w:tcPr>
                  <w:tcW w:w="1921" w:type="dxa"/>
                  <w:vMerge w:val="restart"/>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生产车间</w:t>
                  </w:r>
                </w:p>
              </w:tc>
              <w:tc>
                <w:tcPr>
                  <w:tcW w:w="2393" w:type="dxa"/>
                  <w:shd w:val="clear" w:color="auto" w:fill="auto"/>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残次品</w:t>
                  </w:r>
                </w:p>
              </w:tc>
              <w:tc>
                <w:tcPr>
                  <w:tcW w:w="71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间断</w:t>
                  </w:r>
                </w:p>
              </w:tc>
              <w:tc>
                <w:tcPr>
                  <w:tcW w:w="2444" w:type="dxa"/>
                  <w:vMerge w:val="restart"/>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委托利用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Merge w:val="continue"/>
                  <w:vAlign w:val="center"/>
                </w:tcPr>
                <w:p>
                  <w:pPr>
                    <w:adjustRightInd w:val="0"/>
                    <w:snapToGrid w:val="0"/>
                    <w:jc w:val="center"/>
                    <w:rPr>
                      <w:rFonts w:hint="default" w:ascii="Times New Roman" w:hAnsi="Times New Roman" w:cs="Times New Roman"/>
                      <w:szCs w:val="21"/>
                    </w:rPr>
                  </w:pPr>
                </w:p>
              </w:tc>
              <w:tc>
                <w:tcPr>
                  <w:tcW w:w="1921" w:type="dxa"/>
                  <w:vMerge w:val="continue"/>
                  <w:vAlign w:val="center"/>
                </w:tcPr>
                <w:p>
                  <w:pPr>
                    <w:adjustRightInd w:val="0"/>
                    <w:snapToGrid w:val="0"/>
                    <w:jc w:val="center"/>
                    <w:rPr>
                      <w:rFonts w:hint="default" w:ascii="Times New Roman" w:hAnsi="Times New Roman" w:cs="Times New Roman"/>
                      <w:szCs w:val="21"/>
                    </w:rPr>
                  </w:pPr>
                </w:p>
              </w:tc>
              <w:tc>
                <w:tcPr>
                  <w:tcW w:w="2393"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废包装材料</w:t>
                  </w:r>
                </w:p>
              </w:tc>
              <w:tc>
                <w:tcPr>
                  <w:tcW w:w="718" w:type="dxa"/>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间断</w:t>
                  </w:r>
                </w:p>
              </w:tc>
              <w:tc>
                <w:tcPr>
                  <w:tcW w:w="2444" w:type="dxa"/>
                  <w:vMerge w:val="continue"/>
                  <w:shd w:val="clear" w:color="auto" w:fill="auto"/>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Merge w:val="continue"/>
                  <w:vAlign w:val="center"/>
                </w:tcPr>
                <w:p>
                  <w:pPr>
                    <w:adjustRightInd w:val="0"/>
                    <w:snapToGrid w:val="0"/>
                    <w:jc w:val="center"/>
                    <w:rPr>
                      <w:rFonts w:hint="default" w:ascii="Times New Roman" w:hAnsi="Times New Roman" w:cs="Times New Roman"/>
                      <w:szCs w:val="21"/>
                    </w:rPr>
                  </w:pPr>
                </w:p>
              </w:tc>
              <w:tc>
                <w:tcPr>
                  <w:tcW w:w="1921" w:type="dxa"/>
                  <w:vMerge w:val="continue"/>
                  <w:vAlign w:val="center"/>
                </w:tcPr>
                <w:p>
                  <w:pPr>
                    <w:adjustRightInd w:val="0"/>
                    <w:snapToGrid w:val="0"/>
                    <w:jc w:val="center"/>
                    <w:rPr>
                      <w:rFonts w:hint="default" w:ascii="Times New Roman" w:hAnsi="Times New Roman" w:cs="Times New Roman"/>
                      <w:szCs w:val="21"/>
                    </w:rPr>
                  </w:pPr>
                </w:p>
              </w:tc>
              <w:tc>
                <w:tcPr>
                  <w:tcW w:w="2393" w:type="dxa"/>
                  <w:shd w:val="clear" w:color="auto" w:fill="auto"/>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废抹布手套</w:t>
                  </w:r>
                </w:p>
              </w:tc>
              <w:tc>
                <w:tcPr>
                  <w:tcW w:w="718"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间断</w:t>
                  </w:r>
                </w:p>
              </w:tc>
              <w:tc>
                <w:tcPr>
                  <w:tcW w:w="2444" w:type="dxa"/>
                  <w:vMerge w:val="restart"/>
                  <w:shd w:val="clear" w:color="auto" w:fill="auto"/>
                  <w:vAlign w:val="center"/>
                </w:tcPr>
                <w:p>
                  <w:pPr>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委托处置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Merge w:val="continue"/>
                  <w:vAlign w:val="center"/>
                </w:tcPr>
                <w:p>
                  <w:pPr>
                    <w:adjustRightInd w:val="0"/>
                    <w:snapToGrid w:val="0"/>
                    <w:jc w:val="center"/>
                    <w:rPr>
                      <w:rFonts w:hint="default" w:ascii="Times New Roman" w:hAnsi="Times New Roman" w:cs="Times New Roman"/>
                      <w:szCs w:val="21"/>
                    </w:rPr>
                  </w:pPr>
                </w:p>
              </w:tc>
              <w:tc>
                <w:tcPr>
                  <w:tcW w:w="1921" w:type="dxa"/>
                  <w:vMerge w:val="continue"/>
                  <w:vAlign w:val="center"/>
                </w:tcPr>
                <w:p>
                  <w:pPr>
                    <w:adjustRightInd w:val="0"/>
                    <w:snapToGrid w:val="0"/>
                    <w:jc w:val="center"/>
                    <w:rPr>
                      <w:rFonts w:hint="default" w:ascii="Times New Roman" w:hAnsi="Times New Roman" w:cs="Times New Roman"/>
                      <w:szCs w:val="21"/>
                    </w:rPr>
                  </w:pPr>
                </w:p>
              </w:tc>
              <w:tc>
                <w:tcPr>
                  <w:tcW w:w="2393" w:type="dxa"/>
                  <w:shd w:val="clear" w:color="auto" w:fill="auto"/>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废机油</w:t>
                  </w:r>
                </w:p>
              </w:tc>
              <w:tc>
                <w:tcPr>
                  <w:tcW w:w="718"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间断</w:t>
                  </w:r>
                </w:p>
              </w:tc>
              <w:tc>
                <w:tcPr>
                  <w:tcW w:w="2444" w:type="dxa"/>
                  <w:vMerge w:val="continue"/>
                  <w:shd w:val="clear" w:color="auto" w:fill="auto"/>
                  <w:vAlign w:val="center"/>
                </w:tcPr>
                <w:p>
                  <w:pPr>
                    <w:adjustRightInd w:val="0"/>
                    <w:snapToGrid w:val="0"/>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Merge w:val="continue"/>
                  <w:vAlign w:val="center"/>
                </w:tcPr>
                <w:p>
                  <w:pPr>
                    <w:adjustRightInd w:val="0"/>
                    <w:snapToGrid w:val="0"/>
                    <w:jc w:val="center"/>
                    <w:rPr>
                      <w:rFonts w:hint="default" w:ascii="Times New Roman" w:hAnsi="Times New Roman" w:cs="Times New Roman"/>
                      <w:szCs w:val="21"/>
                    </w:rPr>
                  </w:pPr>
                </w:p>
              </w:tc>
              <w:tc>
                <w:tcPr>
                  <w:tcW w:w="1921" w:type="dxa"/>
                  <w:vMerge w:val="continue"/>
                  <w:vAlign w:val="center"/>
                </w:tcPr>
                <w:p>
                  <w:pPr>
                    <w:adjustRightInd w:val="0"/>
                    <w:snapToGrid w:val="0"/>
                    <w:jc w:val="center"/>
                    <w:rPr>
                      <w:rFonts w:hint="default" w:ascii="Times New Roman" w:hAnsi="Times New Roman" w:cs="Times New Roman"/>
                      <w:szCs w:val="21"/>
                    </w:rPr>
                  </w:pPr>
                </w:p>
              </w:tc>
              <w:tc>
                <w:tcPr>
                  <w:tcW w:w="2393" w:type="dxa"/>
                  <w:shd w:val="clear" w:color="auto" w:fill="auto"/>
                  <w:vAlign w:val="center"/>
                </w:tcPr>
                <w:p>
                  <w:pPr>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空压机含油废水</w:t>
                  </w:r>
                </w:p>
              </w:tc>
              <w:tc>
                <w:tcPr>
                  <w:tcW w:w="718" w:type="dxa"/>
                  <w:shd w:val="clear" w:color="auto" w:fill="auto"/>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间断</w:t>
                  </w:r>
                </w:p>
              </w:tc>
              <w:tc>
                <w:tcPr>
                  <w:tcW w:w="2444" w:type="dxa"/>
                  <w:vMerge w:val="continue"/>
                  <w:shd w:val="clear" w:color="auto" w:fill="auto"/>
                  <w:vAlign w:val="center"/>
                </w:tcPr>
                <w:p>
                  <w:pPr>
                    <w:adjustRightInd w:val="0"/>
                    <w:snapToGrid w:val="0"/>
                    <w:jc w:val="center"/>
                    <w:rPr>
                      <w:rFonts w:hint="default"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829" w:type="dxa"/>
                  <w:vMerge w:val="continue"/>
                  <w:vAlign w:val="center"/>
                </w:tcPr>
                <w:p>
                  <w:pPr>
                    <w:adjustRightInd w:val="0"/>
                    <w:snapToGrid w:val="0"/>
                    <w:jc w:val="center"/>
                    <w:rPr>
                      <w:rFonts w:hint="default" w:ascii="Times New Roman" w:hAnsi="Times New Roman" w:cs="Times New Roman"/>
                      <w:szCs w:val="21"/>
                    </w:rPr>
                  </w:pPr>
                </w:p>
              </w:tc>
              <w:tc>
                <w:tcPr>
                  <w:tcW w:w="192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办公生活</w:t>
                  </w:r>
                </w:p>
              </w:tc>
              <w:tc>
                <w:tcPr>
                  <w:tcW w:w="239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生活垃圾</w:t>
                  </w:r>
                </w:p>
              </w:tc>
              <w:tc>
                <w:tcPr>
                  <w:tcW w:w="718"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间断</w:t>
                  </w:r>
                </w:p>
              </w:tc>
              <w:tc>
                <w:tcPr>
                  <w:tcW w:w="2444"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环卫清运</w:t>
                  </w:r>
                </w:p>
              </w:tc>
            </w:tr>
          </w:tbl>
          <w:p>
            <w:pPr>
              <w:pStyle w:val="13"/>
              <w:rPr>
                <w:rFonts w:hint="default"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6" w:type="dxa"/>
            <w:vAlign w:val="center"/>
          </w:tcPr>
          <w:p>
            <w:pPr>
              <w:pStyle w:val="26"/>
              <w:adjustRightInd w:val="0"/>
              <w:snapToGrid w:val="0"/>
              <w:spacing w:before="0" w:beforeAutospacing="0" w:after="0" w:afterAutospacing="0"/>
              <w:jc w:val="center"/>
              <w:rPr>
                <w:rFonts w:hint="default" w:ascii="Times New Roman" w:hAnsi="Times New Roman" w:cs="Times New Roman"/>
                <w:sz w:val="21"/>
                <w:szCs w:val="21"/>
              </w:rPr>
            </w:pPr>
            <w:r>
              <w:rPr>
                <w:rFonts w:hint="default" w:ascii="Times New Roman" w:hAnsi="Times New Roman" w:cs="Times New Roman"/>
                <w:b/>
                <w:bCs w:val="0"/>
                <w:kern w:val="2"/>
                <w:sz w:val="21"/>
                <w:szCs w:val="21"/>
              </w:rPr>
              <w:t>与项目有关的原有环境污染问题</w:t>
            </w:r>
          </w:p>
        </w:tc>
        <w:tc>
          <w:tcPr>
            <w:tcW w:w="8524" w:type="dxa"/>
          </w:tcPr>
          <w:p>
            <w:pPr>
              <w:pStyle w:val="15"/>
              <w:spacing w:line="360" w:lineRule="auto"/>
              <w:ind w:firstLine="420" w:firstLineChars="200"/>
              <w:rPr>
                <w:rFonts w:hint="default" w:ascii="Times New Roman" w:hAnsi="Times New Roman" w:eastAsia="宋体" w:cs="Times New Roman"/>
                <w:kern w:val="2"/>
                <w:sz w:val="21"/>
                <w:szCs w:val="24"/>
                <w:lang w:val="en-US" w:eastAsia="zh-CN" w:bidi="ar-SA"/>
              </w:rPr>
            </w:pPr>
          </w:p>
          <w:p>
            <w:pPr>
              <w:pStyle w:val="15"/>
              <w:spacing w:line="360" w:lineRule="auto"/>
              <w:ind w:firstLine="480" w:firstLineChars="200"/>
              <w:rPr>
                <w:rFonts w:hint="default" w:ascii="Times New Roman" w:hAnsi="Times New Roman" w:eastAsia="宋体" w:cs="Times New Roman"/>
                <w:kern w:val="2"/>
                <w:sz w:val="24"/>
                <w:szCs w:val="32"/>
                <w:lang w:val="en-US" w:eastAsia="zh-CN" w:bidi="ar-SA"/>
              </w:rPr>
            </w:pPr>
            <w:r>
              <w:rPr>
                <w:rFonts w:hint="default" w:ascii="Times New Roman" w:hAnsi="Times New Roman" w:eastAsia="宋体" w:cs="Times New Roman"/>
                <w:kern w:val="2"/>
                <w:sz w:val="24"/>
                <w:szCs w:val="32"/>
                <w:lang w:val="en-US" w:eastAsia="zh-CN" w:bidi="ar-SA"/>
              </w:rPr>
              <w:t>本项目为新建</w:t>
            </w:r>
            <w:r>
              <w:rPr>
                <w:rFonts w:hint="default" w:ascii="Times New Roman" w:hAnsi="Times New Roman" w:cs="Times New Roman"/>
                <w:kern w:val="2"/>
                <w:sz w:val="24"/>
                <w:szCs w:val="32"/>
                <w:lang w:val="en-US" w:eastAsia="zh-CN" w:bidi="ar-SA"/>
              </w:rPr>
              <w:t>（迁建）</w:t>
            </w:r>
            <w:r>
              <w:rPr>
                <w:rFonts w:hint="default" w:ascii="Times New Roman" w:hAnsi="Times New Roman" w:eastAsia="宋体" w:cs="Times New Roman"/>
                <w:kern w:val="2"/>
                <w:sz w:val="24"/>
                <w:szCs w:val="32"/>
                <w:lang w:val="en-US" w:eastAsia="zh-CN" w:bidi="ar-SA"/>
              </w:rPr>
              <w:t xml:space="preserve">项目，租赁如皋市大生线路器材有限公司位于如皋市城北街道陆桥村9组闲置厂房进行生产，租赁前厂房处于空置状态，地面硬化良好无破损。因此，无原有污染问题。 </w:t>
            </w:r>
          </w:p>
          <w:p>
            <w:pPr>
              <w:adjustRightInd w:val="0"/>
              <w:snapToGrid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厂区内基础设施、消防安全设施齐全，</w:t>
            </w:r>
            <w:r>
              <w:rPr>
                <w:rFonts w:hint="default" w:ascii="Times New Roman" w:hAnsi="Times New Roman" w:cs="Times New Roman"/>
                <w:sz w:val="24"/>
                <w:szCs w:val="32"/>
                <w:lang w:val="en-US" w:eastAsia="zh-CN"/>
              </w:rPr>
              <w:t>租赁方</w:t>
            </w:r>
            <w:r>
              <w:rPr>
                <w:rFonts w:hint="default" w:ascii="Times New Roman" w:hAnsi="Times New Roman" w:cs="Times New Roman"/>
                <w:sz w:val="24"/>
                <w:szCs w:val="32"/>
              </w:rPr>
              <w:t>排水管网建设完善，实施雨污分流，达标排放</w:t>
            </w:r>
            <w:r>
              <w:rPr>
                <w:rFonts w:hint="default" w:ascii="Times New Roman" w:hAnsi="Times New Roman" w:cs="Times New Roman"/>
                <w:sz w:val="24"/>
                <w:szCs w:val="32"/>
                <w:lang w:eastAsia="zh-CN"/>
              </w:rPr>
              <w:t>，</w:t>
            </w:r>
            <w:r>
              <w:rPr>
                <w:rFonts w:hint="default" w:ascii="Times New Roman" w:hAnsi="Times New Roman" w:eastAsia="宋体" w:cs="Times New Roman"/>
                <w:kern w:val="2"/>
                <w:sz w:val="24"/>
                <w:szCs w:val="32"/>
                <w:lang w:val="en-US" w:eastAsia="zh-CN" w:bidi="ar-SA"/>
              </w:rPr>
              <w:t>本项目雨污分流管网及雨污水排口依托租赁方，化粪池依托租赁方，</w:t>
            </w:r>
            <w:r>
              <w:rPr>
                <w:rFonts w:hint="default" w:ascii="Times New Roman" w:hAnsi="Times New Roman" w:cs="Times New Roman"/>
                <w:kern w:val="2"/>
                <w:sz w:val="24"/>
                <w:szCs w:val="32"/>
                <w:lang w:val="en-US" w:eastAsia="zh-CN" w:bidi="ar-SA"/>
              </w:rPr>
              <w:t>应急事故池依托租赁方，</w:t>
            </w:r>
            <w:r>
              <w:rPr>
                <w:rFonts w:hint="default" w:ascii="Times New Roman" w:hAnsi="Times New Roman" w:eastAsia="宋体" w:cs="Times New Roman"/>
                <w:kern w:val="2"/>
                <w:sz w:val="24"/>
                <w:szCs w:val="32"/>
                <w:lang w:val="en-US" w:eastAsia="zh-CN" w:bidi="ar-SA"/>
              </w:rPr>
              <w:t>相关环保责任由出租方承担，无其他共用的环保设施</w:t>
            </w:r>
            <w:r>
              <w:rPr>
                <w:rFonts w:hint="default" w:ascii="Times New Roman" w:hAnsi="Times New Roman" w:cs="Times New Roman"/>
                <w:sz w:val="24"/>
                <w:szCs w:val="32"/>
              </w:rPr>
              <w:t>。</w:t>
            </w:r>
          </w:p>
          <w:p>
            <w:pPr>
              <w:tabs>
                <w:tab w:val="left" w:pos="840"/>
              </w:tabs>
              <w:snapToGrid w:val="0"/>
              <w:spacing w:line="360" w:lineRule="auto"/>
              <w:ind w:firstLine="42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1、现有项目履行环保手续概况</w:t>
            </w:r>
          </w:p>
          <w:p>
            <w:pPr>
              <w:pStyle w:val="15"/>
              <w:numPr>
                <w:ilvl w:val="0"/>
                <w:numId w:val="0"/>
              </w:num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南通市煜诚新材料有限公司成立于2019年8月23日，位于如皋市城北街道镇南居14组，主要从事纳米材料、隔热材料的技术研究</w:t>
            </w:r>
            <w:r>
              <w:rPr>
                <w:rFonts w:hint="default" w:ascii="Times New Roman" w:hAnsi="Times New Roman" w:cs="Times New Roman"/>
                <w:kern w:val="2"/>
                <w:sz w:val="24"/>
                <w:szCs w:val="24"/>
                <w:lang w:val="en-US" w:eastAsia="zh-CN" w:bidi="ar-SA"/>
              </w:rPr>
              <w:t>和生产</w:t>
            </w:r>
            <w:r>
              <w:rPr>
                <w:rFonts w:hint="default" w:ascii="Times New Roman" w:hAnsi="Times New Roman" w:eastAsia="宋体" w:cs="Times New Roman"/>
                <w:kern w:val="2"/>
                <w:sz w:val="24"/>
                <w:szCs w:val="24"/>
                <w:lang w:val="en-US" w:eastAsia="zh-CN" w:bidi="ar-SA"/>
              </w:rPr>
              <w:t>。租赁如皋市大生线路器材有限公司位于如皋市城北街道陆桥村9组现有空置厂房进行迁建</w:t>
            </w:r>
            <w:r>
              <w:rPr>
                <w:rFonts w:hint="eastAsia" w:ascii="Times New Roman" w:hAnsi="Times New Roman" w:cs="Times New Roman"/>
                <w:kern w:val="2"/>
                <w:sz w:val="24"/>
                <w:szCs w:val="24"/>
                <w:lang w:val="en-US" w:eastAsia="zh-CN" w:bidi="ar-SA"/>
              </w:rPr>
              <w:t>，迁建后与原厂址相距约4.1km，</w:t>
            </w:r>
            <w:r>
              <w:rPr>
                <w:rFonts w:hint="default" w:ascii="Times New Roman" w:hAnsi="Times New Roman" w:eastAsia="宋体" w:cs="Times New Roman"/>
                <w:sz w:val="24"/>
                <w:lang w:val="en-US" w:eastAsia="zh-CN"/>
              </w:rPr>
              <w:t>与热电厂距离</w:t>
            </w:r>
            <w:r>
              <w:rPr>
                <w:rFonts w:hint="eastAsia" w:ascii="Times New Roman" w:hAnsi="Times New Roman" w:eastAsia="宋体" w:cs="Times New Roman"/>
                <w:sz w:val="24"/>
                <w:lang w:val="en-US" w:eastAsia="zh-CN"/>
              </w:rPr>
              <w:t>仅</w:t>
            </w:r>
            <w:r>
              <w:rPr>
                <w:rFonts w:hint="default" w:ascii="Times New Roman" w:hAnsi="Times New Roman" w:eastAsia="宋体" w:cs="Times New Roman"/>
                <w:sz w:val="24"/>
                <w:lang w:val="en-US" w:eastAsia="zh-CN"/>
              </w:rPr>
              <w:t>2.3</w:t>
            </w:r>
            <w:r>
              <w:rPr>
                <w:rFonts w:hint="eastAsia" w:ascii="Times New Roman" w:hAnsi="Times New Roman" w:eastAsia="宋体" w:cs="Times New Roman"/>
                <w:sz w:val="24"/>
                <w:lang w:val="en-US" w:eastAsia="zh-CN"/>
              </w:rPr>
              <w:t>k</w:t>
            </w:r>
            <w:r>
              <w:rPr>
                <w:rFonts w:hint="default" w:ascii="Times New Roman" w:hAnsi="Times New Roman" w:eastAsia="宋体" w:cs="Times New Roman"/>
                <w:sz w:val="24"/>
                <w:lang w:val="en-US" w:eastAsia="zh-CN"/>
              </w:rPr>
              <w:t>m</w:t>
            </w:r>
            <w:r>
              <w:rPr>
                <w:rFonts w:hint="eastAsia" w:ascii="Times New Roman" w:hAnsi="Times New Roman" w:eastAsia="宋体" w:cs="Times New Roman"/>
                <w:sz w:val="24"/>
                <w:lang w:val="en-US" w:eastAsia="zh-CN"/>
              </w:rPr>
              <w:t>。</w:t>
            </w:r>
          </w:p>
          <w:p>
            <w:pPr>
              <w:pStyle w:val="15"/>
              <w:numPr>
                <w:ilvl w:val="0"/>
                <w:numId w:val="0"/>
              </w:numPr>
              <w:spacing w:line="360" w:lineRule="auto"/>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南通市煜诚新材料有限公司EPP汽车零部件、瑜伽及航模产品生产加工项目》于2019年11月8日取得如皋经济技术开发区行政审批局办公室批复（皋开行审环表复[2019]34号），该项目于2021年11月9日通过了自主验收；公司于2020年4月7日申请并取得了排污许可登记，登记编号为：91320682MA1YYFXW8D001X。</w:t>
            </w:r>
            <w:r>
              <w:rPr>
                <w:rFonts w:hint="default" w:ascii="Times New Roman" w:hAnsi="Times New Roman" w:cs="Times New Roman"/>
                <w:kern w:val="2"/>
                <w:sz w:val="24"/>
                <w:szCs w:val="24"/>
                <w:lang w:val="en-US" w:eastAsia="zh-CN" w:bidi="ar-SA"/>
              </w:rPr>
              <w:t>企业投产</w:t>
            </w:r>
            <w:r>
              <w:rPr>
                <w:rFonts w:hint="default" w:ascii="Times New Roman" w:hAnsi="Times New Roman" w:eastAsia="宋体" w:cs="Times New Roman"/>
                <w:kern w:val="2"/>
                <w:sz w:val="24"/>
                <w:szCs w:val="24"/>
                <w:lang w:val="en-US" w:eastAsia="zh-CN" w:bidi="ar-SA"/>
              </w:rPr>
              <w:t>至今无环境投诉</w:t>
            </w:r>
            <w:r>
              <w:rPr>
                <w:rFonts w:hint="eastAsia" w:ascii="Times New Roman" w:hAnsi="Times New Roman" w:cs="Times New Roman"/>
                <w:kern w:val="2"/>
                <w:sz w:val="24"/>
                <w:szCs w:val="24"/>
                <w:lang w:val="en-US" w:eastAsia="zh-CN" w:bidi="ar-SA"/>
              </w:rPr>
              <w:t>、信访</w:t>
            </w:r>
            <w:r>
              <w:rPr>
                <w:rFonts w:hint="default" w:ascii="Times New Roman" w:hAnsi="Times New Roman" w:eastAsia="宋体" w:cs="Times New Roman"/>
                <w:kern w:val="2"/>
                <w:sz w:val="24"/>
                <w:szCs w:val="24"/>
                <w:lang w:val="en-US" w:eastAsia="zh-CN" w:bidi="ar-SA"/>
              </w:rPr>
              <w:t>、违法或处罚记录</w:t>
            </w:r>
            <w:r>
              <w:rPr>
                <w:rFonts w:hint="eastAsia" w:ascii="Times New Roman" w:hAnsi="Times New Roman" w:cs="Times New Roman"/>
                <w:kern w:val="2"/>
                <w:sz w:val="24"/>
                <w:szCs w:val="24"/>
                <w:lang w:val="en-US" w:eastAsia="zh-CN" w:bidi="ar-SA"/>
              </w:rPr>
              <w:t>，未发生突发环境事件</w:t>
            </w:r>
            <w:r>
              <w:rPr>
                <w:rFonts w:hint="default" w:ascii="Times New Roman" w:hAnsi="Times New Roman" w:cs="Times New Roman"/>
                <w:kern w:val="2"/>
                <w:sz w:val="24"/>
                <w:szCs w:val="24"/>
                <w:lang w:val="en-US" w:eastAsia="zh-CN" w:bidi="ar-SA"/>
              </w:rPr>
              <w:t>。</w:t>
            </w:r>
          </w:p>
          <w:p>
            <w:pPr>
              <w:tabs>
                <w:tab w:val="left" w:pos="840"/>
              </w:tabs>
              <w:snapToGrid w:val="0"/>
              <w:spacing w:line="360" w:lineRule="auto"/>
              <w:ind w:firstLine="42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2、现有项目工程概况</w:t>
            </w:r>
          </w:p>
          <w:p>
            <w:pPr>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default" w:ascii="Times New Roman" w:hAnsi="Times New Roman" w:cs="Times New Roman"/>
                <w:b/>
                <w:bCs/>
                <w:color w:val="auto"/>
                <w:sz w:val="24"/>
                <w:szCs w:val="24"/>
                <w:lang w:val="en-US" w:eastAsia="zh-CN"/>
              </w:rPr>
              <w:t>8</w:t>
            </w:r>
            <w:r>
              <w:rPr>
                <w:rFonts w:hint="default" w:ascii="Times New Roman" w:hAnsi="Times New Roman" w:eastAsia="宋体" w:cs="Times New Roman"/>
                <w:b/>
                <w:bCs/>
                <w:color w:val="auto"/>
                <w:sz w:val="24"/>
                <w:szCs w:val="24"/>
              </w:rPr>
              <w:t>现有项目产品方案</w:t>
            </w:r>
          </w:p>
          <w:tbl>
            <w:tblPr>
              <w:tblStyle w:val="30"/>
              <w:tblW w:w="8303"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382"/>
              <w:gridCol w:w="1464"/>
              <w:gridCol w:w="759"/>
              <w:gridCol w:w="759"/>
              <w:gridCol w:w="759"/>
              <w:gridCol w:w="152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45" w:hRule="atLeast"/>
                <w:jc w:val="center"/>
              </w:trPr>
              <w:tc>
                <w:tcPr>
                  <w:tcW w:w="653" w:type="dxa"/>
                  <w:noWrap w:val="0"/>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382" w:type="dxa"/>
                  <w:noWrap w:val="0"/>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工程名称（车间、生产</w:t>
                  </w:r>
                </w:p>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装置或生产线）</w:t>
                  </w:r>
                </w:p>
              </w:tc>
              <w:tc>
                <w:tcPr>
                  <w:tcW w:w="1464" w:type="dxa"/>
                  <w:noWrap w:val="0"/>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产品名称</w:t>
                  </w:r>
                </w:p>
              </w:tc>
              <w:tc>
                <w:tcPr>
                  <w:tcW w:w="759" w:type="dxa"/>
                  <w:noWrap w:val="0"/>
                  <w:vAlign w:val="center"/>
                </w:tcPr>
                <w:p>
                  <w:pPr>
                    <w:adjustRightInd w:val="0"/>
                    <w:snapToGrid w:val="0"/>
                    <w:jc w:val="center"/>
                    <w:rPr>
                      <w:rFonts w:hint="default" w:ascii="Times New Roman" w:hAnsi="Times New Roman" w:eastAsia="宋体" w:cs="Times New Roman"/>
                      <w:b/>
                      <w:bCs/>
                      <w:color w:val="auto"/>
                      <w:sz w:val="21"/>
                      <w:szCs w:val="21"/>
                      <w:lang w:eastAsia="zh-CN"/>
                    </w:rPr>
                  </w:pPr>
                  <w:r>
                    <w:rPr>
                      <w:rFonts w:hint="default" w:ascii="Times New Roman" w:hAnsi="Times New Roman" w:cs="Times New Roman"/>
                      <w:b/>
                      <w:bCs/>
                      <w:color w:val="auto"/>
                      <w:sz w:val="21"/>
                      <w:szCs w:val="21"/>
                      <w:lang w:val="en-US" w:eastAsia="zh-CN"/>
                    </w:rPr>
                    <w:t>环评</w:t>
                  </w:r>
                </w:p>
              </w:tc>
              <w:tc>
                <w:tcPr>
                  <w:tcW w:w="759" w:type="dxa"/>
                  <w:noWrap w:val="0"/>
                  <w:vAlign w:val="center"/>
                </w:tcPr>
                <w:p>
                  <w:pPr>
                    <w:adjustRightInd w:val="0"/>
                    <w:snapToGrid w:val="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验收</w:t>
                  </w:r>
                </w:p>
              </w:tc>
              <w:tc>
                <w:tcPr>
                  <w:tcW w:w="759" w:type="dxa"/>
                  <w:noWrap w:val="0"/>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实际</w:t>
                  </w:r>
                </w:p>
              </w:tc>
              <w:tc>
                <w:tcPr>
                  <w:tcW w:w="1527" w:type="dxa"/>
                  <w:noWrap w:val="0"/>
                  <w:vAlign w:val="center"/>
                </w:tcPr>
                <w:p>
                  <w:pPr>
                    <w:adjustRightInd w:val="0"/>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年运行时数</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jc w:val="center"/>
              </w:trPr>
              <w:tc>
                <w:tcPr>
                  <w:tcW w:w="653" w:type="dxa"/>
                  <w:noWrap w:val="0"/>
                  <w:vAlign w:val="center"/>
                </w:tcPr>
                <w:p>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382"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EPP泡沫制品生产线</w:t>
                  </w:r>
                </w:p>
              </w:tc>
              <w:tc>
                <w:tcPr>
                  <w:tcW w:w="1464" w:type="dxa"/>
                  <w:shd w:val="clear" w:color="auto" w:fill="auto"/>
                  <w:noWrap w:val="0"/>
                  <w:vAlign w:val="center"/>
                </w:tcPr>
                <w:p>
                  <w:pPr>
                    <w:pStyle w:val="66"/>
                    <w:spacing w:line="240" w:lineRule="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EPP泡沫制品</w:t>
                  </w:r>
                </w:p>
              </w:tc>
              <w:tc>
                <w:tcPr>
                  <w:tcW w:w="759" w:type="dxa"/>
                  <w:shd w:val="clear" w:color="auto" w:fill="auto"/>
                  <w:noWrap w:val="0"/>
                  <w:vAlign w:val="center"/>
                </w:tcPr>
                <w:p>
                  <w:pPr>
                    <w:pStyle w:val="70"/>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200t/a</w:t>
                  </w:r>
                </w:p>
              </w:tc>
              <w:tc>
                <w:tcPr>
                  <w:tcW w:w="759" w:type="dxa"/>
                  <w:noWrap w:val="0"/>
                  <w:vAlign w:val="center"/>
                </w:tcPr>
                <w:p>
                  <w:pPr>
                    <w:pStyle w:val="70"/>
                    <w:spacing w:line="240" w:lineRule="auto"/>
                    <w:ind w:firstLine="0" w:firstLineChars="0"/>
                    <w:jc w:val="center"/>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200t/a</w:t>
                  </w:r>
                </w:p>
              </w:tc>
              <w:tc>
                <w:tcPr>
                  <w:tcW w:w="759"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Cs w:val="21"/>
                      <w:lang w:val="en-US" w:eastAsia="zh-CN"/>
                    </w:rPr>
                    <w:t>200t/a</w:t>
                  </w:r>
                </w:p>
              </w:tc>
              <w:tc>
                <w:tcPr>
                  <w:tcW w:w="1527"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300*24=7200h</w:t>
                  </w:r>
                </w:p>
              </w:tc>
            </w:tr>
          </w:tbl>
          <w:p>
            <w:pPr>
              <w:adjustRightInd w:val="0"/>
              <w:snapToGrid w:val="0"/>
              <w:jc w:val="center"/>
              <w:rPr>
                <w:rFonts w:hint="default" w:ascii="Times New Roman" w:hAnsi="Times New Roman" w:eastAsia="宋体" w:cs="Times New Roman"/>
                <w:b/>
                <w:bCs/>
                <w:color w:val="auto"/>
                <w:sz w:val="21"/>
                <w:szCs w:val="21"/>
              </w:rPr>
            </w:pPr>
          </w:p>
          <w:p>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default" w:ascii="Times New Roman" w:hAnsi="Times New Roman" w:cs="Times New Roman"/>
                <w:b/>
                <w:bCs/>
                <w:color w:val="auto"/>
                <w:sz w:val="24"/>
                <w:szCs w:val="24"/>
                <w:lang w:val="en-US" w:eastAsia="zh-CN"/>
              </w:rPr>
              <w:t>9</w:t>
            </w:r>
            <w:r>
              <w:rPr>
                <w:rFonts w:hint="default" w:ascii="Times New Roman" w:hAnsi="Times New Roman" w:eastAsia="宋体" w:cs="Times New Roman"/>
                <w:b/>
                <w:bCs/>
                <w:color w:val="auto"/>
                <w:sz w:val="24"/>
                <w:szCs w:val="24"/>
              </w:rPr>
              <w:t>现有项目主要原辅材料消耗表</w:t>
            </w:r>
          </w:p>
          <w:tbl>
            <w:tblPr>
              <w:tblStyle w:val="30"/>
              <w:tblW w:w="830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17"/>
              <w:gridCol w:w="781"/>
              <w:gridCol w:w="781"/>
              <w:gridCol w:w="783"/>
              <w:gridCol w:w="671"/>
              <w:gridCol w:w="894"/>
              <w:gridCol w:w="1335"/>
              <w:gridCol w:w="6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670" w:type="dxa"/>
                  <w:vMerge w:val="restart"/>
                  <w:noWrap w:val="0"/>
                  <w:vAlign w:val="center"/>
                </w:tcPr>
                <w:p>
                  <w:pPr>
                    <w:pStyle w:val="67"/>
                    <w:ind w:left="0" w:leftChars="0" w:firstLine="0" w:firstLineChars="0"/>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序号</w:t>
                  </w:r>
                </w:p>
              </w:tc>
              <w:tc>
                <w:tcPr>
                  <w:tcW w:w="1717" w:type="dxa"/>
                  <w:vMerge w:val="restart"/>
                  <w:noWrap w:val="0"/>
                  <w:vAlign w:val="center"/>
                </w:tcPr>
                <w:p>
                  <w:pPr>
                    <w:pStyle w:val="67"/>
                    <w:jc w:val="both"/>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名称</w:t>
                  </w:r>
                </w:p>
              </w:tc>
              <w:tc>
                <w:tcPr>
                  <w:tcW w:w="2345" w:type="dxa"/>
                  <w:gridSpan w:val="3"/>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年耗量</w:t>
                  </w:r>
                </w:p>
              </w:tc>
              <w:tc>
                <w:tcPr>
                  <w:tcW w:w="671"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规格</w:t>
                  </w:r>
                </w:p>
              </w:tc>
              <w:tc>
                <w:tcPr>
                  <w:tcW w:w="894"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最大存</w:t>
                  </w:r>
                </w:p>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储量</w:t>
                  </w:r>
                </w:p>
              </w:tc>
              <w:tc>
                <w:tcPr>
                  <w:tcW w:w="1335"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运输方式</w:t>
                  </w:r>
                </w:p>
              </w:tc>
              <w:tc>
                <w:tcPr>
                  <w:tcW w:w="671"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670" w:type="dxa"/>
                  <w:vMerge w:val="continue"/>
                  <w:noWrap w:val="0"/>
                  <w:vAlign w:val="center"/>
                </w:tcPr>
                <w:p>
                  <w:pPr>
                    <w:jc w:val="center"/>
                    <w:rPr>
                      <w:rFonts w:hint="default" w:ascii="Times New Roman" w:hAnsi="Times New Roman" w:cs="Times New Roman"/>
                    </w:rPr>
                  </w:pPr>
                </w:p>
              </w:tc>
              <w:tc>
                <w:tcPr>
                  <w:tcW w:w="1717" w:type="dxa"/>
                  <w:vMerge w:val="continue"/>
                  <w:noWrap w:val="0"/>
                  <w:vAlign w:val="center"/>
                </w:tcPr>
                <w:p>
                  <w:pPr>
                    <w:jc w:val="center"/>
                    <w:rPr>
                      <w:rFonts w:hint="default" w:ascii="Times New Roman" w:hAnsi="Times New Roman" w:cs="Times New Roman"/>
                    </w:rPr>
                  </w:pPr>
                </w:p>
              </w:tc>
              <w:tc>
                <w:tcPr>
                  <w:tcW w:w="781" w:type="dxa"/>
                  <w:shd w:val="clear" w:color="auto" w:fill="auto"/>
                  <w:noWrap w:val="0"/>
                  <w:vAlign w:val="center"/>
                </w:tcPr>
                <w:p>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lang w:val="en-US" w:eastAsia="zh-CN"/>
                    </w:rPr>
                    <w:t>环评</w:t>
                  </w:r>
                </w:p>
              </w:tc>
              <w:tc>
                <w:tcPr>
                  <w:tcW w:w="781" w:type="dxa"/>
                  <w:shd w:val="clear" w:color="auto" w:fill="auto"/>
                  <w:noWrap w:val="0"/>
                  <w:vAlign w:val="center"/>
                </w:tcPr>
                <w:p>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lang w:val="en-US" w:eastAsia="zh-CN"/>
                    </w:rPr>
                    <w:t>验收</w:t>
                  </w:r>
                </w:p>
              </w:tc>
              <w:tc>
                <w:tcPr>
                  <w:tcW w:w="783" w:type="dxa"/>
                  <w:shd w:val="clear" w:color="auto" w:fill="auto"/>
                  <w:noWrap w:val="0"/>
                  <w:vAlign w:val="center"/>
                </w:tcPr>
                <w:p>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实际</w:t>
                  </w:r>
                </w:p>
              </w:tc>
              <w:tc>
                <w:tcPr>
                  <w:tcW w:w="671"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894"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1335" w:type="dxa"/>
                  <w:vMerge w:val="continue"/>
                  <w:noWrap w:val="0"/>
                  <w:vAlign w:val="center"/>
                </w:tcPr>
                <w:p>
                  <w:pPr>
                    <w:jc w:val="center"/>
                    <w:rPr>
                      <w:rFonts w:hint="default" w:ascii="Times New Roman" w:hAnsi="Times New Roman" w:eastAsia="宋体" w:cs="Times New Roman"/>
                      <w:b/>
                      <w:bCs/>
                      <w:color w:val="auto"/>
                      <w:sz w:val="21"/>
                      <w:szCs w:val="21"/>
                    </w:rPr>
                  </w:pPr>
                </w:p>
              </w:tc>
              <w:tc>
                <w:tcPr>
                  <w:tcW w:w="671" w:type="dxa"/>
                  <w:vMerge w:val="continue"/>
                  <w:noWrap w:val="0"/>
                  <w:vAlign w:val="center"/>
                </w:tcPr>
                <w:p>
                  <w:pPr>
                    <w:jc w:val="center"/>
                    <w:rPr>
                      <w:rFonts w:hint="default" w:ascii="Times New Roman" w:hAnsi="Times New Roman" w:eastAsia="宋体" w:cs="Times New Roman"/>
                      <w:b/>
                      <w:bCs/>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70" w:type="dxa"/>
                  <w:noWrap w:val="0"/>
                  <w:vAlign w:val="center"/>
                </w:tcPr>
                <w:p>
                  <w:pPr>
                    <w:pStyle w:val="8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717" w:type="dxa"/>
                  <w:shd w:val="clear" w:color="auto" w:fill="auto"/>
                  <w:noWrap w:val="0"/>
                  <w:vAlign w:val="center"/>
                </w:tcPr>
                <w:p>
                  <w:pPr>
                    <w:pStyle w:val="66"/>
                    <w:keepNext w:val="0"/>
                    <w:keepLines w:val="0"/>
                    <w:pageBreakBefore w:val="0"/>
                    <w:widowControl w:val="0"/>
                    <w:kinsoku/>
                    <w:wordWrap/>
                    <w:overflowPunct/>
                    <w:topLinePunct w:val="0"/>
                    <w:autoSpaceDE/>
                    <w:autoSpaceDN/>
                    <w:bidi w:val="0"/>
                    <w:spacing w:line="320" w:lineRule="exact"/>
                    <w:ind w:firstLine="0" w:firstLineChars="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EPP（已发泡）</w:t>
                  </w:r>
                </w:p>
              </w:tc>
              <w:tc>
                <w:tcPr>
                  <w:tcW w:w="78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200</w:t>
                  </w:r>
                  <w:r>
                    <w:rPr>
                      <w:rFonts w:hint="default" w:ascii="Times New Roman" w:hAnsi="Times New Roman" w:eastAsia="宋体" w:cs="Times New Roman"/>
                      <w:color w:val="auto"/>
                      <w:sz w:val="21"/>
                      <w:szCs w:val="21"/>
                    </w:rPr>
                    <w:t>t/a</w:t>
                  </w:r>
                </w:p>
              </w:tc>
              <w:tc>
                <w:tcPr>
                  <w:tcW w:w="781"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r>
                    <w:rPr>
                      <w:rFonts w:hint="default" w:ascii="Times New Roman" w:hAnsi="Times New Roman" w:eastAsia="宋体" w:cs="Times New Roman"/>
                      <w:color w:val="auto"/>
                      <w:sz w:val="21"/>
                      <w:szCs w:val="21"/>
                    </w:rPr>
                    <w:t>t/a</w:t>
                  </w:r>
                </w:p>
              </w:tc>
              <w:tc>
                <w:tcPr>
                  <w:tcW w:w="783"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200</w:t>
                  </w:r>
                  <w:r>
                    <w:rPr>
                      <w:rFonts w:hint="default" w:ascii="Times New Roman" w:hAnsi="Times New Roman" w:eastAsia="宋体" w:cs="Times New Roman"/>
                      <w:color w:val="auto"/>
                      <w:sz w:val="21"/>
                      <w:szCs w:val="21"/>
                    </w:rPr>
                    <w:t>t/a</w:t>
                  </w:r>
                </w:p>
              </w:tc>
              <w:tc>
                <w:tcPr>
                  <w:tcW w:w="6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散装</w:t>
                  </w:r>
                </w:p>
              </w:tc>
              <w:tc>
                <w:tcPr>
                  <w:tcW w:w="894"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0t</w:t>
                  </w:r>
                </w:p>
              </w:tc>
              <w:tc>
                <w:tcPr>
                  <w:tcW w:w="1335"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外购、陆运</w:t>
                  </w:r>
                </w:p>
              </w:tc>
              <w:tc>
                <w:tcPr>
                  <w:tcW w:w="671"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仓库</w:t>
                  </w:r>
                </w:p>
              </w:tc>
            </w:tr>
          </w:tbl>
          <w:p>
            <w:pPr>
              <w:jc w:val="center"/>
              <w:rPr>
                <w:rFonts w:hint="default" w:ascii="Times New Roman" w:hAnsi="Times New Roman" w:eastAsia="宋体" w:cs="Times New Roman"/>
                <w:b/>
                <w:bCs/>
                <w:color w:val="auto"/>
                <w:sz w:val="24"/>
                <w:szCs w:val="24"/>
              </w:rPr>
            </w:pPr>
          </w:p>
          <w:p>
            <w:pPr>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w:t>
            </w:r>
            <w:r>
              <w:rPr>
                <w:rFonts w:hint="default" w:ascii="Times New Roman" w:hAnsi="Times New Roman" w:cs="Times New Roman"/>
                <w:b/>
                <w:bCs/>
                <w:color w:val="auto"/>
                <w:sz w:val="24"/>
                <w:szCs w:val="24"/>
                <w:lang w:val="en-US" w:eastAsia="zh-CN"/>
              </w:rPr>
              <w:t>10</w:t>
            </w:r>
            <w:r>
              <w:rPr>
                <w:rFonts w:hint="default" w:ascii="Times New Roman" w:hAnsi="Times New Roman" w:eastAsia="宋体" w:cs="Times New Roman"/>
                <w:b/>
                <w:bCs/>
                <w:color w:val="auto"/>
                <w:sz w:val="24"/>
                <w:szCs w:val="24"/>
              </w:rPr>
              <w:t>现有项目主要设备一览表</w:t>
            </w:r>
          </w:p>
          <w:tbl>
            <w:tblPr>
              <w:tblStyle w:val="30"/>
              <w:tblW w:w="8305"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016"/>
              <w:gridCol w:w="2019"/>
              <w:gridCol w:w="2216"/>
              <w:gridCol w:w="1017"/>
              <w:gridCol w:w="1017"/>
              <w:gridCol w:w="1020"/>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1016" w:type="dxa"/>
                  <w:vMerge w:val="restart"/>
                  <w:noWrap w:val="0"/>
                  <w:vAlign w:val="center"/>
                </w:tcPr>
                <w:p>
                  <w:pPr>
                    <w:pStyle w:val="15"/>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序号</w:t>
                  </w:r>
                </w:p>
              </w:tc>
              <w:tc>
                <w:tcPr>
                  <w:tcW w:w="2019"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名称</w:t>
                  </w:r>
                </w:p>
              </w:tc>
              <w:tc>
                <w:tcPr>
                  <w:tcW w:w="2216" w:type="dxa"/>
                  <w:vMerge w:val="restart"/>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型号</w:t>
                  </w:r>
                </w:p>
              </w:tc>
              <w:tc>
                <w:tcPr>
                  <w:tcW w:w="3054" w:type="dxa"/>
                  <w:gridSpan w:val="3"/>
                  <w:noWrap w:val="0"/>
                  <w:vAlign w:val="center"/>
                </w:tcPr>
                <w:p>
                  <w:pPr>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数量</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1016" w:type="dxa"/>
                  <w:vMerge w:val="continue"/>
                  <w:noWrap w:val="0"/>
                  <w:vAlign w:val="center"/>
                </w:tcPr>
                <w:p>
                  <w:pPr>
                    <w:jc w:val="center"/>
                    <w:rPr>
                      <w:rFonts w:hint="default" w:ascii="Times New Roman" w:hAnsi="Times New Roman" w:cs="Times New Roman"/>
                    </w:rPr>
                  </w:pPr>
                </w:p>
              </w:tc>
              <w:tc>
                <w:tcPr>
                  <w:tcW w:w="2019" w:type="dxa"/>
                  <w:vMerge w:val="continue"/>
                  <w:noWrap w:val="0"/>
                  <w:vAlign w:val="center"/>
                </w:tcPr>
                <w:p>
                  <w:pPr>
                    <w:jc w:val="center"/>
                    <w:rPr>
                      <w:rFonts w:hint="default" w:ascii="Times New Roman" w:hAnsi="Times New Roman" w:cs="Times New Roman"/>
                    </w:rPr>
                  </w:pPr>
                </w:p>
              </w:tc>
              <w:tc>
                <w:tcPr>
                  <w:tcW w:w="2216" w:type="dxa"/>
                  <w:vMerge w:val="continue"/>
                  <w:noWrap w:val="0"/>
                  <w:vAlign w:val="center"/>
                </w:tcPr>
                <w:p>
                  <w:pPr>
                    <w:jc w:val="center"/>
                    <w:rPr>
                      <w:rFonts w:hint="default" w:ascii="Times New Roman" w:hAnsi="Times New Roman" w:cs="Times New Roman"/>
                    </w:rPr>
                  </w:pPr>
                </w:p>
              </w:tc>
              <w:tc>
                <w:tcPr>
                  <w:tcW w:w="1017" w:type="dxa"/>
                  <w:shd w:val="clear" w:color="auto" w:fill="auto"/>
                  <w:noWrap w:val="0"/>
                  <w:vAlign w:val="center"/>
                </w:tcPr>
                <w:p>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lang w:val="en-US" w:eastAsia="zh-CN"/>
                    </w:rPr>
                    <w:t>环评</w:t>
                  </w:r>
                </w:p>
              </w:tc>
              <w:tc>
                <w:tcPr>
                  <w:tcW w:w="1017" w:type="dxa"/>
                  <w:shd w:val="clear" w:color="auto" w:fill="auto"/>
                  <w:noWrap w:val="0"/>
                  <w:vAlign w:val="center"/>
                </w:tcPr>
                <w:p>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cs="Times New Roman"/>
                      <w:b/>
                      <w:bCs/>
                      <w:color w:val="auto"/>
                      <w:sz w:val="21"/>
                      <w:szCs w:val="21"/>
                      <w:lang w:val="en-US" w:eastAsia="zh-CN"/>
                    </w:rPr>
                    <w:t>验收</w:t>
                  </w:r>
                </w:p>
              </w:tc>
              <w:tc>
                <w:tcPr>
                  <w:tcW w:w="1020" w:type="dxa"/>
                  <w:shd w:val="clear" w:color="auto" w:fill="auto"/>
                  <w:noWrap w:val="0"/>
                  <w:vAlign w:val="center"/>
                </w:tcPr>
                <w:p>
                  <w:pPr>
                    <w:adjustRightInd w:val="0"/>
                    <w:snapToGrid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sz w:val="21"/>
                      <w:szCs w:val="21"/>
                    </w:rPr>
                    <w:t>实际</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预压罐</w:t>
                  </w:r>
                </w:p>
              </w:tc>
              <w:tc>
                <w:tcPr>
                  <w:tcW w:w="2216"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20m</w:t>
                  </w:r>
                  <w:r>
                    <w:rPr>
                      <w:rFonts w:hint="default" w:ascii="Times New Roman" w:hAnsi="Times New Roman" w:eastAsia="宋体" w:cs="Times New Roman"/>
                      <w:color w:val="auto"/>
                      <w:sz w:val="21"/>
                      <w:szCs w:val="21"/>
                      <w:vertAlign w:val="superscript"/>
                      <w:lang w:val="en-US" w:eastAsia="zh-CN"/>
                    </w:rPr>
                    <w:t>3</w:t>
                  </w:r>
                </w:p>
              </w:tc>
              <w:tc>
                <w:tcPr>
                  <w:tcW w:w="1017"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w:t>
                  </w:r>
                </w:p>
              </w:tc>
              <w:tc>
                <w:tcPr>
                  <w:tcW w:w="1017"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1020"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空压机</w:t>
                  </w:r>
                </w:p>
              </w:tc>
              <w:tc>
                <w:tcPr>
                  <w:tcW w:w="2216"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55kw</w:t>
                  </w:r>
                </w:p>
              </w:tc>
              <w:tc>
                <w:tcPr>
                  <w:tcW w:w="1017"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w:t>
                  </w:r>
                </w:p>
              </w:tc>
              <w:tc>
                <w:tcPr>
                  <w:tcW w:w="1017"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020"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成型机</w:t>
                  </w:r>
                </w:p>
              </w:tc>
              <w:tc>
                <w:tcPr>
                  <w:tcW w:w="22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PSPP1214</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2019"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成型机</w:t>
                  </w:r>
                </w:p>
              </w:tc>
              <w:tc>
                <w:tcPr>
                  <w:tcW w:w="22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PSPP1318</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冷却塔</w:t>
                  </w:r>
                </w:p>
              </w:tc>
              <w:tc>
                <w:tcPr>
                  <w:tcW w:w="2216"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50t</w:t>
                  </w:r>
                  <w:r>
                    <w:rPr>
                      <w:rFonts w:hint="default" w:ascii="Times New Roman" w:hAnsi="Times New Roman"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2.5t/h</w:t>
                  </w:r>
                  <w:r>
                    <w:rPr>
                      <w:rFonts w:hint="default" w:ascii="Times New Roman" w:hAnsi="Times New Roman" w:cs="Times New Roman"/>
                      <w:color w:val="auto"/>
                      <w:sz w:val="21"/>
                      <w:szCs w:val="21"/>
                      <w:lang w:val="en-US" w:eastAsia="zh-CN"/>
                    </w:rPr>
                    <w:t>）</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烘干房</w:t>
                  </w:r>
                </w:p>
              </w:tc>
              <w:tc>
                <w:tcPr>
                  <w:tcW w:w="22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9*5*2.4</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2</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2</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2"/>
                      <w:sz w:val="21"/>
                      <w:szCs w:val="21"/>
                      <w:u w:val="none"/>
                      <w:lang w:val="en-US" w:eastAsia="zh-CN" w:bidi="ar-SA"/>
                    </w:rPr>
                    <w:t>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蒸汽储能罐</w:t>
                  </w:r>
                </w:p>
              </w:tc>
              <w:tc>
                <w:tcPr>
                  <w:tcW w:w="2216"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15m</w:t>
                  </w:r>
                  <w:r>
                    <w:rPr>
                      <w:rFonts w:hint="default" w:ascii="Times New Roman" w:hAnsi="Times New Roman" w:eastAsia="宋体" w:cs="Times New Roman"/>
                      <w:i w:val="0"/>
                      <w:iCs w:val="0"/>
                      <w:snapToGrid w:val="0"/>
                      <w:color w:val="000000"/>
                      <w:kern w:val="0"/>
                      <w:sz w:val="21"/>
                      <w:szCs w:val="21"/>
                      <w:u w:val="none"/>
                      <w:vertAlign w:val="superscript"/>
                      <w:lang w:val="en-US" w:eastAsia="zh-CN" w:bidi="ar"/>
                    </w:rPr>
                    <w:t>3</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行车</w:t>
                  </w:r>
                </w:p>
              </w:tc>
              <w:tc>
                <w:tcPr>
                  <w:tcW w:w="2216"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3t</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1</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23" w:hRule="atLeast"/>
                <w:jc w:val="center"/>
              </w:trPr>
              <w:tc>
                <w:tcPr>
                  <w:tcW w:w="1016" w:type="dxa"/>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w:t>
                  </w:r>
                </w:p>
              </w:tc>
              <w:tc>
                <w:tcPr>
                  <w:tcW w:w="2019"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PVC桶</w:t>
                  </w:r>
                </w:p>
              </w:tc>
              <w:tc>
                <w:tcPr>
                  <w:tcW w:w="2216" w:type="dxa"/>
                  <w:shd w:val="clear" w:color="auto" w:fill="auto"/>
                  <w:noWrap w:val="0"/>
                  <w:vAlign w:val="center"/>
                </w:tcPr>
                <w:p>
                  <w:pPr>
                    <w:spacing w:line="320" w:lineRule="exact"/>
                    <w:ind w:firstLine="0" w:firstLine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8m</w:t>
                  </w:r>
                  <w:r>
                    <w:rPr>
                      <w:rFonts w:hint="default" w:ascii="Times New Roman" w:hAnsi="Times New Roman" w:eastAsia="宋体" w:cs="Times New Roman"/>
                      <w:color w:val="auto"/>
                      <w:sz w:val="21"/>
                      <w:szCs w:val="21"/>
                      <w:vertAlign w:val="superscript"/>
                      <w:lang w:val="en-US" w:eastAsia="zh-CN"/>
                    </w:rPr>
                    <w:t>3</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1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c>
                <w:tcPr>
                  <w:tcW w:w="1020"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snapToGrid w:val="0"/>
                      <w:color w:val="000000"/>
                      <w:kern w:val="0"/>
                      <w:sz w:val="21"/>
                      <w:szCs w:val="21"/>
                      <w:u w:val="none"/>
                      <w:lang w:val="en-US" w:eastAsia="zh-CN" w:bidi="ar"/>
                    </w:rPr>
                    <w:t>2</w:t>
                  </w:r>
                </w:p>
              </w:tc>
            </w:tr>
          </w:tbl>
          <w:p>
            <w:pPr>
              <w:pStyle w:val="77"/>
              <w:snapToGrid w:val="0"/>
              <w:ind w:left="420" w:firstLine="0"/>
              <w:jc w:val="center"/>
              <w:rPr>
                <w:rFonts w:hint="default" w:ascii="Times New Roman" w:hAnsi="Times New Roman" w:eastAsia="宋体" w:cs="Times New Roman"/>
                <w:b/>
                <w:bCs/>
                <w:color w:val="auto"/>
                <w:sz w:val="24"/>
                <w:szCs w:val="24"/>
                <w:lang w:val="en-US" w:eastAsia="zh-CN"/>
              </w:rPr>
            </w:pPr>
          </w:p>
          <w:p>
            <w:pPr>
              <w:pStyle w:val="77"/>
              <w:snapToGrid w:val="0"/>
              <w:ind w:left="420" w:firstLine="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lang w:val="en-US" w:eastAsia="zh-CN"/>
              </w:rPr>
              <w:t>表2-1</w:t>
            </w:r>
            <w:r>
              <w:rPr>
                <w:rFonts w:hint="default" w:ascii="Times New Roman" w:hAnsi="Times New Roman" w:cs="Times New Roman"/>
                <w:b/>
                <w:bCs/>
                <w:color w:val="auto"/>
                <w:sz w:val="24"/>
                <w:szCs w:val="24"/>
                <w:lang w:val="en-US" w:eastAsia="zh-CN"/>
              </w:rPr>
              <w:t>1</w:t>
            </w:r>
            <w:r>
              <w:rPr>
                <w:rFonts w:hint="default" w:ascii="Times New Roman" w:hAnsi="Times New Roman" w:eastAsia="宋体" w:cs="Times New Roman"/>
                <w:b/>
                <w:bCs/>
                <w:color w:val="auto"/>
                <w:sz w:val="24"/>
                <w:szCs w:val="24"/>
                <w:lang w:val="en-US" w:eastAsia="zh-CN"/>
              </w:rPr>
              <w:t>现有项目公辅工程表</w:t>
            </w:r>
          </w:p>
          <w:tbl>
            <w:tblPr>
              <w:tblStyle w:val="30"/>
              <w:tblW w:w="830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690"/>
              <w:gridCol w:w="675"/>
              <w:gridCol w:w="931"/>
              <w:gridCol w:w="1698"/>
              <w:gridCol w:w="1225"/>
              <w:gridCol w:w="1142"/>
              <w:gridCol w:w="1947"/>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类别</w:t>
                  </w:r>
                </w:p>
              </w:tc>
              <w:tc>
                <w:tcPr>
                  <w:tcW w:w="1606" w:type="dxa"/>
                  <w:gridSpan w:val="2"/>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工程名称</w:t>
                  </w:r>
                </w:p>
              </w:tc>
              <w:tc>
                <w:tcPr>
                  <w:tcW w:w="1698" w:type="dxa"/>
                  <w:shd w:val="clear" w:color="auto" w:fill="auto"/>
                  <w:vAlign w:val="center"/>
                </w:tcPr>
                <w:p>
                  <w:pPr>
                    <w:snapToGrid w:val="0"/>
                    <w:spacing w:line="240" w:lineRule="auto"/>
                    <w:jc w:val="center"/>
                    <w:rPr>
                      <w:rFonts w:hint="default" w:ascii="Times New Roman" w:hAnsi="Times New Roman" w:eastAsia="宋体" w:cs="Times New Roman"/>
                      <w:b/>
                      <w:bCs/>
                      <w:szCs w:val="21"/>
                      <w:lang w:val="en-US" w:eastAsia="zh-CN"/>
                    </w:rPr>
                  </w:pPr>
                  <w:r>
                    <w:rPr>
                      <w:rFonts w:hint="default" w:ascii="Times New Roman" w:hAnsi="Times New Roman" w:cs="Times New Roman"/>
                      <w:b/>
                      <w:bCs/>
                      <w:szCs w:val="21"/>
                      <w:lang w:val="en-US" w:eastAsia="zh-CN"/>
                    </w:rPr>
                    <w:t>环评及批复</w:t>
                  </w:r>
                </w:p>
              </w:tc>
              <w:tc>
                <w:tcPr>
                  <w:tcW w:w="1225" w:type="dxa"/>
                  <w:vAlign w:val="center"/>
                </w:tcPr>
                <w:p>
                  <w:pPr>
                    <w:snapToGrid w:val="0"/>
                    <w:spacing w:line="240" w:lineRule="auto"/>
                    <w:jc w:val="center"/>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验收</w:t>
                  </w:r>
                </w:p>
              </w:tc>
              <w:tc>
                <w:tcPr>
                  <w:tcW w:w="1142" w:type="dxa"/>
                  <w:vAlign w:val="center"/>
                </w:tcPr>
                <w:p>
                  <w:pPr>
                    <w:snapToGrid w:val="0"/>
                    <w:spacing w:line="240" w:lineRule="auto"/>
                    <w:jc w:val="center"/>
                    <w:rPr>
                      <w:rFonts w:hint="default" w:ascii="Times New Roman" w:hAnsi="Times New Roman" w:cs="Times New Roman"/>
                      <w:b/>
                      <w:bCs/>
                      <w:szCs w:val="21"/>
                      <w:lang w:val="en-US" w:eastAsia="zh-CN"/>
                    </w:rPr>
                  </w:pPr>
                  <w:r>
                    <w:rPr>
                      <w:rFonts w:hint="default" w:ascii="Times New Roman" w:hAnsi="Times New Roman" w:cs="Times New Roman"/>
                      <w:b/>
                      <w:bCs/>
                      <w:szCs w:val="21"/>
                      <w:lang w:val="en-US" w:eastAsia="zh-CN"/>
                    </w:rPr>
                    <w:t>实际建设</w:t>
                  </w:r>
                </w:p>
              </w:tc>
              <w:tc>
                <w:tcPr>
                  <w:tcW w:w="1947" w:type="dxa"/>
                  <w:vAlign w:val="center"/>
                </w:tcPr>
                <w:p>
                  <w:pPr>
                    <w:snapToGrid w:val="0"/>
                    <w:spacing w:line="240" w:lineRule="auto"/>
                    <w:jc w:val="center"/>
                    <w:rPr>
                      <w:rFonts w:hint="default" w:ascii="Times New Roman" w:hAnsi="Times New Roman" w:cs="Times New Roman"/>
                      <w:b/>
                      <w:bCs/>
                      <w:szCs w:val="21"/>
                    </w:rPr>
                  </w:pPr>
                  <w:r>
                    <w:rPr>
                      <w:rFonts w:hint="default" w:ascii="Times New Roman" w:hAnsi="Times New Roman" w:cs="Times New Roman"/>
                      <w:b/>
                      <w:bCs/>
                      <w:szCs w:val="21"/>
                    </w:rPr>
                    <w:t>备注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restart"/>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主体工程</w:t>
                  </w: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eastAsia="zh-CN"/>
                    </w:rPr>
                    <w:t>生产</w:t>
                  </w:r>
                  <w:r>
                    <w:rPr>
                      <w:rFonts w:hint="default" w:ascii="Times New Roman" w:hAnsi="Times New Roman" w:cs="Times New Roman"/>
                      <w:sz w:val="21"/>
                      <w:szCs w:val="21"/>
                    </w:rPr>
                    <w:t>车间</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1340m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1340m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1340m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办公区</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贮运工程</w:t>
                  </w: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原料区</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48m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48m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48m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成品区</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75m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75m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75m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模具组装区</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25m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25m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25m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模具堆放区</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25m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25m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25m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公用工程</w:t>
                  </w: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给水系统</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500</w:t>
                  </w:r>
                  <w:r>
                    <w:rPr>
                      <w:rFonts w:hint="default" w:ascii="Times New Roman" w:hAnsi="Times New Roman" w:eastAsia="宋体" w:cs="Times New Roman"/>
                      <w:sz w:val="21"/>
                      <w:szCs w:val="21"/>
                      <w:lang w:val="en-US" w:eastAsia="zh-CN"/>
                    </w:rPr>
                    <w:t>t/a</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500</w:t>
                  </w:r>
                  <w:r>
                    <w:rPr>
                      <w:rFonts w:hint="default" w:ascii="Times New Roman" w:hAnsi="Times New Roman" w:eastAsia="宋体" w:cs="Times New Roman"/>
                      <w:sz w:val="21"/>
                      <w:szCs w:val="21"/>
                      <w:lang w:val="en-US" w:eastAsia="zh-CN"/>
                    </w:rPr>
                    <w:t>t/a</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500</w:t>
                  </w:r>
                  <w:r>
                    <w:rPr>
                      <w:rFonts w:hint="default" w:ascii="Times New Roman" w:hAnsi="Times New Roman" w:eastAsia="宋体" w:cs="Times New Roman"/>
                      <w:sz w:val="21"/>
                      <w:szCs w:val="21"/>
                      <w:lang w:val="en-US" w:eastAsia="zh-CN"/>
                    </w:rPr>
                    <w:t>t/a</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排水系统</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供电系统</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万kWh/a</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万kWh/a</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2</w:t>
                  </w:r>
                  <w:r>
                    <w:rPr>
                      <w:rFonts w:hint="default" w:ascii="Times New Roman" w:hAnsi="Times New Roman" w:eastAsia="宋体" w:cs="Times New Roman"/>
                      <w:sz w:val="21"/>
                      <w:szCs w:val="21"/>
                      <w:lang w:val="en-US" w:eastAsia="zh-CN"/>
                    </w:rPr>
                    <w:t>万kWh/a</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供热系统</w:t>
                  </w:r>
                </w:p>
              </w:tc>
              <w:tc>
                <w:tcPr>
                  <w:tcW w:w="1698" w:type="dxa"/>
                  <w:tcBorders>
                    <w:left w:val="single" w:color="auto" w:sz="4" w:space="0"/>
                  </w:tcBorders>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2000t/a蒸汽</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2000t/a蒸汽</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2000t/a蒸汽</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环保工程</w:t>
                  </w:r>
                </w:p>
              </w:tc>
              <w:tc>
                <w:tcPr>
                  <w:tcW w:w="675"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废气处理</w:t>
                  </w:r>
                </w:p>
              </w:tc>
              <w:tc>
                <w:tcPr>
                  <w:tcW w:w="931"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加热定型废气</w:t>
                  </w:r>
                </w:p>
              </w:tc>
              <w:tc>
                <w:tcPr>
                  <w:tcW w:w="1698" w:type="dxa"/>
                  <w:tcBorders>
                    <w:left w:val="single" w:color="auto" w:sz="4" w:space="0"/>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二级活性炭吸附+15m排放口</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车间通风</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车间通风</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无组织</w:t>
                  </w:r>
                  <w:r>
                    <w:rPr>
                      <w:rFonts w:hint="default" w:ascii="Times New Roman" w:hAnsi="Times New Roman" w:cs="Times New Roman"/>
                      <w:sz w:val="21"/>
                      <w:szCs w:val="21"/>
                      <w:lang w:val="en-US" w:eastAsia="zh-CN"/>
                    </w:rPr>
                    <w:t>达标排放</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675"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废水处理</w:t>
                  </w:r>
                </w:p>
              </w:tc>
              <w:tc>
                <w:tcPr>
                  <w:tcW w:w="931"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生活污水</w:t>
                  </w:r>
                </w:p>
              </w:tc>
              <w:tc>
                <w:tcPr>
                  <w:tcW w:w="1698" w:type="dxa"/>
                  <w:tcBorders>
                    <w:left w:val="single" w:color="auto" w:sz="4" w:space="0"/>
                    <w:bottom w:val="single" w:color="auto" w:sz="4" w:space="0"/>
                  </w:tcBorders>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化粪池</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化粪池</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sz w:val="21"/>
                      <w:szCs w:val="21"/>
                      <w:lang w:val="en-US" w:eastAsia="zh-CN"/>
                    </w:rPr>
                    <w:t>化粪池</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1606" w:type="dxa"/>
                  <w:gridSpan w:val="2"/>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噪声治理</w:t>
                  </w:r>
                </w:p>
              </w:tc>
              <w:tc>
                <w:tcPr>
                  <w:tcW w:w="1698" w:type="dxa"/>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降噪≥20dB(A)</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降噪≥20dB(A)</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rPr>
                    <w:t>降噪≥20dB(A)</w:t>
                  </w:r>
                </w:p>
              </w:tc>
              <w:tc>
                <w:tcPr>
                  <w:tcW w:w="1947" w:type="dxa"/>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675" w:type="dxa"/>
                  <w:vMerge w:val="restart"/>
                  <w:vAlign w:val="center"/>
                </w:tcPr>
                <w:p>
                  <w:pPr>
                    <w:pStyle w:val="13"/>
                    <w:widowControl w:val="0"/>
                    <w:spacing w:before="0" w:after="0" w:line="240" w:lineRule="auto"/>
                    <w:ind w:right="0"/>
                    <w:jc w:val="center"/>
                    <w:rPr>
                      <w:rFonts w:hint="default" w:ascii="Times New Roman" w:hAnsi="Times New Roman" w:cs="Times New Roman"/>
                      <w:sz w:val="21"/>
                      <w:szCs w:val="21"/>
                    </w:rPr>
                  </w:pPr>
                  <w:r>
                    <w:rPr>
                      <w:rFonts w:hint="default" w:ascii="Times New Roman" w:hAnsi="Times New Roman" w:cs="Times New Roman"/>
                      <w:sz w:val="21"/>
                      <w:szCs w:val="21"/>
                    </w:rPr>
                    <w:t>固废处理</w:t>
                  </w:r>
                </w:p>
              </w:tc>
              <w:tc>
                <w:tcPr>
                  <w:tcW w:w="931"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一般固废仓库</w:t>
                  </w:r>
                </w:p>
              </w:tc>
              <w:tc>
                <w:tcPr>
                  <w:tcW w:w="1698"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142"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eastAsia" w:cs="Times New Roman"/>
                      <w:sz w:val="21"/>
                      <w:szCs w:val="21"/>
                      <w:lang w:val="en-US" w:eastAsia="zh-CN"/>
                    </w:rPr>
                    <w:t>无变动</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Ex>
              <w:trPr>
                <w:trHeight w:val="170" w:hRule="atLeast"/>
                <w:jc w:val="center"/>
              </w:trPr>
              <w:tc>
                <w:tcPr>
                  <w:tcW w:w="690"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675" w:type="dxa"/>
                  <w:vMerge w:val="continue"/>
                  <w:vAlign w:val="center"/>
                </w:tcPr>
                <w:p>
                  <w:pPr>
                    <w:pStyle w:val="13"/>
                    <w:widowControl w:val="0"/>
                    <w:spacing w:before="0" w:after="0" w:line="240" w:lineRule="auto"/>
                    <w:ind w:right="0"/>
                    <w:jc w:val="center"/>
                    <w:rPr>
                      <w:rFonts w:hint="default" w:ascii="Times New Roman" w:hAnsi="Times New Roman" w:cs="Times New Roman"/>
                      <w:sz w:val="21"/>
                      <w:szCs w:val="21"/>
                    </w:rPr>
                  </w:pPr>
                </w:p>
              </w:tc>
              <w:tc>
                <w:tcPr>
                  <w:tcW w:w="931" w:type="dxa"/>
                  <w:shd w:val="clear" w:color="auto" w:fill="auto"/>
                  <w:vAlign w:val="center"/>
                </w:tcPr>
                <w:p>
                  <w:pPr>
                    <w:pStyle w:val="13"/>
                    <w:widowControl w:val="0"/>
                    <w:spacing w:before="0" w:after="0" w:line="240" w:lineRule="auto"/>
                    <w:ind w:right="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危废仓库</w:t>
                  </w:r>
                </w:p>
              </w:tc>
              <w:tc>
                <w:tcPr>
                  <w:tcW w:w="1698"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15m</w:t>
                  </w:r>
                  <w:r>
                    <w:rPr>
                      <w:rFonts w:hint="default" w:ascii="Times New Roman" w:hAnsi="Times New Roman" w:cs="Times New Roman"/>
                      <w:sz w:val="21"/>
                      <w:szCs w:val="21"/>
                      <w:vertAlign w:val="superscript"/>
                      <w:lang w:val="en-US" w:eastAsia="zh-CN"/>
                    </w:rPr>
                    <w:t>2</w:t>
                  </w:r>
                </w:p>
              </w:tc>
              <w:tc>
                <w:tcPr>
                  <w:tcW w:w="1225"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w:t>
                  </w:r>
                </w:p>
              </w:tc>
              <w:tc>
                <w:tcPr>
                  <w:tcW w:w="1142" w:type="dxa"/>
                  <w:shd w:val="clear" w:color="auto" w:fill="auto"/>
                  <w:vAlign w:val="center"/>
                </w:tcPr>
                <w:p>
                  <w:pPr>
                    <w:pStyle w:val="13"/>
                    <w:widowControl w:val="0"/>
                    <w:spacing w:before="0" w:after="0" w:line="240" w:lineRule="auto"/>
                    <w:ind w:right="0" w:right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sz w:val="21"/>
                      <w:szCs w:val="21"/>
                      <w:lang w:val="en-US" w:eastAsia="zh-CN"/>
                    </w:rPr>
                    <w:t>/</w:t>
                  </w:r>
                </w:p>
              </w:tc>
              <w:tc>
                <w:tcPr>
                  <w:tcW w:w="1947" w:type="dxa"/>
                  <w:shd w:val="clear" w:color="auto" w:fill="auto"/>
                  <w:vAlign w:val="center"/>
                </w:tcPr>
                <w:p>
                  <w:pPr>
                    <w:pStyle w:val="13"/>
                    <w:widowControl w:val="0"/>
                    <w:spacing w:before="0" w:after="0" w:line="240" w:lineRule="auto"/>
                    <w:ind w:right="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无危废产生</w:t>
                  </w:r>
                </w:p>
              </w:tc>
            </w:tr>
          </w:tbl>
          <w:p>
            <w:pPr>
              <w:tabs>
                <w:tab w:val="left" w:pos="840"/>
              </w:tabs>
              <w:snapToGrid w:val="0"/>
              <w:spacing w:line="360" w:lineRule="auto"/>
              <w:ind w:firstLine="422" w:firstLineChars="200"/>
              <w:rPr>
                <w:rFonts w:hint="default" w:ascii="Times New Roman" w:hAnsi="Times New Roman" w:eastAsia="宋体" w:cs="Times New Roman"/>
                <w:b/>
                <w:bCs/>
                <w:color w:val="auto"/>
                <w:sz w:val="21"/>
                <w:szCs w:val="21"/>
              </w:rPr>
            </w:pPr>
          </w:p>
          <w:p>
            <w:pPr>
              <w:tabs>
                <w:tab w:val="left" w:pos="840"/>
              </w:tabs>
              <w:snapToGrid w:val="0"/>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bCs/>
                <w:color w:val="auto"/>
                <w:sz w:val="24"/>
                <w:szCs w:val="24"/>
              </w:rPr>
              <w:t>3、</w:t>
            </w:r>
            <w:r>
              <w:rPr>
                <w:rFonts w:hint="default" w:ascii="Times New Roman" w:hAnsi="Times New Roman" w:eastAsia="宋体" w:cs="Times New Roman"/>
                <w:b/>
                <w:color w:val="auto"/>
                <w:sz w:val="24"/>
                <w:szCs w:val="24"/>
              </w:rPr>
              <w:t>现有项目工艺流程及产污环节</w:t>
            </w:r>
          </w:p>
          <w:p>
            <w:pPr>
              <w:adjustRightInd w:val="0"/>
              <w:jc w:val="center"/>
              <w:rPr>
                <w:rFonts w:hint="default" w:ascii="Times New Roman" w:hAnsi="Times New Roman" w:cs="Times New Roman"/>
              </w:rPr>
            </w:pPr>
            <w:r>
              <w:rPr>
                <w:rFonts w:hint="default" w:ascii="Times New Roman" w:hAnsi="Times New Roman" w:cs="Times New Roman"/>
                <w:b/>
                <w:color w:val="0000FF"/>
              </w:rPr>
              <w:object>
                <v:shape id="_x0000_i1026" o:spt="75" type="#_x0000_t75" style="height:293.35pt;width:201.05pt;" o:ole="t" filled="f" o:preferrelative="t" stroked="f" coordsize="21600,21600">
                  <v:path/>
                  <v:fill on="f" focussize="0,0"/>
                  <v:stroke on="f"/>
                  <v:imagedata r:id="rId8" o:title=""/>
                  <o:lock v:ext="edit" aspectratio="f"/>
                  <w10:wrap type="none"/>
                  <w10:anchorlock/>
                </v:shape>
                <o:OLEObject Type="Embed" ProgID="Visio.Drawing.11" ShapeID="_x0000_i1026" DrawAspect="Content" ObjectID="_1468075726" r:id="rId9">
                  <o:LockedField>false</o:LockedField>
                </o:OLEObject>
              </w:object>
            </w:r>
          </w:p>
          <w:p>
            <w:pPr>
              <w:adjustRightInd w:val="0"/>
              <w:spacing w:line="360" w:lineRule="auto"/>
              <w:jc w:val="center"/>
              <w:rPr>
                <w:rFonts w:hint="default" w:ascii="Times New Roman" w:hAnsi="Times New Roman" w:cs="Times New Roman"/>
                <w:b/>
                <w:bCs/>
                <w:sz w:val="24"/>
                <w:szCs w:val="32"/>
              </w:rPr>
            </w:pPr>
            <w:r>
              <w:rPr>
                <w:rFonts w:hint="default" w:ascii="Times New Roman" w:hAnsi="Times New Roman" w:cs="Times New Roman"/>
                <w:b/>
                <w:bCs/>
                <w:sz w:val="24"/>
                <w:szCs w:val="32"/>
              </w:rPr>
              <w:t>图2-</w:t>
            </w:r>
            <w:r>
              <w:rPr>
                <w:rFonts w:hint="default" w:ascii="Times New Roman" w:hAnsi="Times New Roman" w:cs="Times New Roman"/>
                <w:b/>
                <w:bCs/>
                <w:sz w:val="24"/>
                <w:szCs w:val="32"/>
                <w:lang w:val="en-US" w:eastAsia="zh-CN"/>
              </w:rPr>
              <w:t>3</w:t>
            </w:r>
            <w:r>
              <w:rPr>
                <w:rFonts w:hint="default" w:ascii="Times New Roman" w:hAnsi="Times New Roman" w:cs="Times New Roman"/>
                <w:b/>
                <w:bCs/>
                <w:sz w:val="24"/>
                <w:szCs w:val="32"/>
              </w:rPr>
              <w:t xml:space="preserve">  生产工艺流程及产污环节示意图</w:t>
            </w:r>
          </w:p>
          <w:p>
            <w:pPr>
              <w:spacing w:line="360" w:lineRule="auto"/>
              <w:ind w:firstLine="480" w:firstLineChars="200"/>
              <w:rPr>
                <w:rFonts w:hint="default" w:ascii="Times New Roman" w:hAnsi="Times New Roman" w:cs="Times New Roman"/>
                <w:sz w:val="18"/>
                <w:szCs w:val="18"/>
              </w:rPr>
            </w:pPr>
            <w:r>
              <w:rPr>
                <w:rFonts w:hint="eastAsia" w:ascii="Times New Roman" w:hAnsi="Times New Roman" w:eastAsia="宋体" w:cs="Times New Roman"/>
                <w:color w:val="auto"/>
                <w:sz w:val="24"/>
                <w:szCs w:val="24"/>
                <w:lang w:val="en-US" w:eastAsia="zh-CN"/>
              </w:rPr>
              <w:t>项目迁建前后</w:t>
            </w:r>
            <w:r>
              <w:rPr>
                <w:rFonts w:hint="default" w:ascii="Times New Roman" w:hAnsi="Times New Roman" w:eastAsia="宋体" w:cs="Times New Roman"/>
                <w:color w:val="auto"/>
                <w:sz w:val="24"/>
                <w:szCs w:val="24"/>
              </w:rPr>
              <w:t>工艺流程</w:t>
            </w:r>
            <w:r>
              <w:rPr>
                <w:rFonts w:hint="eastAsia" w:ascii="Times New Roman" w:hAnsi="Times New Roman" w:eastAsia="宋体" w:cs="Times New Roman"/>
                <w:color w:val="auto"/>
                <w:sz w:val="24"/>
                <w:szCs w:val="24"/>
                <w:lang w:val="en-US" w:eastAsia="zh-CN"/>
              </w:rPr>
              <w:t>无变动。</w:t>
            </w:r>
          </w:p>
          <w:p>
            <w:pPr>
              <w:tabs>
                <w:tab w:val="left" w:pos="840"/>
              </w:tabs>
              <w:snapToGrid w:val="0"/>
              <w:spacing w:line="360" w:lineRule="auto"/>
              <w:ind w:firstLine="482" w:firstLineChars="20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4、现有项目主要环保措施和污染物排放情况</w:t>
            </w:r>
          </w:p>
          <w:p>
            <w:pPr>
              <w:spacing w:line="360" w:lineRule="auto"/>
              <w:ind w:firstLine="437"/>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（1）废气</w:t>
            </w:r>
          </w:p>
          <w:p>
            <w:pPr>
              <w:adjustRightInd w:val="0"/>
              <w:snapToGrid w:val="0"/>
              <w:spacing w:line="360" w:lineRule="auto"/>
              <w:ind w:firstLine="480"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lang w:val="en-US" w:eastAsia="zh-CN"/>
              </w:rPr>
              <w:t>江苏中气环境科技</w:t>
            </w:r>
            <w:r>
              <w:rPr>
                <w:rFonts w:hint="default" w:ascii="Times New Roman" w:hAnsi="Times New Roman" w:eastAsia="宋体" w:cs="Times New Roman"/>
                <w:color w:val="auto"/>
                <w:sz w:val="24"/>
                <w:szCs w:val="24"/>
              </w:rPr>
              <w:t>有限公司于</w:t>
            </w:r>
            <w:r>
              <w:rPr>
                <w:rFonts w:hint="default" w:ascii="Times New Roman" w:hAnsi="Times New Roman" w:eastAsia="宋体" w:cs="Times New Roman"/>
                <w:color w:val="auto"/>
                <w:sz w:val="24"/>
                <w:szCs w:val="24"/>
                <w:lang w:val="en-US" w:eastAsia="zh-CN"/>
              </w:rPr>
              <w:t>2021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lang w:val="en-US" w:eastAsia="zh-CN"/>
              </w:rPr>
              <w:t>-10月29日</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z w:val="24"/>
                <w:szCs w:val="24"/>
                <w:lang w:eastAsia="zh-CN"/>
              </w:rPr>
              <w:t>厂界及</w:t>
            </w:r>
            <w:r>
              <w:rPr>
                <w:rFonts w:hint="default" w:ascii="Times New Roman" w:hAnsi="Times New Roman" w:eastAsia="宋体" w:cs="Times New Roman"/>
                <w:color w:val="auto"/>
                <w:sz w:val="24"/>
                <w:szCs w:val="24"/>
              </w:rPr>
              <w:t>厂区内无组织</w:t>
            </w:r>
            <w:r>
              <w:rPr>
                <w:rFonts w:hint="default" w:ascii="Times New Roman" w:hAnsi="Times New Roman" w:eastAsia="宋体" w:cs="Times New Roman"/>
                <w:color w:val="auto"/>
                <w:sz w:val="24"/>
                <w:szCs w:val="24"/>
                <w:lang w:eastAsia="zh-CN"/>
              </w:rPr>
              <w:t>非甲烷总烃</w:t>
            </w:r>
            <w:r>
              <w:rPr>
                <w:rFonts w:hint="default" w:ascii="Times New Roman" w:hAnsi="Times New Roman" w:eastAsia="宋体" w:cs="Times New Roman"/>
                <w:color w:val="auto"/>
                <w:sz w:val="24"/>
                <w:szCs w:val="24"/>
              </w:rPr>
              <w:t>进行了检测，现有项目废气监测结果见下表。</w:t>
            </w:r>
          </w:p>
          <w:p>
            <w:pPr>
              <w:ind w:firstLine="482" w:firstLineChars="20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表2-1</w:t>
            </w:r>
            <w:r>
              <w:rPr>
                <w:rFonts w:hint="default" w:ascii="Times New Roman" w:hAnsi="Times New Roman" w:cs="Times New Roman"/>
                <w:b/>
                <w:bCs/>
                <w:color w:val="auto"/>
                <w:sz w:val="24"/>
                <w:szCs w:val="24"/>
                <w:lang w:val="en-US" w:eastAsia="zh-CN"/>
              </w:rPr>
              <w:t>3</w:t>
            </w:r>
            <w:r>
              <w:rPr>
                <w:rFonts w:hint="default"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lang w:eastAsia="zh-CN"/>
              </w:rPr>
              <w:t>厂界</w:t>
            </w:r>
            <w:r>
              <w:rPr>
                <w:rFonts w:hint="default" w:ascii="Times New Roman" w:hAnsi="Times New Roman" w:eastAsia="宋体" w:cs="Times New Roman"/>
                <w:b/>
                <w:bCs/>
                <w:color w:val="auto"/>
                <w:sz w:val="24"/>
                <w:szCs w:val="24"/>
              </w:rPr>
              <w:t>无组织废气监测结果（单位：mg/m</w:t>
            </w:r>
            <w:r>
              <w:rPr>
                <w:rFonts w:hint="default" w:ascii="Times New Roman" w:hAnsi="Times New Roman" w:eastAsia="宋体" w:cs="Times New Roman"/>
                <w:b/>
                <w:bCs/>
                <w:color w:val="auto"/>
                <w:sz w:val="24"/>
                <w:szCs w:val="24"/>
                <w:vertAlign w:val="superscript"/>
              </w:rPr>
              <w:t>3</w:t>
            </w:r>
            <w:r>
              <w:rPr>
                <w:rFonts w:hint="default" w:ascii="Times New Roman" w:hAnsi="Times New Roman" w:eastAsia="宋体" w:cs="Times New Roman"/>
                <w:b/>
                <w:bCs/>
                <w:color w:val="auto"/>
                <w:sz w:val="24"/>
                <w:szCs w:val="24"/>
              </w:rPr>
              <w:t>）</w:t>
            </w:r>
          </w:p>
          <w:tbl>
            <w:tblPr>
              <w:tblStyle w:val="82"/>
              <w:tblW w:w="8308" w:type="dxa"/>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
            <w:tblGrid>
              <w:gridCol w:w="1415"/>
              <w:gridCol w:w="1265"/>
              <w:gridCol w:w="1573"/>
              <w:gridCol w:w="796"/>
              <w:gridCol w:w="896"/>
              <w:gridCol w:w="896"/>
              <w:gridCol w:w="926"/>
              <w:gridCol w:w="541"/>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检测项目</w:t>
                  </w:r>
                </w:p>
              </w:tc>
              <w:tc>
                <w:tcPr>
                  <w:tcW w:w="126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采样时间</w:t>
                  </w:r>
                </w:p>
              </w:tc>
              <w:tc>
                <w:tcPr>
                  <w:tcW w:w="157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检测点位</w:t>
                  </w:r>
                </w:p>
              </w:tc>
              <w:tc>
                <w:tcPr>
                  <w:tcW w:w="796"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单位</w:t>
                  </w:r>
                </w:p>
              </w:tc>
              <w:tc>
                <w:tcPr>
                  <w:tcW w:w="271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检测结果</w:t>
                  </w:r>
                </w:p>
              </w:tc>
              <w:tc>
                <w:tcPr>
                  <w:tcW w:w="54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参考</w:t>
                  </w:r>
                </w:p>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
                      <w:bCs w:val="0"/>
                      <w:sz w:val="21"/>
                      <w:szCs w:val="21"/>
                      <w:highlight w:val="none"/>
                    </w:rPr>
                    <w:t>限值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15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89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第一次</w:t>
                  </w:r>
                </w:p>
              </w:tc>
              <w:tc>
                <w:tcPr>
                  <w:tcW w:w="89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第二次</w:t>
                  </w:r>
                </w:p>
              </w:tc>
              <w:tc>
                <w:tcPr>
                  <w:tcW w:w="92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第三次</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非甲烷总烃</w:t>
                  </w:r>
                </w:p>
              </w:tc>
              <w:tc>
                <w:tcPr>
                  <w:tcW w:w="1265"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lang w:val="en-US" w:eastAsia="zh-CN"/>
                    </w:rPr>
                  </w:pPr>
                  <w:r>
                    <w:rPr>
                      <w:rFonts w:hint="default" w:ascii="Times New Roman" w:hAnsi="Times New Roman" w:eastAsia="宋体" w:cs="Times New Roman"/>
                      <w:bCs/>
                      <w:sz w:val="21"/>
                      <w:szCs w:val="21"/>
                      <w:highlight w:val="none"/>
                    </w:rPr>
                    <w:t>202</w:t>
                  </w:r>
                  <w:r>
                    <w:rPr>
                      <w:rFonts w:hint="default" w:ascii="Times New Roman" w:hAnsi="Times New Roman" w:eastAsia="宋体" w:cs="Times New Roman"/>
                      <w:bCs/>
                      <w:sz w:val="21"/>
                      <w:szCs w:val="21"/>
                      <w:highlight w:val="none"/>
                      <w:lang w:val="en-US" w:eastAsia="zh-CN"/>
                    </w:rPr>
                    <w:t>1</w:t>
                  </w:r>
                  <w:r>
                    <w:rPr>
                      <w:rFonts w:hint="default" w:ascii="Times New Roman" w:hAnsi="Times New Roman" w:eastAsia="宋体" w:cs="Times New Roman"/>
                      <w:bCs/>
                      <w:sz w:val="21"/>
                      <w:szCs w:val="21"/>
                      <w:highlight w:val="none"/>
                    </w:rPr>
                    <w:t>.</w:t>
                  </w:r>
                  <w:r>
                    <w:rPr>
                      <w:rFonts w:hint="default" w:ascii="Times New Roman" w:hAnsi="Times New Roman" w:eastAsia="宋体" w:cs="Times New Roman"/>
                      <w:bCs/>
                      <w:sz w:val="21"/>
                      <w:szCs w:val="21"/>
                      <w:highlight w:val="none"/>
                      <w:lang w:val="en-US" w:eastAsia="zh-CN"/>
                    </w:rPr>
                    <w:t>10</w:t>
                  </w:r>
                  <w:r>
                    <w:rPr>
                      <w:rFonts w:hint="default" w:ascii="Times New Roman" w:hAnsi="Times New Roman" w:eastAsia="宋体" w:cs="Times New Roman"/>
                      <w:bCs/>
                      <w:sz w:val="21"/>
                      <w:szCs w:val="21"/>
                      <w:highlight w:val="none"/>
                    </w:rPr>
                    <w:t>.</w:t>
                  </w:r>
                  <w:r>
                    <w:rPr>
                      <w:rFonts w:hint="default" w:ascii="Times New Roman" w:hAnsi="Times New Roman" w:eastAsia="宋体" w:cs="Times New Roman"/>
                      <w:bCs/>
                      <w:sz w:val="21"/>
                      <w:szCs w:val="21"/>
                      <w:highlight w:val="none"/>
                      <w:lang w:val="en-US" w:eastAsia="zh-CN"/>
                    </w:rPr>
                    <w:t>28</w:t>
                  </w: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厂界上风向 G1</w:t>
                  </w:r>
                </w:p>
              </w:tc>
              <w:tc>
                <w:tcPr>
                  <w:tcW w:w="79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mg/m</w:t>
                  </w:r>
                  <w:r>
                    <w:rPr>
                      <w:rFonts w:hint="default" w:ascii="Times New Roman" w:hAnsi="Times New Roman" w:eastAsia="宋体" w:cs="Times New Roman"/>
                      <w:bCs/>
                      <w:sz w:val="21"/>
                      <w:szCs w:val="21"/>
                      <w:highlight w:val="none"/>
                      <w:vertAlign w:val="superscript"/>
                    </w:rPr>
                    <w:t>3</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0.38</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0.38</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0.38</w:t>
                  </w:r>
                </w:p>
              </w:tc>
              <w:tc>
                <w:tcPr>
                  <w:tcW w:w="54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厂界下风向 G2</w:t>
                  </w: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0.63</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0.61</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0.65</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厂界下风向 G3</w:t>
                  </w: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0.64</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0.67</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0.62</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厂界下风向 G4</w:t>
                  </w: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0.64</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0.62</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0.63</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lang w:val="en-US" w:eastAsia="zh-CN" w:bidi="ar-SA"/>
                    </w:rPr>
                  </w:pPr>
                  <w:r>
                    <w:rPr>
                      <w:rFonts w:hint="default" w:ascii="Times New Roman" w:hAnsi="Times New Roman" w:eastAsia="宋体" w:cs="Times New Roman"/>
                      <w:b/>
                      <w:bCs w:val="0"/>
                      <w:sz w:val="21"/>
                      <w:szCs w:val="21"/>
                      <w:highlight w:val="none"/>
                    </w:rPr>
                    <w:t>检测项目</w:t>
                  </w:r>
                </w:p>
              </w:tc>
              <w:tc>
                <w:tcPr>
                  <w:tcW w:w="126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lang w:val="en-US" w:eastAsia="zh-CN" w:bidi="ar-SA"/>
                    </w:rPr>
                  </w:pPr>
                  <w:r>
                    <w:rPr>
                      <w:rFonts w:hint="default" w:ascii="Times New Roman" w:hAnsi="Times New Roman" w:eastAsia="宋体" w:cs="Times New Roman"/>
                      <w:b/>
                      <w:bCs w:val="0"/>
                      <w:sz w:val="21"/>
                      <w:szCs w:val="21"/>
                      <w:highlight w:val="none"/>
                    </w:rPr>
                    <w:t>采样时间</w:t>
                  </w:r>
                </w:p>
              </w:tc>
              <w:tc>
                <w:tcPr>
                  <w:tcW w:w="1573"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lang w:val="en-US" w:eastAsia="zh-CN" w:bidi="ar-SA"/>
                    </w:rPr>
                  </w:pPr>
                  <w:r>
                    <w:rPr>
                      <w:rFonts w:hint="default" w:ascii="Times New Roman" w:hAnsi="Times New Roman" w:eastAsia="宋体" w:cs="Times New Roman"/>
                      <w:b/>
                      <w:bCs w:val="0"/>
                      <w:sz w:val="21"/>
                      <w:szCs w:val="21"/>
                      <w:highlight w:val="none"/>
                    </w:rPr>
                    <w:t>检测点位</w:t>
                  </w:r>
                </w:p>
              </w:tc>
              <w:tc>
                <w:tcPr>
                  <w:tcW w:w="79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lang w:val="en-US" w:eastAsia="zh-CN" w:bidi="ar-SA"/>
                    </w:rPr>
                  </w:pPr>
                  <w:r>
                    <w:rPr>
                      <w:rFonts w:hint="default" w:ascii="Times New Roman" w:hAnsi="Times New Roman" w:eastAsia="宋体" w:cs="Times New Roman"/>
                      <w:b/>
                      <w:bCs w:val="0"/>
                      <w:sz w:val="21"/>
                      <w:szCs w:val="21"/>
                      <w:highlight w:val="none"/>
                    </w:rPr>
                    <w:t>单位</w:t>
                  </w:r>
                </w:p>
              </w:tc>
              <w:tc>
                <w:tcPr>
                  <w:tcW w:w="2718" w:type="dxa"/>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检测结果</w:t>
                  </w:r>
                </w:p>
              </w:tc>
              <w:tc>
                <w:tcPr>
                  <w:tcW w:w="541"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参考</w:t>
                  </w:r>
                </w:p>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
                      <w:bCs w:val="0"/>
                      <w:sz w:val="21"/>
                      <w:szCs w:val="21"/>
                      <w:highlight w:val="none"/>
                    </w:rPr>
                    <w:t>限值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157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p>
              </w:tc>
              <w:tc>
                <w:tcPr>
                  <w:tcW w:w="89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第一次</w:t>
                  </w:r>
                </w:p>
              </w:tc>
              <w:tc>
                <w:tcPr>
                  <w:tcW w:w="89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第二次</w:t>
                  </w:r>
                </w:p>
              </w:tc>
              <w:tc>
                <w:tcPr>
                  <w:tcW w:w="92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sz w:val="21"/>
                      <w:szCs w:val="21"/>
                      <w:highlight w:val="none"/>
                    </w:rPr>
                  </w:pPr>
                  <w:r>
                    <w:rPr>
                      <w:rFonts w:hint="default" w:ascii="Times New Roman" w:hAnsi="Times New Roman" w:eastAsia="宋体" w:cs="Times New Roman"/>
                      <w:b/>
                      <w:bCs w:val="0"/>
                      <w:sz w:val="21"/>
                      <w:szCs w:val="21"/>
                      <w:highlight w:val="none"/>
                    </w:rPr>
                    <w:t>第三次</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非甲烷总烃</w:t>
                  </w:r>
                </w:p>
              </w:tc>
              <w:tc>
                <w:tcPr>
                  <w:tcW w:w="126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lang w:val="en-US"/>
                    </w:rPr>
                  </w:pPr>
                  <w:r>
                    <w:rPr>
                      <w:rFonts w:hint="default" w:ascii="Times New Roman" w:hAnsi="Times New Roman" w:eastAsia="宋体" w:cs="Times New Roman"/>
                      <w:bCs/>
                      <w:sz w:val="21"/>
                      <w:szCs w:val="21"/>
                      <w:highlight w:val="none"/>
                    </w:rPr>
                    <w:t>202</w:t>
                  </w:r>
                  <w:r>
                    <w:rPr>
                      <w:rFonts w:hint="default" w:ascii="Times New Roman" w:hAnsi="Times New Roman" w:eastAsia="宋体" w:cs="Times New Roman"/>
                      <w:bCs/>
                      <w:sz w:val="21"/>
                      <w:szCs w:val="21"/>
                      <w:highlight w:val="none"/>
                      <w:lang w:val="en-US" w:eastAsia="zh-CN"/>
                    </w:rPr>
                    <w:t>1</w:t>
                  </w:r>
                  <w:r>
                    <w:rPr>
                      <w:rFonts w:hint="default" w:ascii="Times New Roman" w:hAnsi="Times New Roman" w:eastAsia="宋体" w:cs="Times New Roman"/>
                      <w:bCs/>
                      <w:sz w:val="21"/>
                      <w:szCs w:val="21"/>
                      <w:highlight w:val="none"/>
                    </w:rPr>
                    <w:t>.</w:t>
                  </w:r>
                  <w:r>
                    <w:rPr>
                      <w:rFonts w:hint="default" w:ascii="Times New Roman" w:hAnsi="Times New Roman" w:eastAsia="宋体" w:cs="Times New Roman"/>
                      <w:bCs/>
                      <w:sz w:val="21"/>
                      <w:szCs w:val="21"/>
                      <w:highlight w:val="none"/>
                      <w:lang w:val="en-US" w:eastAsia="zh-CN"/>
                    </w:rPr>
                    <w:t>10</w:t>
                  </w:r>
                  <w:r>
                    <w:rPr>
                      <w:rFonts w:hint="default" w:ascii="Times New Roman" w:hAnsi="Times New Roman" w:eastAsia="宋体" w:cs="Times New Roman"/>
                      <w:bCs/>
                      <w:sz w:val="21"/>
                      <w:szCs w:val="21"/>
                      <w:highlight w:val="none"/>
                    </w:rPr>
                    <w:t>.</w:t>
                  </w:r>
                  <w:r>
                    <w:rPr>
                      <w:rFonts w:hint="default" w:ascii="Times New Roman" w:hAnsi="Times New Roman" w:eastAsia="宋体" w:cs="Times New Roman"/>
                      <w:bCs/>
                      <w:sz w:val="21"/>
                      <w:szCs w:val="21"/>
                      <w:highlight w:val="none"/>
                      <w:lang w:val="en-US" w:eastAsia="zh-CN"/>
                    </w:rPr>
                    <w:t>29</w:t>
                  </w: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厂界上风向 G1</w:t>
                  </w:r>
                </w:p>
              </w:tc>
              <w:tc>
                <w:tcPr>
                  <w:tcW w:w="79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mg/m</w:t>
                  </w:r>
                  <w:r>
                    <w:rPr>
                      <w:rFonts w:hint="default" w:ascii="Times New Roman" w:hAnsi="Times New Roman" w:eastAsia="宋体" w:cs="Times New Roman"/>
                      <w:bCs/>
                      <w:sz w:val="21"/>
                      <w:szCs w:val="21"/>
                      <w:highlight w:val="none"/>
                      <w:vertAlign w:val="superscript"/>
                    </w:rPr>
                    <w:t>3</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0.34</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0.33</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0.35</w:t>
                  </w:r>
                </w:p>
              </w:tc>
              <w:tc>
                <w:tcPr>
                  <w:tcW w:w="54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4</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厂界下风向 G2</w:t>
                  </w: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0.52</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0.53</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0.56</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厂界下风向 G3</w:t>
                  </w: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0.49</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0.55</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0.56</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2" w:space="0"/>
                </w:tblBorders>
                <w:tblLayout w:type="fixed"/>
                <w:tblCellMar>
                  <w:top w:w="0" w:type="dxa"/>
                  <w:left w:w="0" w:type="dxa"/>
                  <w:bottom w:w="0" w:type="dxa"/>
                  <w:right w:w="0" w:type="dxa"/>
                </w:tblCellMar>
              </w:tblPrEx>
              <w:trPr>
                <w:trHeight w:val="283" w:hRule="atLeast"/>
              </w:trPr>
              <w:tc>
                <w:tcPr>
                  <w:tcW w:w="14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26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1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sz w:val="21"/>
                      <w:szCs w:val="21"/>
                      <w:highlight w:val="none"/>
                    </w:rPr>
                    <w:t>厂界下风向 G4</w:t>
                  </w:r>
                </w:p>
              </w:tc>
              <w:tc>
                <w:tcPr>
                  <w:tcW w:w="79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0.52</w:t>
                  </w:r>
                </w:p>
              </w:tc>
              <w:tc>
                <w:tcPr>
                  <w:tcW w:w="89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0.54</w:t>
                  </w:r>
                </w:p>
              </w:tc>
              <w:tc>
                <w:tcPr>
                  <w:tcW w:w="9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kern w:val="2"/>
                      <w:sz w:val="21"/>
                      <w:szCs w:val="21"/>
                      <w:highlight w:val="none"/>
                      <w:lang w:val="en-US" w:eastAsia="zh-CN" w:bidi="ar-SA"/>
                    </w:rPr>
                  </w:pPr>
                  <w:r>
                    <w:rPr>
                      <w:rFonts w:hint="default" w:ascii="Times New Roman" w:hAnsi="Times New Roman" w:eastAsia="宋体" w:cs="Times New Roman"/>
                      <w:bCs/>
                      <w:kern w:val="2"/>
                      <w:sz w:val="21"/>
                      <w:szCs w:val="21"/>
                      <w:highlight w:val="none"/>
                      <w:lang w:val="en-US" w:eastAsia="zh-CN" w:bidi="ar-SA"/>
                    </w:rPr>
                    <w:t>0.53</w:t>
                  </w:r>
                </w:p>
              </w:tc>
              <w:tc>
                <w:tcPr>
                  <w:tcW w:w="541"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Times New Roman" w:hAnsi="Times New Roman" w:eastAsia="宋体" w:cs="Times New Roman"/>
                      <w:bCs/>
                      <w:sz w:val="21"/>
                      <w:szCs w:val="21"/>
                      <w:highlight w:val="none"/>
                    </w:rPr>
                  </w:pPr>
                </w:p>
              </w:tc>
            </w:tr>
          </w:tbl>
          <w:p>
            <w:pPr>
              <w:pStyle w:val="77"/>
              <w:spacing w:line="360" w:lineRule="auto"/>
              <w:ind w:firstLine="420" w:firstLineChars="200"/>
              <w:rPr>
                <w:rFonts w:hint="default" w:ascii="Times New Roman" w:hAnsi="Times New Roman" w:eastAsia="宋体" w:cs="Times New Roman"/>
                <w:color w:val="auto"/>
                <w:sz w:val="21"/>
                <w:szCs w:val="21"/>
                <w:lang w:val="en-US" w:eastAsia="zh-CN"/>
              </w:rPr>
            </w:pPr>
          </w:p>
          <w:p>
            <w:pPr>
              <w:pStyle w:val="77"/>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由检测结果可知，现有项目无组织非甲烷总烃排放符合江苏省地方标准《大气污染物综合排放标准》（DB32/4041-2021）</w:t>
            </w:r>
            <w:r>
              <w:rPr>
                <w:rFonts w:hint="default" w:ascii="Times New Roman" w:hAnsi="Times New Roman" w:eastAsia="宋体" w:cs="Times New Roman"/>
                <w:color w:val="auto"/>
                <w:sz w:val="24"/>
                <w:szCs w:val="24"/>
                <w:lang w:eastAsia="zh-CN"/>
              </w:rPr>
              <w:t>排放限值</w:t>
            </w:r>
            <w:r>
              <w:rPr>
                <w:rFonts w:hint="default" w:ascii="Times New Roman" w:hAnsi="Times New Roman" w:eastAsia="宋体" w:cs="Times New Roman"/>
                <w:color w:val="auto"/>
                <w:sz w:val="24"/>
                <w:szCs w:val="24"/>
                <w:lang w:val="en-US" w:eastAsia="zh-CN"/>
              </w:rPr>
              <w:t>。</w:t>
            </w:r>
          </w:p>
          <w:p>
            <w:pPr>
              <w:spacing w:line="360" w:lineRule="auto"/>
              <w:ind w:firstLine="437"/>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（2）废水</w:t>
            </w:r>
          </w:p>
          <w:p>
            <w:pPr>
              <w:pStyle w:val="77"/>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现有项目生活污水240t/a经化粪池预处理后肥田。</w:t>
            </w:r>
          </w:p>
          <w:p>
            <w:pPr>
              <w:pStyle w:val="77"/>
              <w:spacing w:line="360" w:lineRule="auto"/>
              <w:ind w:firstLine="480" w:firstLineChars="200"/>
              <w:rPr>
                <w:rFonts w:hint="default" w:ascii="Times New Roman" w:hAnsi="Times New Roman" w:cs="Times New Roman"/>
              </w:rPr>
            </w:pPr>
            <w:r>
              <w:rPr>
                <w:rFonts w:hint="default" w:ascii="Times New Roman" w:hAnsi="Times New Roman" w:cs="Times New Roman"/>
              </w:rPr>
              <w:drawing>
                <wp:inline distT="0" distB="0" distL="114300" distR="114300">
                  <wp:extent cx="4819650" cy="2876550"/>
                  <wp:effectExtent l="0" t="0" r="0" b="0"/>
                  <wp:docPr id="17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5"/>
                          <pic:cNvPicPr>
                            <a:picLocks noChangeAspect="1"/>
                          </pic:cNvPicPr>
                        </pic:nvPicPr>
                        <pic:blipFill>
                          <a:blip r:embed="rId10"/>
                          <a:stretch>
                            <a:fillRect/>
                          </a:stretch>
                        </pic:blipFill>
                        <pic:spPr>
                          <a:xfrm>
                            <a:off x="0" y="0"/>
                            <a:ext cx="4819650" cy="2876550"/>
                          </a:xfrm>
                          <a:prstGeom prst="rect">
                            <a:avLst/>
                          </a:prstGeom>
                          <a:noFill/>
                          <a:ln>
                            <a:noFill/>
                          </a:ln>
                        </pic:spPr>
                      </pic:pic>
                    </a:graphicData>
                  </a:graphic>
                </wp:inline>
              </w:drawing>
            </w:r>
          </w:p>
          <w:p>
            <w:pPr>
              <w:pStyle w:val="14"/>
              <w:adjustRightInd w:val="0"/>
              <w:snapToGrid w:val="0"/>
              <w:spacing w:after="0" w:line="240" w:lineRule="auto"/>
              <w:ind w:left="0" w:leftChars="0"/>
              <w:jc w:val="center"/>
              <w:rPr>
                <w:rFonts w:hint="default" w:ascii="Times New Roman" w:hAnsi="Times New Roman" w:eastAsia="宋体" w:cs="Times New Roman"/>
                <w:b/>
                <w:bCs/>
                <w:sz w:val="24"/>
                <w:szCs w:val="28"/>
                <w:lang w:val="en-US" w:eastAsia="zh-CN"/>
              </w:rPr>
            </w:pPr>
            <w:r>
              <w:rPr>
                <w:rFonts w:hint="default" w:ascii="Times New Roman" w:hAnsi="Times New Roman" w:eastAsia="宋体" w:cs="Times New Roman"/>
                <w:b/>
                <w:bCs/>
                <w:sz w:val="24"/>
                <w:szCs w:val="28"/>
                <w:lang w:val="en-US" w:eastAsia="zh-CN"/>
              </w:rPr>
              <w:t>图2-</w:t>
            </w:r>
            <w:r>
              <w:rPr>
                <w:rFonts w:hint="default" w:ascii="Times New Roman" w:hAnsi="Times New Roman" w:cs="Times New Roman"/>
                <w:b/>
                <w:bCs/>
                <w:sz w:val="24"/>
                <w:szCs w:val="28"/>
                <w:lang w:val="en-US" w:eastAsia="zh-CN"/>
              </w:rPr>
              <w:t>4</w:t>
            </w:r>
            <w:r>
              <w:rPr>
                <w:rFonts w:hint="default" w:ascii="Times New Roman" w:hAnsi="Times New Roman" w:eastAsia="宋体" w:cs="Times New Roman"/>
                <w:b/>
                <w:bCs/>
                <w:sz w:val="24"/>
                <w:szCs w:val="28"/>
                <w:lang w:val="en-US" w:eastAsia="zh-CN"/>
              </w:rPr>
              <w:t xml:space="preserve"> 现有项目水平衡图（t/a）</w:t>
            </w:r>
          </w:p>
          <w:p>
            <w:pPr>
              <w:spacing w:line="360" w:lineRule="auto"/>
              <w:ind w:firstLine="437"/>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（3）噪声</w:t>
            </w:r>
          </w:p>
          <w:p>
            <w:pPr>
              <w:spacing w:line="360" w:lineRule="auto"/>
              <w:ind w:firstLine="480" w:firstLineChars="200"/>
              <w:jc w:val="left"/>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现有</w:t>
            </w:r>
            <w:r>
              <w:rPr>
                <w:rFonts w:hint="default" w:ascii="Times New Roman" w:hAnsi="Times New Roman" w:eastAsia="宋体" w:cs="Times New Roman"/>
                <w:color w:val="auto"/>
                <w:sz w:val="24"/>
                <w:szCs w:val="24"/>
              </w:rPr>
              <w:t>项目产生的噪声主要为设备运行产生的噪声。</w:t>
            </w:r>
            <w:r>
              <w:rPr>
                <w:rFonts w:hint="default" w:ascii="Times New Roman" w:hAnsi="Times New Roman" w:eastAsia="宋体" w:cs="Times New Roman"/>
                <w:color w:val="auto"/>
                <w:sz w:val="24"/>
                <w:szCs w:val="24"/>
                <w:lang w:val="en-US" w:eastAsia="zh-CN"/>
              </w:rPr>
              <w:t>江苏中气环境科技</w:t>
            </w:r>
            <w:r>
              <w:rPr>
                <w:rFonts w:hint="default" w:ascii="Times New Roman" w:hAnsi="Times New Roman" w:eastAsia="宋体" w:cs="Times New Roman"/>
                <w:color w:val="auto"/>
                <w:sz w:val="24"/>
                <w:szCs w:val="24"/>
              </w:rPr>
              <w:t>有限公司于</w:t>
            </w:r>
            <w:r>
              <w:rPr>
                <w:rFonts w:hint="default" w:ascii="Times New Roman" w:hAnsi="Times New Roman" w:eastAsia="宋体" w:cs="Times New Roman"/>
                <w:color w:val="auto"/>
                <w:sz w:val="24"/>
                <w:szCs w:val="24"/>
                <w:lang w:val="en-US" w:eastAsia="zh-CN"/>
              </w:rPr>
              <w:t>2021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10</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28</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lang w:val="en-US" w:eastAsia="zh-CN"/>
              </w:rPr>
              <w:t>-10月29日</w:t>
            </w:r>
            <w:r>
              <w:rPr>
                <w:rFonts w:hint="default" w:ascii="Times New Roman" w:hAnsi="Times New Roman" w:eastAsia="宋体" w:cs="Times New Roman"/>
                <w:color w:val="auto"/>
                <w:sz w:val="24"/>
                <w:szCs w:val="24"/>
              </w:rPr>
              <w:t>对</w:t>
            </w:r>
            <w:r>
              <w:rPr>
                <w:rFonts w:hint="default" w:ascii="Times New Roman" w:hAnsi="Times New Roman" w:eastAsia="宋体" w:cs="Times New Roman"/>
                <w:color w:val="auto"/>
                <w:sz w:val="24"/>
                <w:szCs w:val="24"/>
                <w:lang w:eastAsia="zh-CN"/>
              </w:rPr>
              <w:t>厂界噪声</w:t>
            </w:r>
            <w:r>
              <w:rPr>
                <w:rFonts w:hint="default" w:ascii="Times New Roman" w:hAnsi="Times New Roman" w:eastAsia="宋体" w:cs="Times New Roman"/>
                <w:color w:val="auto"/>
                <w:sz w:val="24"/>
                <w:szCs w:val="24"/>
              </w:rPr>
              <w:t>进行了检测</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现有项目</w:t>
            </w:r>
            <w:r>
              <w:rPr>
                <w:rFonts w:hint="default" w:ascii="Times New Roman" w:hAnsi="Times New Roman" w:eastAsia="宋体" w:cs="Times New Roman"/>
                <w:color w:val="auto"/>
                <w:sz w:val="24"/>
                <w:szCs w:val="24"/>
                <w:lang w:eastAsia="zh-CN"/>
              </w:rPr>
              <w:t>噪声检</w:t>
            </w:r>
            <w:r>
              <w:rPr>
                <w:rFonts w:hint="default" w:ascii="Times New Roman" w:hAnsi="Times New Roman" w:eastAsia="宋体" w:cs="Times New Roman"/>
                <w:color w:val="auto"/>
                <w:sz w:val="24"/>
                <w:szCs w:val="24"/>
              </w:rPr>
              <w:t>测结果见下表</w:t>
            </w:r>
            <w:r>
              <w:rPr>
                <w:rFonts w:hint="default" w:ascii="Times New Roman" w:hAnsi="Times New Roman" w:eastAsia="宋体" w:cs="Times New Roman"/>
                <w:color w:val="auto"/>
                <w:sz w:val="24"/>
                <w:szCs w:val="24"/>
                <w:lang w:eastAsia="zh-CN"/>
              </w:rPr>
              <w:t>。</w:t>
            </w:r>
          </w:p>
          <w:p>
            <w:pPr>
              <w:jc w:val="center"/>
              <w:rPr>
                <w:rFonts w:hint="default" w:ascii="Times New Roman" w:hAnsi="Times New Roman" w:eastAsia="宋体" w:cs="Times New Roman"/>
                <w:b/>
                <w:color w:val="auto"/>
                <w:sz w:val="24"/>
                <w:szCs w:val="24"/>
                <w:lang w:eastAsia="zh-CN"/>
              </w:rPr>
            </w:pPr>
            <w:r>
              <w:rPr>
                <w:rFonts w:hint="default" w:ascii="Times New Roman" w:hAnsi="Times New Roman" w:eastAsia="宋体" w:cs="Times New Roman"/>
                <w:b/>
                <w:color w:val="auto"/>
                <w:sz w:val="24"/>
                <w:szCs w:val="24"/>
              </w:rPr>
              <w:t>表2-</w:t>
            </w:r>
            <w:r>
              <w:rPr>
                <w:rFonts w:hint="default" w:ascii="Times New Roman" w:hAnsi="Times New Roman" w:cs="Times New Roman"/>
                <w:b/>
                <w:color w:val="auto"/>
                <w:sz w:val="24"/>
                <w:szCs w:val="24"/>
                <w:lang w:val="en-US" w:eastAsia="zh-CN"/>
              </w:rPr>
              <w:t>14</w:t>
            </w:r>
            <w:r>
              <w:rPr>
                <w:rFonts w:hint="default" w:ascii="Times New Roman" w:hAnsi="Times New Roman" w:eastAsia="宋体" w:cs="Times New Roman"/>
                <w:b/>
                <w:color w:val="auto"/>
                <w:sz w:val="24"/>
                <w:szCs w:val="24"/>
              </w:rPr>
              <w:t xml:space="preserve"> 现有项目</w:t>
            </w:r>
            <w:r>
              <w:rPr>
                <w:rFonts w:hint="default" w:ascii="Times New Roman" w:hAnsi="Times New Roman" w:eastAsia="宋体" w:cs="Times New Roman"/>
                <w:b/>
                <w:color w:val="auto"/>
                <w:sz w:val="24"/>
                <w:szCs w:val="24"/>
                <w:lang w:eastAsia="zh-CN"/>
              </w:rPr>
              <w:t>噪声检测结果</w:t>
            </w:r>
          </w:p>
          <w:tbl>
            <w:tblPr>
              <w:tblStyle w:val="30"/>
              <w:tblW w:w="8305" w:type="dxa"/>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967"/>
              <w:gridCol w:w="1957"/>
              <w:gridCol w:w="1758"/>
              <w:gridCol w:w="1859"/>
              <w:gridCol w:w="176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vMerge w:val="restart"/>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测点号</w:t>
                  </w:r>
                </w:p>
              </w:tc>
              <w:tc>
                <w:tcPr>
                  <w:tcW w:w="1957" w:type="dxa"/>
                  <w:vMerge w:val="restart"/>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测点位置</w:t>
                  </w:r>
                </w:p>
              </w:tc>
              <w:tc>
                <w:tcPr>
                  <w:tcW w:w="1758" w:type="dxa"/>
                  <w:vMerge w:val="restart"/>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声功能区类别</w:t>
                  </w:r>
                </w:p>
              </w:tc>
              <w:tc>
                <w:tcPr>
                  <w:tcW w:w="3623" w:type="dxa"/>
                  <w:gridSpan w:val="2"/>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测量结果 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957"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758"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859"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2021.10.28</w:t>
                  </w:r>
                </w:p>
              </w:tc>
              <w:tc>
                <w:tcPr>
                  <w:tcW w:w="1764"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2021.10.29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957"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758"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3623" w:type="dxa"/>
                  <w:gridSpan w:val="2"/>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昼间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Z1</w:t>
                  </w:r>
                </w:p>
              </w:tc>
              <w:tc>
                <w:tcPr>
                  <w:tcW w:w="195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厂界</w:t>
                  </w:r>
                  <w:r>
                    <w:rPr>
                      <w:rFonts w:hint="default" w:ascii="Times New Roman" w:hAnsi="Times New Roman" w:eastAsia="宋体" w:cs="Times New Roman"/>
                      <w:color w:val="auto"/>
                      <w:kern w:val="2"/>
                      <w:sz w:val="21"/>
                      <w:szCs w:val="21"/>
                      <w:lang w:eastAsia="zh-CN"/>
                    </w:rPr>
                    <w:t>东</w:t>
                  </w:r>
                  <w:r>
                    <w:rPr>
                      <w:rFonts w:hint="default" w:ascii="Times New Roman" w:hAnsi="Times New Roman" w:eastAsia="宋体" w:cs="Times New Roman"/>
                      <w:color w:val="auto"/>
                      <w:kern w:val="2"/>
                      <w:sz w:val="21"/>
                      <w:szCs w:val="21"/>
                    </w:rPr>
                    <w:t>侧</w:t>
                  </w:r>
                </w:p>
              </w:tc>
              <w:tc>
                <w:tcPr>
                  <w:tcW w:w="1758" w:type="dxa"/>
                  <w:vMerge w:val="restart"/>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3类</w:t>
                  </w:r>
                </w:p>
              </w:tc>
              <w:tc>
                <w:tcPr>
                  <w:tcW w:w="1859"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58.8</w:t>
                  </w:r>
                </w:p>
              </w:tc>
              <w:tc>
                <w:tcPr>
                  <w:tcW w:w="1764"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58.9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Z2</w:t>
                  </w:r>
                </w:p>
              </w:tc>
              <w:tc>
                <w:tcPr>
                  <w:tcW w:w="195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厂界</w:t>
                  </w:r>
                  <w:r>
                    <w:rPr>
                      <w:rFonts w:hint="default" w:ascii="Times New Roman" w:hAnsi="Times New Roman" w:eastAsia="宋体" w:cs="Times New Roman"/>
                      <w:color w:val="auto"/>
                      <w:kern w:val="2"/>
                      <w:sz w:val="21"/>
                      <w:szCs w:val="21"/>
                      <w:lang w:eastAsia="zh-CN"/>
                    </w:rPr>
                    <w:t>南</w:t>
                  </w:r>
                  <w:r>
                    <w:rPr>
                      <w:rFonts w:hint="default" w:ascii="Times New Roman" w:hAnsi="Times New Roman" w:eastAsia="宋体" w:cs="Times New Roman"/>
                      <w:color w:val="auto"/>
                      <w:kern w:val="2"/>
                      <w:sz w:val="21"/>
                      <w:szCs w:val="21"/>
                    </w:rPr>
                    <w:t>侧</w:t>
                  </w:r>
                </w:p>
              </w:tc>
              <w:tc>
                <w:tcPr>
                  <w:tcW w:w="1758"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859"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57.9</w:t>
                  </w:r>
                </w:p>
              </w:tc>
              <w:tc>
                <w:tcPr>
                  <w:tcW w:w="1764"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59.7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Z3</w:t>
                  </w:r>
                </w:p>
              </w:tc>
              <w:tc>
                <w:tcPr>
                  <w:tcW w:w="195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厂界</w:t>
                  </w:r>
                  <w:r>
                    <w:rPr>
                      <w:rFonts w:hint="default" w:ascii="Times New Roman" w:hAnsi="Times New Roman" w:eastAsia="宋体" w:cs="Times New Roman"/>
                      <w:color w:val="auto"/>
                      <w:kern w:val="2"/>
                      <w:sz w:val="21"/>
                      <w:szCs w:val="21"/>
                      <w:lang w:eastAsia="zh-CN"/>
                    </w:rPr>
                    <w:t>西</w:t>
                  </w:r>
                  <w:r>
                    <w:rPr>
                      <w:rFonts w:hint="default" w:ascii="Times New Roman" w:hAnsi="Times New Roman" w:eastAsia="宋体" w:cs="Times New Roman"/>
                      <w:color w:val="auto"/>
                      <w:kern w:val="2"/>
                      <w:sz w:val="21"/>
                      <w:szCs w:val="21"/>
                    </w:rPr>
                    <w:t>侧</w:t>
                  </w:r>
                </w:p>
              </w:tc>
              <w:tc>
                <w:tcPr>
                  <w:tcW w:w="1758"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859"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58.5</w:t>
                  </w:r>
                </w:p>
              </w:tc>
              <w:tc>
                <w:tcPr>
                  <w:tcW w:w="1764"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60.1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96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Z4</w:t>
                  </w:r>
                </w:p>
              </w:tc>
              <w:tc>
                <w:tcPr>
                  <w:tcW w:w="1957" w:type="dxa"/>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厂界</w:t>
                  </w:r>
                  <w:r>
                    <w:rPr>
                      <w:rFonts w:hint="default" w:ascii="Times New Roman" w:hAnsi="Times New Roman" w:eastAsia="宋体" w:cs="Times New Roman"/>
                      <w:color w:val="auto"/>
                      <w:kern w:val="2"/>
                      <w:sz w:val="21"/>
                      <w:szCs w:val="21"/>
                      <w:lang w:eastAsia="zh-CN"/>
                    </w:rPr>
                    <w:t>北</w:t>
                  </w:r>
                  <w:r>
                    <w:rPr>
                      <w:rFonts w:hint="default" w:ascii="Times New Roman" w:hAnsi="Times New Roman" w:eastAsia="宋体" w:cs="Times New Roman"/>
                      <w:color w:val="auto"/>
                      <w:kern w:val="2"/>
                      <w:sz w:val="21"/>
                      <w:szCs w:val="21"/>
                    </w:rPr>
                    <w:t>侧</w:t>
                  </w:r>
                </w:p>
              </w:tc>
              <w:tc>
                <w:tcPr>
                  <w:tcW w:w="1758" w:type="dxa"/>
                  <w:vMerge w:val="continue"/>
                  <w:noWrap w:val="0"/>
                  <w:vAlign w:val="center"/>
                </w:tcPr>
                <w:p>
                  <w:pPr>
                    <w:widowControl w:val="0"/>
                    <w:adjustRightInd/>
                    <w:snapToGrid/>
                    <w:jc w:val="center"/>
                    <w:rPr>
                      <w:rFonts w:hint="default" w:ascii="Times New Roman" w:hAnsi="Times New Roman" w:eastAsia="宋体" w:cs="Times New Roman"/>
                      <w:color w:val="auto"/>
                      <w:kern w:val="2"/>
                      <w:sz w:val="21"/>
                      <w:szCs w:val="21"/>
                    </w:rPr>
                  </w:pPr>
                </w:p>
              </w:tc>
              <w:tc>
                <w:tcPr>
                  <w:tcW w:w="1859"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59.0</w:t>
                  </w:r>
                </w:p>
              </w:tc>
              <w:tc>
                <w:tcPr>
                  <w:tcW w:w="1764" w:type="dxa"/>
                  <w:noWrap w:val="0"/>
                  <w:vAlign w:val="center"/>
                </w:tcPr>
                <w:p>
                  <w:pPr>
                    <w:widowControl w:val="0"/>
                    <w:adjustRightInd/>
                    <w:snapToGrid/>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63.5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Ex>
              <w:trPr>
                <w:trHeight w:val="23" w:hRule="atLeast"/>
              </w:trPr>
              <w:tc>
                <w:tcPr>
                  <w:tcW w:w="4682" w:type="dxa"/>
                  <w:gridSpan w:val="3"/>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排放标准dB（A）</w:t>
                  </w:r>
                </w:p>
              </w:tc>
              <w:tc>
                <w:tcPr>
                  <w:tcW w:w="3623" w:type="dxa"/>
                  <w:gridSpan w:val="2"/>
                  <w:noWrap w:val="0"/>
                  <w:vAlign w:val="center"/>
                </w:tcPr>
                <w:p>
                  <w:pPr>
                    <w:widowControl w:val="0"/>
                    <w:adjustRightInd/>
                    <w:snapToGrid/>
                    <w:jc w:val="center"/>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2"/>
                      <w:sz w:val="21"/>
                      <w:szCs w:val="21"/>
                    </w:rPr>
                    <w:t>65</w:t>
                  </w:r>
                </w:p>
              </w:tc>
            </w:tr>
          </w:tbl>
          <w:p>
            <w:pPr>
              <w:spacing w:line="240" w:lineRule="auto"/>
              <w:ind w:firstLine="420" w:firstLineChars="200"/>
              <w:rPr>
                <w:rFonts w:hint="default" w:ascii="Times New Roman" w:hAnsi="Times New Roman" w:eastAsia="宋体" w:cs="Times New Roman"/>
                <w:color w:val="auto"/>
                <w:sz w:val="21"/>
                <w:szCs w:val="21"/>
              </w:rPr>
            </w:pPr>
          </w:p>
          <w:p>
            <w:pPr>
              <w:widowControl w:val="0"/>
              <w:adjustRightInd/>
              <w:spacing w:line="360" w:lineRule="auto"/>
              <w:ind w:firstLine="480" w:firstLineChars="200"/>
              <w:jc w:val="both"/>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检测结果表明，</w:t>
            </w:r>
            <w:r>
              <w:rPr>
                <w:rFonts w:hint="default" w:ascii="Times New Roman" w:hAnsi="Times New Roman" w:eastAsia="宋体" w:cs="Times New Roman"/>
                <w:bCs/>
                <w:color w:val="auto"/>
                <w:kern w:val="2"/>
                <w:sz w:val="24"/>
                <w:szCs w:val="24"/>
                <w:lang w:eastAsia="zh-CN"/>
              </w:rPr>
              <w:t>现有</w:t>
            </w:r>
            <w:r>
              <w:rPr>
                <w:rFonts w:hint="default" w:ascii="Times New Roman" w:hAnsi="Times New Roman" w:eastAsia="宋体" w:cs="Times New Roman"/>
                <w:bCs/>
                <w:color w:val="auto"/>
                <w:kern w:val="2"/>
                <w:sz w:val="24"/>
                <w:szCs w:val="24"/>
              </w:rPr>
              <w:t>项目厂界噪声排放均符合《工业企业厂界环境噪声排放标准》（GB 22337-2008）3类标准。</w:t>
            </w:r>
          </w:p>
          <w:p>
            <w:pPr>
              <w:spacing w:line="360" w:lineRule="auto"/>
              <w:ind w:firstLine="435"/>
              <w:rPr>
                <w:rStyle w:val="36"/>
                <w:rFonts w:hint="default" w:ascii="Times New Roman" w:hAnsi="Times New Roman" w:eastAsia="宋体" w:cs="Times New Roman"/>
                <w:b/>
                <w:bCs/>
                <w:color w:val="auto"/>
                <w:kern w:val="0"/>
                <w:sz w:val="24"/>
                <w:szCs w:val="24"/>
              </w:rPr>
            </w:pPr>
            <w:r>
              <w:rPr>
                <w:rFonts w:hint="default" w:ascii="Times New Roman" w:hAnsi="Times New Roman" w:eastAsia="宋体" w:cs="Times New Roman"/>
                <w:b/>
                <w:bCs/>
                <w:color w:val="auto"/>
                <w:sz w:val="24"/>
                <w:szCs w:val="24"/>
              </w:rPr>
              <w:t>（4）固废</w:t>
            </w:r>
          </w:p>
          <w:p>
            <w:pPr>
              <w:spacing w:line="360" w:lineRule="auto"/>
              <w:ind w:firstLine="43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现有项目</w:t>
            </w:r>
            <w:r>
              <w:rPr>
                <w:rFonts w:hint="default" w:ascii="Times New Roman" w:hAnsi="Times New Roman" w:eastAsia="宋体" w:cs="Times New Roman"/>
                <w:color w:val="auto"/>
                <w:sz w:val="24"/>
                <w:szCs w:val="24"/>
                <w:lang w:val="en-US" w:eastAsia="zh-CN"/>
              </w:rPr>
              <w:t>残次品</w:t>
            </w:r>
            <w:r>
              <w:rPr>
                <w:rFonts w:hint="default" w:ascii="Times New Roman" w:hAnsi="Times New Roman" w:eastAsia="宋体" w:cs="Times New Roman"/>
                <w:color w:val="auto"/>
                <w:sz w:val="24"/>
                <w:szCs w:val="24"/>
              </w:rPr>
              <w:t>（约</w:t>
            </w:r>
            <w:r>
              <w:rPr>
                <w:rFonts w:hint="default" w:ascii="Times New Roman" w:hAnsi="Times New Roman" w:eastAsia="宋体" w:cs="Times New Roman"/>
                <w:color w:val="auto"/>
                <w:sz w:val="24"/>
                <w:szCs w:val="24"/>
                <w:lang w:val="en-US" w:eastAsia="zh-CN"/>
              </w:rPr>
              <w:t>0.5</w:t>
            </w:r>
            <w:r>
              <w:rPr>
                <w:rFonts w:hint="default" w:ascii="Times New Roman" w:hAnsi="Times New Roman" w:eastAsia="宋体" w:cs="Times New Roman"/>
                <w:color w:val="auto"/>
                <w:sz w:val="24"/>
                <w:szCs w:val="24"/>
              </w:rPr>
              <w:t>t/a）打包出售，生活垃圾（</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t/a）由环卫部门清运。</w:t>
            </w:r>
          </w:p>
          <w:p>
            <w:pPr>
              <w:spacing w:line="360" w:lineRule="auto"/>
              <w:ind w:firstLine="435"/>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（5）总量核算</w:t>
            </w:r>
          </w:p>
          <w:p>
            <w:pPr>
              <w:spacing w:line="360" w:lineRule="auto"/>
              <w:ind w:firstLine="435"/>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现有项目污染物排放总量核算见下表。</w:t>
            </w:r>
          </w:p>
          <w:p>
            <w:pPr>
              <w:ind w:firstLine="482" w:firstLineChars="20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表2-</w:t>
            </w:r>
            <w:r>
              <w:rPr>
                <w:rFonts w:hint="default" w:ascii="Times New Roman" w:hAnsi="Times New Roman" w:cs="Times New Roman"/>
                <w:b/>
                <w:color w:val="auto"/>
                <w:sz w:val="24"/>
                <w:szCs w:val="24"/>
                <w:lang w:val="en-US" w:eastAsia="zh-CN"/>
              </w:rPr>
              <w:t>15</w:t>
            </w:r>
            <w:r>
              <w:rPr>
                <w:rFonts w:hint="default" w:ascii="Times New Roman" w:hAnsi="Times New Roman" w:eastAsia="宋体" w:cs="Times New Roman"/>
                <w:b/>
                <w:color w:val="auto"/>
                <w:sz w:val="24"/>
                <w:szCs w:val="24"/>
              </w:rPr>
              <w:t>现有项目污染物排放量核算一览表  单位:t/a</w:t>
            </w:r>
          </w:p>
          <w:tbl>
            <w:tblPr>
              <w:tblStyle w:val="30"/>
              <w:tblW w:w="8308"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435"/>
              <w:gridCol w:w="1349"/>
              <w:gridCol w:w="1319"/>
              <w:gridCol w:w="1666"/>
              <w:gridCol w:w="1335"/>
              <w:gridCol w:w="1204"/>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540" w:hRule="atLeast"/>
                <w:jc w:val="center"/>
              </w:trPr>
              <w:tc>
                <w:tcPr>
                  <w:tcW w:w="1435" w:type="dxa"/>
                  <w:noWrap w:val="0"/>
                  <w:vAlign w:val="center"/>
                </w:tcPr>
                <w:p>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种类</w:t>
                  </w:r>
                </w:p>
              </w:tc>
              <w:tc>
                <w:tcPr>
                  <w:tcW w:w="1349" w:type="dxa"/>
                  <w:noWrap w:val="0"/>
                  <w:vAlign w:val="center"/>
                </w:tcPr>
                <w:p>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污染物名称</w:t>
                  </w:r>
                </w:p>
              </w:tc>
              <w:tc>
                <w:tcPr>
                  <w:tcW w:w="1319" w:type="dxa"/>
                  <w:shd w:val="clear" w:color="auto" w:fill="auto"/>
                  <w:noWrap w:val="0"/>
                  <w:vAlign w:val="center"/>
                </w:tcPr>
                <w:p>
                  <w:pPr>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cs="Times New Roman"/>
                      <w:b/>
                      <w:szCs w:val="21"/>
                    </w:rPr>
                    <w:t>环评</w:t>
                  </w:r>
                  <w:r>
                    <w:rPr>
                      <w:rFonts w:hint="default" w:ascii="Times New Roman" w:hAnsi="Times New Roman" w:cs="Times New Roman"/>
                      <w:b/>
                      <w:szCs w:val="21"/>
                      <w:lang w:val="en-US" w:eastAsia="zh-CN"/>
                    </w:rPr>
                    <w:t>许可量</w:t>
                  </w:r>
                  <w:r>
                    <w:rPr>
                      <w:rFonts w:hint="default" w:ascii="Times New Roman" w:hAnsi="Times New Roman" w:cs="Times New Roman"/>
                      <w:b/>
                      <w:szCs w:val="21"/>
                    </w:rPr>
                    <w:t>（t/a）</w:t>
                  </w:r>
                </w:p>
              </w:tc>
              <w:tc>
                <w:tcPr>
                  <w:tcW w:w="1666" w:type="dxa"/>
                  <w:shd w:val="clear" w:color="auto" w:fill="auto"/>
                  <w:noWrap w:val="0"/>
                  <w:vAlign w:val="center"/>
                </w:tcPr>
                <w:p>
                  <w:pPr>
                    <w:jc w:val="center"/>
                    <w:rPr>
                      <w:rFonts w:hint="default" w:ascii="Times New Roman" w:hAnsi="Times New Roman" w:eastAsia="宋体" w:cs="Times New Roman"/>
                      <w:b/>
                      <w:szCs w:val="21"/>
                      <w:lang w:val="en-US" w:eastAsia="zh-CN"/>
                    </w:rPr>
                  </w:pPr>
                  <w:r>
                    <w:rPr>
                      <w:rFonts w:hint="default" w:ascii="Times New Roman" w:hAnsi="Times New Roman" w:cs="Times New Roman"/>
                      <w:b/>
                      <w:szCs w:val="21"/>
                      <w:lang w:val="en-US" w:eastAsia="zh-CN"/>
                    </w:rPr>
                    <w:t>环评批复量</w:t>
                  </w:r>
                  <w:r>
                    <w:rPr>
                      <w:rFonts w:hint="default" w:ascii="Times New Roman" w:hAnsi="Times New Roman" w:cs="Times New Roman"/>
                      <w:b/>
                      <w:szCs w:val="21"/>
                    </w:rPr>
                    <w:t>（t/a）</w:t>
                  </w:r>
                </w:p>
              </w:tc>
              <w:tc>
                <w:tcPr>
                  <w:tcW w:w="1335" w:type="dxa"/>
                  <w:shd w:val="clear" w:color="auto" w:fill="auto"/>
                  <w:noWrap w:val="0"/>
                  <w:vAlign w:val="center"/>
                </w:tcPr>
                <w:p>
                  <w:pPr>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cs="Times New Roman"/>
                      <w:b/>
                      <w:szCs w:val="21"/>
                    </w:rPr>
                    <w:t>实际排放量（t/a）</w:t>
                  </w:r>
                </w:p>
              </w:tc>
              <w:tc>
                <w:tcPr>
                  <w:tcW w:w="1204" w:type="dxa"/>
                  <w:shd w:val="clear" w:color="auto" w:fill="auto"/>
                  <w:noWrap w:val="0"/>
                  <w:vAlign w:val="center"/>
                </w:tcPr>
                <w:p>
                  <w:pPr>
                    <w:jc w:val="center"/>
                    <w:rPr>
                      <w:rFonts w:hint="default" w:ascii="Times New Roman" w:hAnsi="Times New Roman" w:eastAsia="宋体" w:cs="Times New Roman"/>
                      <w:b/>
                      <w:kern w:val="2"/>
                      <w:sz w:val="21"/>
                      <w:szCs w:val="21"/>
                      <w:lang w:val="en-US" w:eastAsia="zh-CN" w:bidi="ar-SA"/>
                    </w:rPr>
                  </w:pPr>
                  <w:r>
                    <w:rPr>
                      <w:rFonts w:hint="eastAsia"/>
                      <w:b/>
                      <w:bCs/>
                      <w:lang w:val="en-US" w:eastAsia="zh-CN"/>
                    </w:rPr>
                    <w:t>是否超环评批复量</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noWrap w:val="0"/>
                  <w:vAlign w:val="center"/>
                </w:tcPr>
                <w:p>
                  <w:pPr>
                    <w:adjustRightInd w:val="0"/>
                    <w:snapToGrid w:val="0"/>
                    <w:contextualSpacing/>
                    <w:jc w:val="center"/>
                    <w:rPr>
                      <w:rFonts w:hint="default" w:ascii="Times New Roman" w:hAnsi="Times New Roman" w:eastAsia="宋体" w:cs="Times New Roman"/>
                      <w:color w:val="auto"/>
                      <w:sz w:val="21"/>
                      <w:szCs w:val="21"/>
                    </w:rPr>
                  </w:pPr>
                  <w:r>
                    <w:rPr>
                      <w:rStyle w:val="36"/>
                      <w:rFonts w:hint="default" w:ascii="Times New Roman" w:hAnsi="Times New Roman" w:eastAsia="宋体" w:cs="Times New Roman"/>
                      <w:color w:val="auto"/>
                      <w:kern w:val="0"/>
                      <w:sz w:val="21"/>
                      <w:szCs w:val="21"/>
                    </w:rPr>
                    <w:t>有组织</w:t>
                  </w:r>
                  <w:r>
                    <w:rPr>
                      <w:rFonts w:hint="default" w:ascii="Times New Roman" w:hAnsi="Times New Roman" w:eastAsia="宋体" w:cs="Times New Roman"/>
                      <w:color w:val="auto"/>
                      <w:sz w:val="21"/>
                      <w:szCs w:val="21"/>
                    </w:rPr>
                    <w:t>废气</w:t>
                  </w:r>
                </w:p>
              </w:tc>
              <w:tc>
                <w:tcPr>
                  <w:tcW w:w="1349" w:type="dxa"/>
                  <w:vMerge w:val="restart"/>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非甲烷总烃</w:t>
                  </w:r>
                </w:p>
              </w:tc>
              <w:tc>
                <w:tcPr>
                  <w:tcW w:w="131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0.005</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0.005</w:t>
                  </w:r>
                </w:p>
              </w:tc>
              <w:tc>
                <w:tcPr>
                  <w:tcW w:w="1335"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w:t>
                  </w:r>
                </w:p>
              </w:tc>
              <w:tc>
                <w:tcPr>
                  <w:tcW w:w="1204"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lang w:val="en-US" w:eastAsia="zh-CN"/>
                    </w:rPr>
                  </w:pPr>
                  <w:r>
                    <w:rPr>
                      <w:rStyle w:val="36"/>
                      <w:rFonts w:hint="default" w:ascii="Times New Roman" w:hAnsi="Times New Roman" w:cs="Times New Roman"/>
                      <w:color w:val="auto"/>
                      <w:kern w:val="0"/>
                      <w:sz w:val="21"/>
                      <w:szCs w:val="21"/>
                      <w:lang w:val="en-US" w:eastAsia="zh-CN"/>
                    </w:rPr>
                    <w:t>无组织废气</w:t>
                  </w:r>
                </w:p>
              </w:tc>
              <w:tc>
                <w:tcPr>
                  <w:tcW w:w="1349" w:type="dxa"/>
                  <w:vMerge w:val="continue"/>
                  <w:shd w:val="clear" w:color="auto" w:fill="auto"/>
                  <w:noWrap w:val="0"/>
                  <w:vAlign w:val="center"/>
                </w:tcPr>
                <w:p>
                  <w:pPr>
                    <w:jc w:val="center"/>
                    <w:rPr>
                      <w:rFonts w:hint="default" w:ascii="Times New Roman" w:hAnsi="Times New Roman" w:eastAsia="宋体" w:cs="Times New Roman"/>
                      <w:color w:val="auto"/>
                      <w:sz w:val="21"/>
                      <w:szCs w:val="21"/>
                      <w:lang w:eastAsia="zh-CN"/>
                    </w:rPr>
                  </w:pP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restart"/>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废水</w:t>
                  </w: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废水量</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COD</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SS</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氨氮</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总氮</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总磷</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restart"/>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固废</w:t>
                  </w: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一般固废</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435"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349"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危险废物</w:t>
                  </w:r>
                </w:p>
              </w:tc>
              <w:tc>
                <w:tcPr>
                  <w:tcW w:w="131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66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335"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204"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否</w:t>
                  </w:r>
                </w:p>
              </w:tc>
            </w:tr>
          </w:tbl>
          <w:p>
            <w:pPr>
              <w:spacing w:line="360" w:lineRule="auto"/>
              <w:ind w:firstLine="435"/>
              <w:rPr>
                <w:rFonts w:hint="default" w:ascii="Times New Roman" w:hAnsi="Times New Roman" w:eastAsia="宋体" w:cs="Times New Roman"/>
                <w:color w:val="auto"/>
                <w:sz w:val="21"/>
                <w:szCs w:val="21"/>
                <w:lang w:eastAsia="zh-CN"/>
              </w:rPr>
            </w:pPr>
          </w:p>
          <w:p>
            <w:pPr>
              <w:spacing w:line="360" w:lineRule="auto"/>
              <w:ind w:firstLine="435"/>
              <w:rPr>
                <w:rFonts w:hint="default" w:ascii="Times New Roman" w:hAnsi="Times New Roman" w:eastAsia="宋体" w:cs="Times New Roman"/>
                <w:b/>
                <w:bCs/>
                <w:color w:val="auto"/>
                <w:sz w:val="24"/>
                <w:szCs w:val="24"/>
                <w:lang w:eastAsia="zh-CN"/>
              </w:rPr>
            </w:pP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eastAsia="zh-CN"/>
              </w:rPr>
              <w:t xml:space="preserve">）现有项目环境应急预案备案及环境风险措施落实情况 </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现有项目突发环境事件应急预案已备案；企业利用冷却循环水池日常剩余池容约 2m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vertAlign w:val="baseline"/>
                <w:lang w:val="en-US" w:eastAsia="zh-CN"/>
              </w:rPr>
              <w:t>及</w:t>
            </w:r>
            <w:r>
              <w:rPr>
                <w:rFonts w:hint="default" w:ascii="Times New Roman" w:hAnsi="Times New Roman" w:eastAsia="宋体" w:cs="Times New Roman"/>
                <w:color w:val="auto"/>
                <w:sz w:val="24"/>
                <w:szCs w:val="24"/>
                <w:vertAlign w:val="baseline"/>
                <w:lang w:eastAsia="zh-CN"/>
              </w:rPr>
              <w:t>8m</w:t>
            </w:r>
            <w:r>
              <w:rPr>
                <w:rFonts w:hint="default" w:ascii="Times New Roman" w:hAnsi="Times New Roman" w:eastAsia="宋体" w:cs="Times New Roman"/>
                <w:color w:val="auto"/>
                <w:sz w:val="24"/>
                <w:szCs w:val="24"/>
                <w:vertAlign w:val="superscript"/>
                <w:lang w:eastAsia="zh-CN"/>
              </w:rPr>
              <w:t>3</w:t>
            </w:r>
            <w:r>
              <w:rPr>
                <w:rFonts w:hint="default" w:ascii="Times New Roman" w:hAnsi="Times New Roman" w:eastAsia="宋体" w:cs="Times New Roman"/>
                <w:color w:val="auto"/>
                <w:sz w:val="24"/>
                <w:szCs w:val="24"/>
                <w:vertAlign w:val="baseline"/>
                <w:lang w:eastAsia="zh-CN"/>
              </w:rPr>
              <w:t>PVC桶</w:t>
            </w:r>
            <w:r>
              <w:rPr>
                <w:rFonts w:hint="default" w:ascii="Times New Roman" w:hAnsi="Times New Roman" w:eastAsia="宋体" w:cs="Times New Roman"/>
                <w:color w:val="auto"/>
                <w:sz w:val="24"/>
                <w:szCs w:val="24"/>
                <w:lang w:eastAsia="zh-CN"/>
              </w:rPr>
              <w:t>作为应急事故池，可满足事故应急的需要。现有项目环境风险措施基本落实到位，安全出口及安全疏散距离满足《建筑设计防火规范》（2018 版）的相关要求；加强对职工的环保安全教育，通过现场实操有效提高事故应急处置能力；定期开展应急演练，根据演练情况结合实际不断完善应急预案。综上所述，本公司现有项目环境风险措施基本落实到位，环境风险处于可接受的水平。</w:t>
            </w:r>
          </w:p>
          <w:p>
            <w:pPr>
              <w:numPr>
                <w:ilvl w:val="0"/>
                <w:numId w:val="0"/>
              </w:numPr>
              <w:spacing w:line="360" w:lineRule="auto"/>
              <w:ind w:firstLine="435" w:firstLineChars="0"/>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bCs/>
                <w:color w:val="auto"/>
                <w:kern w:val="2"/>
                <w:sz w:val="24"/>
                <w:szCs w:val="24"/>
                <w:lang w:val="en-US" w:eastAsia="zh-CN" w:bidi="ar-SA"/>
              </w:rPr>
              <w:t>5、</w:t>
            </w:r>
            <w:r>
              <w:rPr>
                <w:rFonts w:hint="default" w:ascii="Times New Roman" w:hAnsi="Times New Roman" w:eastAsia="宋体" w:cs="Times New Roman"/>
                <w:b/>
                <w:bCs/>
                <w:color w:val="auto"/>
                <w:sz w:val="24"/>
                <w:szCs w:val="24"/>
                <w:lang w:eastAsia="zh-CN"/>
              </w:rPr>
              <w:t>迁建污染防治措施</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val="en-US" w:eastAsia="zh-CN"/>
              </w:rPr>
              <w:t>企业迁建不涉及建筑物拆除，</w:t>
            </w:r>
            <w:r>
              <w:rPr>
                <w:rFonts w:hint="default" w:ascii="Times New Roman" w:hAnsi="Times New Roman" w:eastAsia="宋体" w:cs="Times New Roman"/>
                <w:color w:val="auto"/>
                <w:sz w:val="24"/>
                <w:szCs w:val="24"/>
                <w:lang w:eastAsia="zh-CN"/>
              </w:rPr>
              <w:t>在</w:t>
            </w:r>
            <w:r>
              <w:rPr>
                <w:rFonts w:hint="default" w:ascii="Times New Roman" w:hAnsi="Times New Roman" w:eastAsia="宋体" w:cs="Times New Roman"/>
                <w:color w:val="auto"/>
                <w:sz w:val="24"/>
                <w:szCs w:val="24"/>
                <w:lang w:val="en-US" w:eastAsia="zh-CN"/>
              </w:rPr>
              <w:t>设备</w:t>
            </w:r>
            <w:r>
              <w:rPr>
                <w:rFonts w:hint="default" w:ascii="Times New Roman" w:hAnsi="Times New Roman" w:eastAsia="宋体" w:cs="Times New Roman"/>
                <w:color w:val="auto"/>
                <w:sz w:val="24"/>
                <w:szCs w:val="24"/>
                <w:lang w:eastAsia="zh-CN"/>
              </w:rPr>
              <w:t>拆解前企业应做好场地清理工作，在厂区划分出设备拆除区域、设备集中拆解区、设备集中整理区、临时储存区等，拆解后做好保存工作，及时联系</w:t>
            </w:r>
            <w:r>
              <w:rPr>
                <w:rFonts w:hint="default" w:ascii="Times New Roman" w:hAnsi="Times New Roman" w:eastAsia="宋体" w:cs="Times New Roman"/>
                <w:color w:val="auto"/>
                <w:sz w:val="24"/>
                <w:szCs w:val="24"/>
                <w:lang w:val="en-US" w:eastAsia="zh-CN"/>
              </w:rPr>
              <w:t>运输单位</w:t>
            </w:r>
            <w:r>
              <w:rPr>
                <w:rFonts w:hint="default" w:ascii="Times New Roman" w:hAnsi="Times New Roman" w:eastAsia="宋体" w:cs="Times New Roman"/>
                <w:color w:val="auto"/>
                <w:sz w:val="24"/>
                <w:szCs w:val="24"/>
                <w:lang w:eastAsia="zh-CN"/>
              </w:rPr>
              <w:t>将设备运走。</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企业在拆除过程中需严格遵循先拆除辅助设备，其次拆除生产设备，最后拆除环保设备</w:t>
            </w:r>
            <w:r>
              <w:rPr>
                <w:rFonts w:hint="eastAsia" w:cs="Times New Roman"/>
                <w:color w:val="auto"/>
                <w:sz w:val="24"/>
                <w:szCs w:val="24"/>
                <w:lang w:eastAsia="zh-CN"/>
              </w:rPr>
              <w:t>，生产设备、公辅工程、环保设备拆除过程中应根据《企业拆除活动污染防治技术规定（ 试行）》（环保部2017年78号令）要求进行污染防治</w:t>
            </w:r>
            <w:r>
              <w:rPr>
                <w:rFonts w:hint="default" w:ascii="Times New Roman" w:hAnsi="Times New Roman" w:eastAsia="宋体" w:cs="Times New Roman"/>
                <w:color w:val="auto"/>
                <w:sz w:val="24"/>
                <w:szCs w:val="24"/>
                <w:lang w:eastAsia="zh-CN"/>
              </w:rPr>
              <w:t>；环保设备优先拆除废气处理装置，其次固废库，最后拆除废水处理装置的顺序。本次</w:t>
            </w:r>
            <w:r>
              <w:rPr>
                <w:rFonts w:hint="default" w:ascii="Times New Roman" w:hAnsi="Times New Roman" w:eastAsia="宋体" w:cs="Times New Roman"/>
                <w:color w:val="auto"/>
                <w:sz w:val="24"/>
                <w:szCs w:val="24"/>
                <w:lang w:val="en-US" w:eastAsia="zh-CN"/>
              </w:rPr>
              <w:t>仅</w:t>
            </w:r>
            <w:r>
              <w:rPr>
                <w:rFonts w:hint="default" w:ascii="Times New Roman" w:hAnsi="Times New Roman" w:eastAsia="宋体" w:cs="Times New Roman"/>
                <w:color w:val="auto"/>
                <w:sz w:val="24"/>
                <w:szCs w:val="24"/>
                <w:lang w:eastAsia="zh-CN"/>
              </w:rPr>
              <w:t>拆除利旧设备，</w:t>
            </w:r>
            <w:r>
              <w:rPr>
                <w:rFonts w:hint="eastAsia" w:cs="Times New Roman"/>
                <w:color w:val="auto"/>
                <w:sz w:val="24"/>
                <w:szCs w:val="24"/>
                <w:lang w:val="en-US" w:eastAsia="zh-CN"/>
              </w:rPr>
              <w:t>无淘汰设备，</w:t>
            </w:r>
            <w:r>
              <w:rPr>
                <w:rFonts w:hint="default" w:ascii="Times New Roman" w:hAnsi="Times New Roman" w:eastAsia="宋体" w:cs="Times New Roman"/>
                <w:color w:val="auto"/>
                <w:sz w:val="24"/>
                <w:szCs w:val="24"/>
                <w:lang w:eastAsia="zh-CN"/>
              </w:rPr>
              <w:t>不涉及辅助设备、环保设备的拆除。</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业主单位可自行组织拆除工作或委托具备相应能力的施工单位开展拆除工作，拆除过程（特别是登高作业和有限空间）需严格按照GB30871-2014的要求进行安全拆除。</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拆除活动结束后，应对现场内所有区域进行检查、清理，确保所有拆除产物、遗留物料、残留污染物等得到合理处置，不遗留土壤污染隐患。</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整体拆除过程开始后，厂区内残留水污染物主要为生活污水。生活污水产生量约为</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t（拆除期平均每天职工人数为</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eastAsia="zh-CN"/>
              </w:rPr>
              <w:t>0人，工作时间以</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0天计，用水量按照</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eastAsia="zh-CN"/>
              </w:rPr>
              <w:t>0L/人·天计，排水量以用水量的</w:t>
            </w:r>
            <w:r>
              <w:rPr>
                <w:rFonts w:hint="default"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eastAsia="zh-CN"/>
              </w:rPr>
              <w:t>0%计，则生活污水产生量约为</w:t>
            </w:r>
            <w:r>
              <w:rPr>
                <w:rFonts w:hint="default" w:ascii="Times New Roman" w:hAnsi="Times New Roman" w:eastAsia="宋体" w:cs="Times New Roman"/>
                <w:color w:val="auto"/>
                <w:sz w:val="24"/>
                <w:szCs w:val="24"/>
                <w:lang w:val="en-US" w:eastAsia="zh-CN"/>
              </w:rPr>
              <w:t>20</w:t>
            </w:r>
            <w:r>
              <w:rPr>
                <w:rFonts w:hint="default" w:ascii="Times New Roman" w:hAnsi="Times New Roman" w:eastAsia="宋体" w:cs="Times New Roman"/>
                <w:color w:val="auto"/>
                <w:sz w:val="24"/>
                <w:szCs w:val="24"/>
                <w:lang w:eastAsia="zh-CN"/>
              </w:rPr>
              <w:t>t/a），通过</w:t>
            </w:r>
            <w:r>
              <w:rPr>
                <w:rFonts w:hint="default" w:ascii="Times New Roman" w:hAnsi="Times New Roman" w:eastAsia="宋体" w:cs="Times New Roman"/>
                <w:color w:val="auto"/>
                <w:sz w:val="24"/>
                <w:szCs w:val="24"/>
                <w:lang w:val="en-US" w:eastAsia="zh-CN"/>
              </w:rPr>
              <w:t>租赁方化粪池预处理后肥田</w:t>
            </w:r>
            <w:r>
              <w:rPr>
                <w:rFonts w:hint="default" w:ascii="Times New Roman" w:hAnsi="Times New Roman" w:eastAsia="宋体" w:cs="Times New Roman"/>
                <w:color w:val="auto"/>
                <w:sz w:val="24"/>
                <w:szCs w:val="24"/>
                <w:lang w:eastAsia="zh-CN"/>
              </w:rPr>
              <w:t>。</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拆除活动选择晴好天气，雷雨天气或大风天，仅组织室内设备整理。在拆除区域与暂存区域所经路线及暂存区域内铺设防渗膜</w:t>
            </w:r>
            <w:r>
              <w:rPr>
                <w:rFonts w:hint="default" w:ascii="Times New Roman" w:hAnsi="Times New Roman" w:eastAsia="宋体" w:cs="Times New Roman"/>
                <w:color w:val="auto"/>
                <w:sz w:val="24"/>
                <w:szCs w:val="24"/>
                <w:lang w:val="en-US" w:eastAsia="zh-CN"/>
              </w:rPr>
              <w:t>以防</w:t>
            </w:r>
            <w:r>
              <w:rPr>
                <w:rFonts w:hint="default" w:ascii="Times New Roman" w:hAnsi="Times New Roman" w:eastAsia="宋体" w:cs="Times New Roman"/>
                <w:color w:val="auto"/>
                <w:sz w:val="24"/>
                <w:szCs w:val="24"/>
                <w:lang w:eastAsia="zh-CN"/>
              </w:rPr>
              <w:t>拆除转移过程中高环境风险污染物落入地面污染地面及土壤。</w:t>
            </w:r>
          </w:p>
          <w:p>
            <w:pPr>
              <w:spacing w:line="360" w:lineRule="auto"/>
              <w:ind w:firstLine="43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本次不涉及建筑物拆除，不涉及大气二次污染物</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拆除活动中应尽量减少固体废物的产生。拆除过程需防止设施内残留的固体废物遗撒导致的二次污染，对易受到二次污染的区域铺设防渗层。拆除尽量避开雨季，防治因雨水淋滤造成土壤与地下水污染。</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对地上废弃物(包括建筑垃圾)进行清理时，应采取分类处理处置的方法。对未受污染的废弃物，可按照一般废弃物进行处理处置。对受到污染的废弃物和建筑垃圾，应区别对待，妥善处理，严防产生二次污染。</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施工现场设立专门的废弃物临时储存场地，废弃物分类存放，分生活垃圾存放区、一般固废储存区和危险废物储存区，对有可能造成二次污染的废弃物必须单独储存在危险废物储存区，设置安全防范措施并有醒目标志。</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施工现场设置专门垃圾箱派专人管理和清理。</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施工过程中产生的危险废物按相关规定处置</w:t>
            </w:r>
          </w:p>
          <w:p>
            <w:pPr>
              <w:spacing w:line="360" w:lineRule="auto"/>
              <w:ind w:firstLine="435"/>
              <w:rPr>
                <w:rFonts w:hint="default" w:ascii="Times New Roman" w:hAnsi="Times New Roman" w:cs="Times New Roman"/>
                <w:sz w:val="32"/>
                <w:szCs w:val="32"/>
                <w:lang w:val="en-US" w:eastAsia="zh-CN"/>
              </w:rPr>
            </w:pPr>
            <w:r>
              <w:rPr>
                <w:rFonts w:hint="default" w:ascii="Times New Roman" w:hAnsi="Times New Roman" w:eastAsia="宋体" w:cs="Times New Roman"/>
                <w:color w:val="auto"/>
                <w:sz w:val="24"/>
                <w:szCs w:val="24"/>
                <w:lang w:eastAsia="zh-CN"/>
              </w:rPr>
              <w:t>拆除过程工作中，高噪声设备布局远离居民区，运输线路尽量远离居民区；加强施工管理，</w:t>
            </w:r>
            <w:r>
              <w:rPr>
                <w:rFonts w:hint="default" w:ascii="Times New Roman" w:hAnsi="Times New Roman" w:eastAsia="宋体" w:cs="Times New Roman"/>
                <w:color w:val="auto"/>
                <w:sz w:val="24"/>
                <w:szCs w:val="24"/>
                <w:lang w:val="en-US" w:eastAsia="zh-CN"/>
              </w:rPr>
              <w:t>精准</w:t>
            </w:r>
            <w:r>
              <w:rPr>
                <w:rFonts w:hint="default" w:ascii="Times New Roman" w:hAnsi="Times New Roman" w:eastAsia="宋体" w:cs="Times New Roman"/>
                <w:color w:val="auto"/>
                <w:sz w:val="24"/>
                <w:szCs w:val="24"/>
                <w:lang w:eastAsia="zh-CN"/>
              </w:rPr>
              <w:t>降低施工现场噪声；规范施工时间，需要夜间施工应及时报批。采取有效措施避免扰民；维修、管理高噪音的器具，使设备处于低噪声、良好的工作状态，降低噪音污染。</w:t>
            </w:r>
          </w:p>
          <w:p>
            <w:pPr>
              <w:spacing w:line="360" w:lineRule="auto"/>
              <w:ind w:firstLine="435"/>
              <w:rPr>
                <w:rFonts w:hint="default" w:ascii="Times New Roman" w:hAnsi="Times New Roman" w:eastAsia="宋体" w:cs="Times New Roman"/>
                <w:b/>
                <w:bCs/>
                <w:color w:val="auto"/>
                <w:sz w:val="24"/>
                <w:szCs w:val="24"/>
                <w:lang w:eastAsia="zh-CN"/>
              </w:rPr>
            </w:pPr>
            <w:r>
              <w:rPr>
                <w:rFonts w:hint="default" w:ascii="Times New Roman" w:hAnsi="Times New Roman" w:cs="Times New Roman"/>
                <w:b/>
                <w:bCs/>
                <w:color w:val="auto"/>
                <w:sz w:val="24"/>
                <w:szCs w:val="24"/>
                <w:lang w:val="en-US" w:eastAsia="zh-CN"/>
              </w:rPr>
              <w:t>6、</w:t>
            </w:r>
            <w:r>
              <w:rPr>
                <w:rFonts w:hint="default" w:ascii="Times New Roman" w:hAnsi="Times New Roman" w:eastAsia="宋体" w:cs="Times New Roman"/>
                <w:b/>
                <w:bCs/>
                <w:color w:val="auto"/>
                <w:sz w:val="24"/>
                <w:szCs w:val="24"/>
                <w:lang w:eastAsia="zh-CN"/>
              </w:rPr>
              <w:t>以新带老措施</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根据企业监测报告可知，现有项目各污染因子均能稳定达标排放。</w:t>
            </w:r>
          </w:p>
          <w:p>
            <w:pPr>
              <w:spacing w:line="360" w:lineRule="auto"/>
              <w:ind w:firstLine="435"/>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为满足市场需求，结合自身发展需要，南通市煜诚新材料有限公司租赁如皋市大生线路器材有限公司位于如皋市城北街道陆桥村9组现有空置厂房进行迁建。</w:t>
            </w:r>
          </w:p>
          <w:p>
            <w:pPr>
              <w:spacing w:line="360" w:lineRule="auto"/>
              <w:ind w:firstLine="435"/>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现有项目</w:t>
            </w:r>
            <w:r>
              <w:rPr>
                <w:rFonts w:hint="default" w:ascii="Times New Roman" w:hAnsi="Times New Roman" w:eastAsia="宋体" w:cs="Times New Roman"/>
                <w:color w:val="auto"/>
                <w:sz w:val="24"/>
                <w:szCs w:val="24"/>
                <w:lang w:val="en-US" w:eastAsia="zh-CN"/>
              </w:rPr>
              <w:t>污染物</w:t>
            </w:r>
            <w:r>
              <w:rPr>
                <w:rFonts w:hint="default" w:ascii="Times New Roman" w:hAnsi="Times New Roman" w:eastAsia="宋体" w:cs="Times New Roman"/>
                <w:color w:val="auto"/>
                <w:sz w:val="24"/>
                <w:szCs w:val="24"/>
                <w:lang w:eastAsia="zh-CN"/>
              </w:rPr>
              <w:t>环评</w:t>
            </w:r>
            <w:r>
              <w:rPr>
                <w:rFonts w:hint="default" w:ascii="Times New Roman" w:hAnsi="Times New Roman" w:eastAsia="宋体" w:cs="Times New Roman"/>
                <w:color w:val="auto"/>
                <w:sz w:val="24"/>
                <w:szCs w:val="24"/>
                <w:lang w:val="en-US" w:eastAsia="zh-CN"/>
              </w:rPr>
              <w:t>批复总量通过以新代老措施进行削减。</w:t>
            </w:r>
          </w:p>
          <w:p>
            <w:pPr>
              <w:ind w:firstLine="482" w:firstLineChars="200"/>
              <w:jc w:val="center"/>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表2-</w:t>
            </w:r>
            <w:r>
              <w:rPr>
                <w:rFonts w:hint="default" w:ascii="Times New Roman" w:hAnsi="Times New Roman" w:cs="Times New Roman"/>
                <w:b/>
                <w:color w:val="auto"/>
                <w:sz w:val="24"/>
                <w:szCs w:val="24"/>
                <w:lang w:val="en-US" w:eastAsia="zh-CN"/>
              </w:rPr>
              <w:t>16</w:t>
            </w:r>
            <w:r>
              <w:rPr>
                <w:rFonts w:hint="default" w:ascii="Times New Roman" w:hAnsi="Times New Roman" w:eastAsia="宋体" w:cs="Times New Roman"/>
                <w:b/>
                <w:color w:val="auto"/>
                <w:sz w:val="24"/>
                <w:szCs w:val="24"/>
              </w:rPr>
              <w:t>现有项目污染物排放量核算一览表  单位:t/a</w:t>
            </w:r>
          </w:p>
          <w:tbl>
            <w:tblPr>
              <w:tblStyle w:val="30"/>
              <w:tblW w:w="8303"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267"/>
              <w:gridCol w:w="1272"/>
              <w:gridCol w:w="1929"/>
              <w:gridCol w:w="1929"/>
              <w:gridCol w:w="1906"/>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trHeight w:val="540" w:hRule="atLeast"/>
                <w:jc w:val="center"/>
              </w:trPr>
              <w:tc>
                <w:tcPr>
                  <w:tcW w:w="1267" w:type="dxa"/>
                  <w:noWrap w:val="0"/>
                  <w:vAlign w:val="center"/>
                </w:tcPr>
                <w:p>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种类</w:t>
                  </w:r>
                </w:p>
              </w:tc>
              <w:tc>
                <w:tcPr>
                  <w:tcW w:w="1272" w:type="dxa"/>
                  <w:noWrap w:val="0"/>
                  <w:vAlign w:val="center"/>
                </w:tcPr>
                <w:p>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污染物名称</w:t>
                  </w:r>
                </w:p>
              </w:tc>
              <w:tc>
                <w:tcPr>
                  <w:tcW w:w="1929" w:type="dxa"/>
                  <w:shd w:val="clear" w:color="auto" w:fill="auto"/>
                  <w:noWrap w:val="0"/>
                  <w:vAlign w:val="center"/>
                </w:tcPr>
                <w:p>
                  <w:pPr>
                    <w:jc w:val="center"/>
                    <w:rPr>
                      <w:rFonts w:hint="default" w:ascii="Times New Roman" w:hAnsi="Times New Roman" w:eastAsia="宋体" w:cs="Times New Roman"/>
                      <w:b/>
                      <w:kern w:val="2"/>
                      <w:sz w:val="21"/>
                      <w:szCs w:val="21"/>
                      <w:lang w:val="en-US" w:eastAsia="zh-CN" w:bidi="ar-SA"/>
                    </w:rPr>
                  </w:pPr>
                  <w:r>
                    <w:rPr>
                      <w:rFonts w:hint="default" w:ascii="Times New Roman" w:hAnsi="Times New Roman" w:cs="Times New Roman"/>
                      <w:b/>
                      <w:szCs w:val="21"/>
                    </w:rPr>
                    <w:t>环评</w:t>
                  </w:r>
                  <w:r>
                    <w:rPr>
                      <w:rFonts w:hint="default" w:ascii="Times New Roman" w:hAnsi="Times New Roman" w:cs="Times New Roman"/>
                      <w:b/>
                      <w:szCs w:val="21"/>
                      <w:lang w:val="en-US" w:eastAsia="zh-CN"/>
                    </w:rPr>
                    <w:t>许可量</w:t>
                  </w:r>
                  <w:r>
                    <w:rPr>
                      <w:rFonts w:hint="default" w:ascii="Times New Roman" w:hAnsi="Times New Roman" w:cs="Times New Roman"/>
                      <w:b/>
                      <w:szCs w:val="21"/>
                    </w:rPr>
                    <w:t>（t/a）</w:t>
                  </w:r>
                </w:p>
              </w:tc>
              <w:tc>
                <w:tcPr>
                  <w:tcW w:w="1929" w:type="dxa"/>
                  <w:shd w:val="clear" w:color="auto" w:fill="auto"/>
                  <w:noWrap w:val="0"/>
                  <w:vAlign w:val="center"/>
                </w:tcPr>
                <w:p>
                  <w:pPr>
                    <w:jc w:val="center"/>
                    <w:rPr>
                      <w:rFonts w:hint="default" w:ascii="Times New Roman" w:hAnsi="Times New Roman" w:eastAsia="宋体" w:cs="Times New Roman"/>
                      <w:b/>
                      <w:szCs w:val="21"/>
                      <w:lang w:val="en-US" w:eastAsia="zh-CN"/>
                    </w:rPr>
                  </w:pPr>
                  <w:r>
                    <w:rPr>
                      <w:rFonts w:hint="default" w:ascii="Times New Roman" w:hAnsi="Times New Roman" w:cs="Times New Roman"/>
                      <w:b/>
                      <w:szCs w:val="21"/>
                      <w:lang w:val="en-US" w:eastAsia="zh-CN"/>
                    </w:rPr>
                    <w:t>环评批复量</w:t>
                  </w:r>
                  <w:r>
                    <w:rPr>
                      <w:rFonts w:hint="default" w:ascii="Times New Roman" w:hAnsi="Times New Roman" w:cs="Times New Roman"/>
                      <w:b/>
                      <w:szCs w:val="21"/>
                    </w:rPr>
                    <w:t>（t/a）</w:t>
                  </w:r>
                </w:p>
              </w:tc>
              <w:tc>
                <w:tcPr>
                  <w:tcW w:w="1906"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cs="Times New Roman"/>
                      <w:b/>
                      <w:bCs/>
                      <w:szCs w:val="21"/>
                    </w:rPr>
                    <w:t>“以新带老”削减量</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noWrap w:val="0"/>
                  <w:vAlign w:val="center"/>
                </w:tcPr>
                <w:p>
                  <w:pPr>
                    <w:adjustRightInd w:val="0"/>
                    <w:snapToGrid w:val="0"/>
                    <w:contextualSpacing/>
                    <w:jc w:val="center"/>
                    <w:rPr>
                      <w:rFonts w:hint="default" w:ascii="Times New Roman" w:hAnsi="Times New Roman" w:eastAsia="宋体" w:cs="Times New Roman"/>
                      <w:color w:val="auto"/>
                      <w:sz w:val="21"/>
                      <w:szCs w:val="21"/>
                    </w:rPr>
                  </w:pPr>
                  <w:r>
                    <w:rPr>
                      <w:rStyle w:val="36"/>
                      <w:rFonts w:hint="default" w:ascii="Times New Roman" w:hAnsi="Times New Roman" w:eastAsia="宋体" w:cs="Times New Roman"/>
                      <w:color w:val="auto"/>
                      <w:kern w:val="0"/>
                      <w:sz w:val="21"/>
                      <w:szCs w:val="21"/>
                    </w:rPr>
                    <w:t>有组织</w:t>
                  </w:r>
                  <w:r>
                    <w:rPr>
                      <w:rFonts w:hint="default" w:ascii="Times New Roman" w:hAnsi="Times New Roman" w:eastAsia="宋体" w:cs="Times New Roman"/>
                      <w:color w:val="auto"/>
                      <w:sz w:val="21"/>
                      <w:szCs w:val="21"/>
                    </w:rPr>
                    <w:t>废气</w:t>
                  </w:r>
                </w:p>
              </w:tc>
              <w:tc>
                <w:tcPr>
                  <w:tcW w:w="1272" w:type="dxa"/>
                  <w:vMerge w:val="restart"/>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非甲烷总烃</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0.005</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0.005</w:t>
                  </w:r>
                </w:p>
              </w:tc>
              <w:tc>
                <w:tcPr>
                  <w:tcW w:w="1906"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kern w:val="2"/>
                      <w:sz w:val="21"/>
                      <w:szCs w:val="21"/>
                      <w:lang w:val="en-US" w:eastAsia="zh-CN" w:bidi="ar-SA"/>
                    </w:rPr>
                    <w:t>0.005</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lang w:val="en-US" w:eastAsia="zh-CN"/>
                    </w:rPr>
                  </w:pPr>
                  <w:r>
                    <w:rPr>
                      <w:rStyle w:val="36"/>
                      <w:rFonts w:hint="default" w:ascii="Times New Roman" w:hAnsi="Times New Roman" w:cs="Times New Roman"/>
                      <w:color w:val="auto"/>
                      <w:kern w:val="0"/>
                      <w:sz w:val="21"/>
                      <w:szCs w:val="21"/>
                      <w:lang w:val="en-US" w:eastAsia="zh-CN"/>
                    </w:rPr>
                    <w:t>无组织废气</w:t>
                  </w:r>
                </w:p>
              </w:tc>
              <w:tc>
                <w:tcPr>
                  <w:tcW w:w="1272" w:type="dxa"/>
                  <w:vMerge w:val="continue"/>
                  <w:shd w:val="clear" w:color="auto" w:fill="auto"/>
                  <w:noWrap w:val="0"/>
                  <w:vAlign w:val="center"/>
                </w:tcPr>
                <w:p>
                  <w:pPr>
                    <w:jc w:val="center"/>
                    <w:rPr>
                      <w:rFonts w:hint="default" w:ascii="Times New Roman" w:hAnsi="Times New Roman" w:eastAsia="宋体" w:cs="Times New Roman"/>
                      <w:color w:val="auto"/>
                      <w:sz w:val="21"/>
                      <w:szCs w:val="21"/>
                      <w:lang w:eastAsia="zh-CN"/>
                    </w:rPr>
                  </w:pP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0.007</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w:t>
                  </w:r>
                </w:p>
              </w:tc>
              <w:tc>
                <w:tcPr>
                  <w:tcW w:w="1906" w:type="dxa"/>
                  <w:shd w:val="clear" w:color="auto" w:fill="auto"/>
                  <w:noWrap w:val="0"/>
                  <w:vAlign w:val="center"/>
                </w:tcPr>
                <w:p>
                  <w:pPr>
                    <w:widowControl/>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cs="Times New Roman"/>
                      <w:color w:val="auto"/>
                      <w:sz w:val="21"/>
                      <w:szCs w:val="21"/>
                      <w:lang w:val="en-US" w:eastAsia="zh-CN"/>
                    </w:rPr>
                    <w:t>0.007</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restart"/>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废水</w:t>
                  </w: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废水量</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COD</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SS</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氨氮</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总氮</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总磷</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restart"/>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固废</w:t>
                  </w: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一般固废</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267" w:type="dxa"/>
                  <w:vMerge w:val="continue"/>
                  <w:noWrap w:val="0"/>
                  <w:vAlign w:val="center"/>
                </w:tcPr>
                <w:p>
                  <w:pPr>
                    <w:adjustRightInd w:val="0"/>
                    <w:snapToGrid w:val="0"/>
                    <w:contextualSpacing/>
                    <w:jc w:val="center"/>
                    <w:rPr>
                      <w:rStyle w:val="36"/>
                      <w:rFonts w:hint="default" w:ascii="Times New Roman" w:hAnsi="Times New Roman" w:eastAsia="宋体" w:cs="Times New Roman"/>
                      <w:color w:val="auto"/>
                      <w:kern w:val="0"/>
                      <w:sz w:val="21"/>
                      <w:szCs w:val="21"/>
                    </w:rPr>
                  </w:pPr>
                </w:p>
              </w:tc>
              <w:tc>
                <w:tcPr>
                  <w:tcW w:w="1272" w:type="dxa"/>
                  <w:shd w:val="clear" w:color="auto" w:fill="auto"/>
                  <w:noWrap w:val="0"/>
                  <w:vAlign w:val="center"/>
                </w:tcPr>
                <w:p>
                  <w:pPr>
                    <w:tabs>
                      <w:tab w:val="left" w:pos="5142"/>
                    </w:tabs>
                    <w:adjustRightInd w:val="0"/>
                    <w:snapToGrid w:val="0"/>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危险废物</w:t>
                  </w:r>
                </w:p>
              </w:tc>
              <w:tc>
                <w:tcPr>
                  <w:tcW w:w="1929"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c>
                <w:tcPr>
                  <w:tcW w:w="1929" w:type="dxa"/>
                  <w:shd w:val="clear" w:color="auto" w:fill="auto"/>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0</w:t>
                  </w:r>
                </w:p>
              </w:tc>
              <w:tc>
                <w:tcPr>
                  <w:tcW w:w="1906" w:type="dxa"/>
                  <w:shd w:val="clear" w:color="auto" w:fill="auto"/>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0</w:t>
                  </w:r>
                </w:p>
              </w:tc>
            </w:tr>
          </w:tbl>
          <w:p>
            <w:pPr>
              <w:pStyle w:val="2"/>
              <w:rPr>
                <w:rFonts w:hint="default" w:ascii="Times New Roman" w:hAnsi="Times New Roman" w:cs="Times New Roman"/>
                <w:lang w:eastAsia="zh-CN"/>
              </w:rPr>
            </w:pPr>
          </w:p>
          <w:p>
            <w:pPr>
              <w:adjustRightInd w:val="0"/>
              <w:snapToGrid w:val="0"/>
              <w:spacing w:line="360" w:lineRule="auto"/>
              <w:ind w:firstLine="420" w:firstLineChars="200"/>
              <w:rPr>
                <w:rFonts w:hint="default" w:ascii="Times New Roman" w:hAnsi="Times New Roman" w:cs="Times New Roman"/>
              </w:rPr>
            </w:pPr>
          </w:p>
        </w:tc>
      </w:tr>
    </w:tbl>
    <w:p>
      <w:pPr>
        <w:pStyle w:val="26"/>
        <w:jc w:val="center"/>
        <w:rPr>
          <w:rFonts w:ascii="黑体" w:hAnsi="黑体" w:eastAsia="黑体"/>
          <w:snapToGrid w:val="0"/>
          <w:sz w:val="36"/>
          <w:szCs w:val="36"/>
        </w:rPr>
        <w:sectPr>
          <w:pgSz w:w="11906" w:h="16838"/>
          <w:pgMar w:top="1701" w:right="1531" w:bottom="1701" w:left="1531" w:header="851" w:footer="851" w:gutter="0"/>
          <w:pgNumType w:fmt="decimal"/>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30"/>
        <w:tblW w:w="906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vAlign w:val="center"/>
          </w:tcPr>
          <w:p>
            <w:pPr>
              <w:keepNext w:val="0"/>
              <w:keepLines w:val="0"/>
              <w:pageBreakBefore w:val="0"/>
              <w:kinsoku/>
              <w:wordWrap/>
              <w:overflowPunct/>
              <w:topLinePunct w:val="0"/>
              <w:bidi w:val="0"/>
              <w:adjustRightInd w:val="0"/>
              <w:snapToGrid w:val="0"/>
              <w:ind w:right="0"/>
              <w:jc w:val="center"/>
              <w:rPr>
                <w:rFonts w:ascii="宋体" w:hAnsi="宋体" w:cs="宋体"/>
                <w:b/>
                <w:bCs/>
                <w:kern w:val="0"/>
                <w:sz w:val="24"/>
                <w:szCs w:val="24"/>
              </w:rPr>
            </w:pPr>
            <w:r>
              <w:rPr>
                <w:rFonts w:hint="eastAsia" w:ascii="宋体" w:hAnsi="宋体" w:cs="宋体"/>
                <w:b/>
                <w:bCs/>
                <w:kern w:val="0"/>
                <w:sz w:val="24"/>
                <w:szCs w:val="24"/>
              </w:rPr>
              <w:t>区域</w:t>
            </w:r>
          </w:p>
          <w:p>
            <w:pPr>
              <w:keepNext w:val="0"/>
              <w:keepLines w:val="0"/>
              <w:pageBreakBefore w:val="0"/>
              <w:kinsoku/>
              <w:wordWrap/>
              <w:overflowPunct/>
              <w:topLinePunct w:val="0"/>
              <w:bidi w:val="0"/>
              <w:adjustRightInd w:val="0"/>
              <w:snapToGrid w:val="0"/>
              <w:ind w:right="0"/>
              <w:jc w:val="center"/>
              <w:rPr>
                <w:rFonts w:ascii="宋体" w:hAnsi="宋体" w:cs="宋体"/>
                <w:b/>
                <w:bCs/>
                <w:kern w:val="0"/>
                <w:sz w:val="24"/>
                <w:szCs w:val="24"/>
              </w:rPr>
            </w:pPr>
            <w:r>
              <w:rPr>
                <w:rFonts w:hint="eastAsia" w:ascii="宋体" w:hAnsi="宋体" w:cs="宋体"/>
                <w:b/>
                <w:bCs/>
                <w:kern w:val="0"/>
                <w:sz w:val="24"/>
                <w:szCs w:val="24"/>
              </w:rPr>
              <w:t>环境</w:t>
            </w:r>
          </w:p>
          <w:p>
            <w:pPr>
              <w:keepNext w:val="0"/>
              <w:keepLines w:val="0"/>
              <w:pageBreakBefore w:val="0"/>
              <w:kinsoku/>
              <w:wordWrap/>
              <w:overflowPunct/>
              <w:topLinePunct w:val="0"/>
              <w:bidi w:val="0"/>
              <w:adjustRightInd w:val="0"/>
              <w:snapToGrid w:val="0"/>
              <w:ind w:right="0"/>
              <w:jc w:val="center"/>
              <w:rPr>
                <w:rFonts w:ascii="宋体" w:hAnsi="宋体" w:cs="宋体"/>
                <w:b/>
                <w:bCs/>
                <w:kern w:val="0"/>
                <w:sz w:val="24"/>
                <w:szCs w:val="24"/>
              </w:rPr>
            </w:pPr>
            <w:r>
              <w:rPr>
                <w:rFonts w:hint="eastAsia" w:ascii="宋体" w:hAnsi="宋体" w:cs="宋体"/>
                <w:b/>
                <w:bCs/>
                <w:kern w:val="0"/>
                <w:sz w:val="24"/>
                <w:szCs w:val="24"/>
              </w:rPr>
              <w:t>质量</w:t>
            </w:r>
          </w:p>
          <w:p>
            <w:pPr>
              <w:keepNext w:val="0"/>
              <w:keepLines w:val="0"/>
              <w:pageBreakBefore w:val="0"/>
              <w:kinsoku/>
              <w:wordWrap/>
              <w:overflowPunct/>
              <w:topLinePunct w:val="0"/>
              <w:bidi w:val="0"/>
              <w:adjustRightInd w:val="0"/>
              <w:snapToGrid w:val="0"/>
              <w:ind w:right="0"/>
              <w:jc w:val="center"/>
              <w:rPr>
                <w:rFonts w:ascii="宋体" w:hAnsi="宋体" w:cs="宋体"/>
                <w:kern w:val="0"/>
                <w:szCs w:val="21"/>
              </w:rPr>
            </w:pPr>
            <w:r>
              <w:rPr>
                <w:rFonts w:hint="eastAsia" w:ascii="宋体" w:hAnsi="宋体" w:cs="宋体"/>
                <w:b/>
                <w:bCs/>
                <w:kern w:val="0"/>
                <w:sz w:val="24"/>
                <w:szCs w:val="24"/>
              </w:rPr>
              <w:t>现状</w:t>
            </w:r>
          </w:p>
        </w:tc>
        <w:tc>
          <w:tcPr>
            <w:tcW w:w="8604" w:type="dxa"/>
            <w:vAlign w:val="center"/>
          </w:tcPr>
          <w:p>
            <w:pPr>
              <w:keepNext w:val="0"/>
              <w:keepLines w:val="0"/>
              <w:pageBreakBefore w:val="0"/>
              <w:kinsoku/>
              <w:wordWrap/>
              <w:overflowPunct/>
              <w:topLinePunct w:val="0"/>
              <w:autoSpaceDE/>
              <w:autoSpaceDN/>
              <w:bidi w:val="0"/>
              <w:adjustRightInd w:val="0"/>
              <w:snapToGrid w:val="0"/>
              <w:spacing w:line="360" w:lineRule="auto"/>
              <w:ind w:right="0" w:firstLine="482" w:firstLineChars="200"/>
              <w:rPr>
                <w:b/>
                <w:bCs/>
                <w:sz w:val="24"/>
                <w:szCs w:val="32"/>
              </w:rPr>
            </w:pPr>
            <w:r>
              <w:rPr>
                <w:rFonts w:hint="eastAsia"/>
                <w:b/>
                <w:bCs/>
                <w:sz w:val="24"/>
                <w:szCs w:val="32"/>
                <w:lang w:eastAsia="zh-CN"/>
              </w:rPr>
              <w:t>（</w:t>
            </w:r>
            <w:r>
              <w:rPr>
                <w:rFonts w:hint="eastAsia"/>
                <w:b/>
                <w:bCs/>
                <w:sz w:val="24"/>
                <w:szCs w:val="32"/>
                <w:lang w:val="en-US" w:eastAsia="zh-CN"/>
              </w:rPr>
              <w:t>一</w:t>
            </w:r>
            <w:r>
              <w:rPr>
                <w:rFonts w:hint="eastAsia"/>
                <w:b/>
                <w:bCs/>
                <w:sz w:val="24"/>
                <w:szCs w:val="32"/>
                <w:lang w:eastAsia="zh-CN"/>
              </w:rPr>
              <w:t>）</w:t>
            </w:r>
            <w:r>
              <w:rPr>
                <w:rFonts w:hint="eastAsia"/>
                <w:b/>
                <w:bCs/>
                <w:sz w:val="24"/>
                <w:szCs w:val="32"/>
              </w:rPr>
              <w:t>环境</w:t>
            </w:r>
            <w:r>
              <w:rPr>
                <w:rFonts w:hint="eastAsia"/>
                <w:b/>
                <w:bCs/>
                <w:sz w:val="24"/>
                <w:szCs w:val="32"/>
                <w:lang w:val="en-US" w:eastAsia="zh-CN"/>
              </w:rPr>
              <w:t>空气</w:t>
            </w:r>
            <w:r>
              <w:rPr>
                <w:rFonts w:hint="eastAsia"/>
                <w:b/>
                <w:bCs/>
                <w:sz w:val="24"/>
                <w:szCs w:val="32"/>
              </w:rPr>
              <w:t>质量现状</w:t>
            </w:r>
          </w:p>
          <w:p>
            <w:pPr>
              <w:pStyle w:val="25"/>
              <w:keepNext w:val="0"/>
              <w:keepLines w:val="0"/>
              <w:pageBreakBefore w:val="0"/>
              <w:kinsoku/>
              <w:wordWrap/>
              <w:overflowPunct/>
              <w:topLinePunct w:val="0"/>
              <w:autoSpaceDE/>
              <w:autoSpaceDN/>
              <w:bidi w:val="0"/>
              <w:adjustRightInd w:val="0"/>
              <w:snapToGrid w:val="0"/>
              <w:spacing w:line="360" w:lineRule="auto"/>
              <w:ind w:right="0" w:firstLine="480" w:firstLineChars="200"/>
              <w:jc w:val="both"/>
              <w:rPr>
                <w:sz w:val="24"/>
                <w:szCs w:val="24"/>
              </w:rPr>
            </w:pPr>
            <w:r>
              <w:rPr>
                <w:rFonts w:hint="eastAsia"/>
                <w:sz w:val="24"/>
                <w:szCs w:val="24"/>
              </w:rPr>
              <w:t>本次评价选取202</w:t>
            </w:r>
            <w:r>
              <w:rPr>
                <w:rFonts w:hint="eastAsia"/>
                <w:sz w:val="24"/>
                <w:szCs w:val="24"/>
                <w:lang w:val="en-US" w:eastAsia="zh-CN"/>
              </w:rPr>
              <w:t>4</w:t>
            </w:r>
            <w:r>
              <w:rPr>
                <w:rFonts w:hint="eastAsia"/>
                <w:sz w:val="24"/>
                <w:szCs w:val="24"/>
              </w:rPr>
              <w:t>年作为评价基准年，项目所在区域位于南通市如皋市，环境空气评价区属于环境空气质量二类功能区，评价范围内PM</w:t>
            </w:r>
            <w:r>
              <w:rPr>
                <w:rFonts w:hint="eastAsia"/>
                <w:sz w:val="24"/>
                <w:szCs w:val="24"/>
                <w:vertAlign w:val="subscript"/>
              </w:rPr>
              <w:t>2.5</w:t>
            </w:r>
            <w:r>
              <w:rPr>
                <w:rFonts w:hint="eastAsia"/>
                <w:sz w:val="24"/>
                <w:szCs w:val="24"/>
              </w:rPr>
              <w:t>、PM</w:t>
            </w:r>
            <w:r>
              <w:rPr>
                <w:rFonts w:hint="eastAsia"/>
                <w:sz w:val="24"/>
                <w:szCs w:val="24"/>
                <w:vertAlign w:val="subscript"/>
              </w:rPr>
              <w:t>10</w:t>
            </w:r>
            <w:r>
              <w:rPr>
                <w:rFonts w:hint="eastAsia"/>
                <w:sz w:val="24"/>
                <w:szCs w:val="24"/>
              </w:rPr>
              <w:t>、SO</w:t>
            </w:r>
            <w:r>
              <w:rPr>
                <w:rFonts w:hint="eastAsia"/>
                <w:sz w:val="24"/>
                <w:szCs w:val="24"/>
                <w:vertAlign w:val="subscript"/>
              </w:rPr>
              <w:t>2</w:t>
            </w:r>
            <w:r>
              <w:rPr>
                <w:rFonts w:hint="eastAsia"/>
                <w:sz w:val="24"/>
                <w:szCs w:val="24"/>
              </w:rPr>
              <w:t>、NO</w:t>
            </w:r>
            <w:r>
              <w:rPr>
                <w:rFonts w:hint="eastAsia"/>
                <w:sz w:val="24"/>
                <w:szCs w:val="24"/>
                <w:vertAlign w:val="subscript"/>
              </w:rPr>
              <w:t>2</w:t>
            </w:r>
            <w:r>
              <w:rPr>
                <w:rFonts w:hint="eastAsia"/>
                <w:sz w:val="24"/>
                <w:szCs w:val="24"/>
              </w:rPr>
              <w:t>、O</w:t>
            </w:r>
            <w:r>
              <w:rPr>
                <w:rFonts w:hint="eastAsia"/>
                <w:sz w:val="24"/>
                <w:szCs w:val="24"/>
                <w:vertAlign w:val="subscript"/>
              </w:rPr>
              <w:t>3</w:t>
            </w:r>
            <w:r>
              <w:rPr>
                <w:rFonts w:hint="eastAsia"/>
                <w:sz w:val="24"/>
                <w:szCs w:val="24"/>
              </w:rPr>
              <w:t>、CO执行《环境空气质量标准》（GB3095-2012）表1二级标准。根据南通市生态环境状况公报（202</w:t>
            </w:r>
            <w:r>
              <w:rPr>
                <w:rFonts w:hint="eastAsia"/>
                <w:sz w:val="24"/>
                <w:szCs w:val="24"/>
                <w:lang w:val="en-US" w:eastAsia="zh-CN"/>
              </w:rPr>
              <w:t>4</w:t>
            </w:r>
            <w:r>
              <w:rPr>
                <w:rFonts w:hint="eastAsia"/>
                <w:sz w:val="24"/>
                <w:szCs w:val="24"/>
              </w:rPr>
              <w:t>年）公报数据，项目所在区域环境空气质量状况见表3-1。</w:t>
            </w:r>
          </w:p>
          <w:p>
            <w:pPr>
              <w:keepNext w:val="0"/>
              <w:keepLines w:val="0"/>
              <w:pageBreakBefore w:val="0"/>
              <w:kinsoku/>
              <w:wordWrap/>
              <w:overflowPunct/>
              <w:topLinePunct w:val="0"/>
              <w:autoSpaceDE/>
              <w:autoSpaceDN/>
              <w:bidi w:val="0"/>
              <w:adjustRightInd w:val="0"/>
              <w:snapToGrid w:val="0"/>
              <w:spacing w:line="360" w:lineRule="auto"/>
              <w:ind w:right="0" w:firstLine="480"/>
              <w:jc w:val="center"/>
              <w:rPr>
                <w:b/>
                <w:bCs/>
                <w:sz w:val="24"/>
                <w:szCs w:val="24"/>
              </w:rPr>
            </w:pPr>
            <w:r>
              <w:rPr>
                <w:b/>
                <w:sz w:val="24"/>
                <w:szCs w:val="24"/>
              </w:rPr>
              <w:t>表3-</w:t>
            </w:r>
            <w:r>
              <w:rPr>
                <w:rFonts w:hint="eastAsia"/>
                <w:b/>
                <w:sz w:val="24"/>
                <w:szCs w:val="24"/>
                <w:lang w:val="en-US" w:eastAsia="zh-CN"/>
              </w:rPr>
              <w:t>1</w:t>
            </w:r>
            <w:r>
              <w:rPr>
                <w:b/>
                <w:sz w:val="24"/>
                <w:szCs w:val="24"/>
              </w:rPr>
              <w:t xml:space="preserve"> </w:t>
            </w:r>
            <w:r>
              <w:rPr>
                <w:rFonts w:hint="eastAsia"/>
                <w:b/>
                <w:sz w:val="24"/>
                <w:szCs w:val="24"/>
                <w:lang w:val="en-US" w:eastAsia="zh-CN"/>
              </w:rPr>
              <w:t>如皋</w:t>
            </w:r>
            <w:r>
              <w:rPr>
                <w:rFonts w:hint="eastAsia"/>
                <w:b/>
                <w:sz w:val="24"/>
                <w:szCs w:val="24"/>
              </w:rPr>
              <w:t>市</w:t>
            </w:r>
            <w:r>
              <w:rPr>
                <w:b/>
                <w:bCs/>
                <w:sz w:val="24"/>
                <w:szCs w:val="24"/>
              </w:rPr>
              <w:t>环境空气质量现状浓度及评价表</w:t>
            </w:r>
          </w:p>
          <w:tbl>
            <w:tblPr>
              <w:tblStyle w:val="30"/>
              <w:tblW w:w="8355" w:type="dxa"/>
              <w:jc w:val="center"/>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81"/>
              <w:gridCol w:w="2880"/>
              <w:gridCol w:w="1237"/>
              <w:gridCol w:w="1087"/>
              <w:gridCol w:w="1035"/>
              <w:gridCol w:w="103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0" w:hRule="atLeast"/>
                <w:jc w:val="center"/>
              </w:trPr>
              <w:tc>
                <w:tcPr>
                  <w:tcW w:w="1081" w:type="dxa"/>
                  <w:tcBorders>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b/>
                      <w:bCs/>
                      <w:szCs w:val="21"/>
                    </w:rPr>
                  </w:pPr>
                  <w:r>
                    <w:rPr>
                      <w:b/>
                      <w:bCs/>
                      <w:szCs w:val="21"/>
                    </w:rPr>
                    <w:t>污染物</w:t>
                  </w:r>
                </w:p>
              </w:tc>
              <w:tc>
                <w:tcPr>
                  <w:tcW w:w="2880" w:type="dxa"/>
                  <w:tcBorders>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b/>
                      <w:bCs/>
                      <w:szCs w:val="21"/>
                    </w:rPr>
                  </w:pPr>
                  <w:r>
                    <w:rPr>
                      <w:b/>
                      <w:bCs/>
                      <w:szCs w:val="21"/>
                    </w:rPr>
                    <w:t>年评价指标</w:t>
                  </w:r>
                </w:p>
              </w:tc>
              <w:tc>
                <w:tcPr>
                  <w:tcW w:w="1237" w:type="dxa"/>
                  <w:tcBorders>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jc w:val="center"/>
                    <w:rPr>
                      <w:b/>
                      <w:bCs/>
                      <w:szCs w:val="21"/>
                    </w:rPr>
                  </w:pPr>
                  <w:r>
                    <w:rPr>
                      <w:b/>
                      <w:bCs/>
                      <w:szCs w:val="21"/>
                    </w:rPr>
                    <w:t>现状浓度（ug/m</w:t>
                  </w:r>
                  <w:r>
                    <w:rPr>
                      <w:b/>
                      <w:bCs/>
                      <w:szCs w:val="21"/>
                      <w:vertAlign w:val="superscript"/>
                    </w:rPr>
                    <w:t>3</w:t>
                  </w:r>
                  <w:r>
                    <w:rPr>
                      <w:b/>
                      <w:bCs/>
                      <w:szCs w:val="21"/>
                    </w:rPr>
                    <w:t>）</w:t>
                  </w:r>
                </w:p>
              </w:tc>
              <w:tc>
                <w:tcPr>
                  <w:tcW w:w="1087" w:type="dxa"/>
                  <w:tcBorders>
                    <w:left w:val="single" w:color="000000" w:sz="6" w:space="0"/>
                    <w:bottom w:val="single" w:color="000000" w:sz="6"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jc w:val="center"/>
                    <w:rPr>
                      <w:b/>
                      <w:bCs/>
                      <w:szCs w:val="21"/>
                    </w:rPr>
                  </w:pPr>
                  <w:r>
                    <w:rPr>
                      <w:b/>
                      <w:bCs/>
                      <w:szCs w:val="21"/>
                    </w:rPr>
                    <w:t>标准限值（ug/m</w:t>
                  </w:r>
                  <w:r>
                    <w:rPr>
                      <w:b/>
                      <w:bCs/>
                      <w:szCs w:val="21"/>
                      <w:vertAlign w:val="superscript"/>
                    </w:rPr>
                    <w:t>3</w:t>
                  </w:r>
                  <w:r>
                    <w:rPr>
                      <w:b/>
                      <w:bCs/>
                      <w:szCs w:val="21"/>
                    </w:rPr>
                    <w:t>）</w:t>
                  </w:r>
                </w:p>
              </w:tc>
              <w:tc>
                <w:tcPr>
                  <w:tcW w:w="1035" w:type="dxa"/>
                  <w:tcBorders>
                    <w:left w:val="single" w:color="000000" w:sz="6" w:space="0"/>
                    <w:bottom w:val="single" w:color="000000" w:sz="6" w:space="0"/>
                    <w:right w:val="nil"/>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jc w:val="center"/>
                    <w:rPr>
                      <w:b/>
                      <w:bCs/>
                      <w:szCs w:val="21"/>
                    </w:rPr>
                  </w:pPr>
                  <w:r>
                    <w:rPr>
                      <w:rFonts w:hint="eastAsia"/>
                      <w:b/>
                      <w:bCs/>
                      <w:szCs w:val="21"/>
                    </w:rPr>
                    <w:t>占标率（%）</w:t>
                  </w:r>
                </w:p>
              </w:tc>
              <w:tc>
                <w:tcPr>
                  <w:tcW w:w="1035" w:type="dxa"/>
                  <w:tcBorders>
                    <w:left w:val="single" w:color="000000" w:sz="6" w:space="0"/>
                    <w:bottom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b/>
                      <w:bCs/>
                      <w:szCs w:val="21"/>
                    </w:rPr>
                  </w:pPr>
                  <w:r>
                    <w:rPr>
                      <w:b/>
                      <w:bCs/>
                      <w:szCs w:val="21"/>
                    </w:rPr>
                    <w:t>达标情况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0" w:hRule="atLeast"/>
                <w:jc w:val="center"/>
              </w:trPr>
              <w:tc>
                <w:tcPr>
                  <w:tcW w:w="108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SO</w:t>
                  </w:r>
                  <w:r>
                    <w:rPr>
                      <w:szCs w:val="21"/>
                      <w:vertAlign w:val="subscript"/>
                    </w:rPr>
                    <w:t>2</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年平均质量浓度</w:t>
                  </w:r>
                </w:p>
              </w:tc>
              <w:tc>
                <w:tcPr>
                  <w:tcW w:w="12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eastAsia="宋体"/>
                      <w:szCs w:val="21"/>
                      <w:lang w:eastAsia="zh-CN"/>
                    </w:rPr>
                  </w:pPr>
                  <w:r>
                    <w:rPr>
                      <w:rFonts w:hint="eastAsia"/>
                      <w:szCs w:val="21"/>
                      <w:lang w:val="en-US" w:eastAsia="zh-CN"/>
                    </w:rPr>
                    <w:t>9</w:t>
                  </w:r>
                </w:p>
              </w:tc>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60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eastAsia" w:eastAsia="宋体"/>
                      <w:szCs w:val="21"/>
                      <w:lang w:eastAsia="zh-CN"/>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0" w:hRule="atLeast"/>
                <w:jc w:val="center"/>
              </w:trPr>
              <w:tc>
                <w:tcPr>
                  <w:tcW w:w="108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NO</w:t>
                  </w:r>
                  <w:r>
                    <w:rPr>
                      <w:szCs w:val="21"/>
                      <w:vertAlign w:val="subscript"/>
                    </w:rPr>
                    <w:t>2</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年平均质量浓度</w:t>
                  </w:r>
                </w:p>
              </w:tc>
              <w:tc>
                <w:tcPr>
                  <w:tcW w:w="12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eastAsia="宋体"/>
                      <w:szCs w:val="21"/>
                      <w:lang w:val="en-US" w:eastAsia="zh-CN"/>
                    </w:rPr>
                  </w:pPr>
                  <w:r>
                    <w:rPr>
                      <w:rFonts w:hint="eastAsia"/>
                      <w:szCs w:val="21"/>
                      <w:lang w:val="en-US" w:eastAsia="zh-CN"/>
                    </w:rPr>
                    <w:t>18</w:t>
                  </w:r>
                </w:p>
              </w:tc>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40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default" w:eastAsia="宋体"/>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0" w:hRule="atLeast"/>
                <w:jc w:val="center"/>
              </w:trPr>
              <w:tc>
                <w:tcPr>
                  <w:tcW w:w="108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PM</w:t>
                  </w:r>
                  <w:r>
                    <w:rPr>
                      <w:szCs w:val="21"/>
                      <w:vertAlign w:val="subscript"/>
                    </w:rPr>
                    <w:t>10</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年平均质量浓度</w:t>
                  </w:r>
                </w:p>
              </w:tc>
              <w:tc>
                <w:tcPr>
                  <w:tcW w:w="12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eastAsia="宋体"/>
                      <w:szCs w:val="21"/>
                      <w:lang w:val="en-US" w:eastAsia="zh-CN"/>
                    </w:rPr>
                  </w:pPr>
                  <w:r>
                    <w:rPr>
                      <w:rFonts w:hint="eastAsia"/>
                      <w:szCs w:val="21"/>
                      <w:lang w:val="en-US" w:eastAsia="zh-CN"/>
                    </w:rPr>
                    <w:t>49</w:t>
                  </w:r>
                </w:p>
              </w:tc>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70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default" w:eastAsia="宋体"/>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0" w:hRule="atLeast"/>
                <w:jc w:val="center"/>
              </w:trPr>
              <w:tc>
                <w:tcPr>
                  <w:tcW w:w="108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CO</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日平均第95百分位数</w:t>
                  </w:r>
                </w:p>
              </w:tc>
              <w:tc>
                <w:tcPr>
                  <w:tcW w:w="12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eastAsia="宋体"/>
                      <w:szCs w:val="21"/>
                      <w:lang w:val="en-US" w:eastAsia="zh-CN"/>
                    </w:rPr>
                  </w:pPr>
                  <w:r>
                    <w:rPr>
                      <w:rFonts w:hint="eastAsia"/>
                      <w:szCs w:val="21"/>
                      <w:lang w:val="en-US" w:eastAsia="zh-CN"/>
                    </w:rPr>
                    <w:t>1200</w:t>
                  </w:r>
                </w:p>
              </w:tc>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4000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szCs w:val="21"/>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20" w:hRule="atLeast"/>
                <w:jc w:val="center"/>
              </w:trPr>
              <w:tc>
                <w:tcPr>
                  <w:tcW w:w="1081" w:type="dxa"/>
                  <w:tcBorders>
                    <w:top w:val="single" w:color="000000" w:sz="6" w:space="0"/>
                    <w:left w:val="nil"/>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O</w:t>
                  </w:r>
                  <w:r>
                    <w:rPr>
                      <w:szCs w:val="21"/>
                      <w:vertAlign w:val="subscript"/>
                    </w:rPr>
                    <w:t>3</w:t>
                  </w:r>
                </w:p>
              </w:tc>
              <w:tc>
                <w:tcPr>
                  <w:tcW w:w="2880"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eastAsia" w:eastAsia="宋体"/>
                      <w:szCs w:val="21"/>
                      <w:lang w:eastAsia="zh-CN"/>
                    </w:rPr>
                  </w:pPr>
                  <w:r>
                    <w:rPr>
                      <w:szCs w:val="21"/>
                    </w:rPr>
                    <w:t>日8小时最大平均第90百分位</w:t>
                  </w:r>
                  <w:r>
                    <w:rPr>
                      <w:rFonts w:hint="eastAsia"/>
                      <w:szCs w:val="21"/>
                      <w:lang w:eastAsia="zh-CN"/>
                    </w:rPr>
                    <w:t>数</w:t>
                  </w:r>
                </w:p>
              </w:tc>
              <w:tc>
                <w:tcPr>
                  <w:tcW w:w="123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eastAsia="宋体"/>
                      <w:szCs w:val="21"/>
                      <w:lang w:val="en-US" w:eastAsia="zh-CN"/>
                    </w:rPr>
                  </w:pPr>
                  <w:r>
                    <w:rPr>
                      <w:rFonts w:hint="eastAsia"/>
                      <w:szCs w:val="21"/>
                      <w:lang w:val="en-US" w:eastAsia="zh-CN"/>
                    </w:rPr>
                    <w:t>152</w:t>
                  </w:r>
                </w:p>
              </w:tc>
              <w:tc>
                <w:tcPr>
                  <w:tcW w:w="1087" w:type="dxa"/>
                  <w:tcBorders>
                    <w:top w:val="single" w:color="000000" w:sz="6" w:space="0"/>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160</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right="0"/>
                    <w:jc w:val="center"/>
                    <w:textAlignment w:val="center"/>
                    <w:rPr>
                      <w:rFonts w:hint="default" w:eastAsia="宋体"/>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035" w:type="dxa"/>
                  <w:tcBorders>
                    <w:top w:val="single" w:color="000000" w:sz="6" w:space="0"/>
                    <w:left w:val="single" w:color="000000" w:sz="6" w:space="0"/>
                    <w:bottom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319" w:hRule="atLeast"/>
                <w:jc w:val="center"/>
              </w:trPr>
              <w:tc>
                <w:tcPr>
                  <w:tcW w:w="1081" w:type="dxa"/>
                  <w:tcBorders>
                    <w:top w:val="single" w:color="000000" w:sz="6" w:space="0"/>
                    <w:left w:val="nil"/>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PM</w:t>
                  </w:r>
                  <w:r>
                    <w:rPr>
                      <w:szCs w:val="21"/>
                      <w:vertAlign w:val="subscript"/>
                    </w:rPr>
                    <w:t>2.5</w:t>
                  </w:r>
                </w:p>
              </w:tc>
              <w:tc>
                <w:tcPr>
                  <w:tcW w:w="2880" w:type="dxa"/>
                  <w:tcBorders>
                    <w:top w:val="single" w:color="000000" w:sz="6" w:space="0"/>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年平均质量浓度</w:t>
                  </w:r>
                </w:p>
              </w:tc>
              <w:tc>
                <w:tcPr>
                  <w:tcW w:w="1237" w:type="dxa"/>
                  <w:tcBorders>
                    <w:top w:val="single" w:color="000000" w:sz="6" w:space="0"/>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eastAsia="宋体"/>
                      <w:szCs w:val="21"/>
                      <w:lang w:val="en-US" w:eastAsia="zh-CN"/>
                    </w:rPr>
                  </w:pPr>
                  <w:r>
                    <w:rPr>
                      <w:rFonts w:hint="eastAsia"/>
                      <w:szCs w:val="21"/>
                      <w:lang w:val="en-US" w:eastAsia="zh-CN"/>
                    </w:rPr>
                    <w:t>31</w:t>
                  </w:r>
                </w:p>
              </w:tc>
              <w:tc>
                <w:tcPr>
                  <w:tcW w:w="1087" w:type="dxa"/>
                  <w:tcBorders>
                    <w:top w:val="single" w:color="000000" w:sz="6" w:space="0"/>
                    <w:left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szCs w:val="21"/>
                    </w:rPr>
                    <w:t>35</w:t>
                  </w:r>
                </w:p>
              </w:tc>
              <w:tc>
                <w:tcPr>
                  <w:tcW w:w="1035" w:type="dxa"/>
                  <w:tcBorders>
                    <w:top w:val="single" w:color="000000" w:sz="6" w:space="0"/>
                    <w:left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rFonts w:hint="default" w:eastAsia="宋体"/>
                      <w:szCs w:val="21"/>
                      <w:lang w:val="en-US" w:eastAsia="zh-CN"/>
                    </w:rPr>
                  </w:pPr>
                  <w:r>
                    <w:rPr>
                      <w:rFonts w:hint="eastAsia"/>
                      <w:szCs w:val="21"/>
                      <w:lang w:val="en-US" w:eastAsia="zh-CN"/>
                    </w:rPr>
                    <w:t>88.6</w:t>
                  </w:r>
                </w:p>
              </w:tc>
              <w:tc>
                <w:tcPr>
                  <w:tcW w:w="1035" w:type="dxa"/>
                  <w:tcBorders>
                    <w:top w:val="single" w:color="000000" w:sz="6" w:space="0"/>
                    <w:left w:val="single" w:color="000000" w:sz="6" w:space="0"/>
                    <w:right w:val="nil"/>
                  </w:tcBorders>
                  <w:vAlign w:val="center"/>
                </w:tcPr>
                <w:p>
                  <w:pPr>
                    <w:keepNext w:val="0"/>
                    <w:keepLines w:val="0"/>
                    <w:pageBreakBefore w:val="0"/>
                    <w:kinsoku/>
                    <w:wordWrap/>
                    <w:overflowPunct/>
                    <w:topLinePunct w:val="0"/>
                    <w:autoSpaceDE/>
                    <w:autoSpaceDN/>
                    <w:bidi w:val="0"/>
                    <w:adjustRightInd w:val="0"/>
                    <w:snapToGrid w:val="0"/>
                    <w:spacing w:line="240" w:lineRule="auto"/>
                    <w:ind w:right="0"/>
                    <w:jc w:val="center"/>
                    <w:rPr>
                      <w:szCs w:val="21"/>
                    </w:rPr>
                  </w:pPr>
                  <w:r>
                    <w:rPr>
                      <w:rFonts w:hint="eastAsia"/>
                      <w:szCs w:val="21"/>
                    </w:rPr>
                    <w:t>达标</w:t>
                  </w:r>
                </w:p>
              </w:tc>
            </w:tr>
          </w:tbl>
          <w:p>
            <w:pPr>
              <w:keepNext w:val="0"/>
              <w:keepLines w:val="0"/>
              <w:pageBreakBefore w:val="0"/>
              <w:tabs>
                <w:tab w:val="left" w:pos="567"/>
                <w:tab w:val="left" w:pos="1565"/>
              </w:tabs>
              <w:kinsoku/>
              <w:wordWrap/>
              <w:overflowPunct/>
              <w:topLinePunct w:val="0"/>
              <w:autoSpaceDE/>
              <w:autoSpaceDN/>
              <w:bidi w:val="0"/>
              <w:adjustRightInd w:val="0"/>
              <w:snapToGrid w:val="0"/>
              <w:spacing w:line="360" w:lineRule="auto"/>
              <w:ind w:right="0" w:firstLine="556"/>
              <w:rPr>
                <w:sz w:val="18"/>
                <w:szCs w:val="18"/>
              </w:rPr>
            </w:pPr>
          </w:p>
          <w:p>
            <w:pPr>
              <w:keepNext w:val="0"/>
              <w:keepLines w:val="0"/>
              <w:pageBreakBefore w:val="0"/>
              <w:kinsoku/>
              <w:wordWrap/>
              <w:overflowPunct/>
              <w:topLinePunct w:val="0"/>
              <w:autoSpaceDE/>
              <w:autoSpaceDN/>
              <w:bidi w:val="0"/>
              <w:adjustRightInd w:val="0"/>
              <w:snapToGrid w:val="0"/>
              <w:spacing w:line="360" w:lineRule="auto"/>
              <w:ind w:right="0" w:firstLine="480" w:firstLineChars="200"/>
              <w:rPr>
                <w:sz w:val="24"/>
                <w:szCs w:val="32"/>
              </w:rPr>
            </w:pPr>
            <w:r>
              <w:rPr>
                <w:rFonts w:hint="default"/>
                <w:sz w:val="24"/>
                <w:szCs w:val="32"/>
              </w:rPr>
              <w:t>根据统计结果，大气常规因子均符合《环境空气质量标准》（GB3095-2012）中二级标准</w:t>
            </w:r>
            <w:r>
              <w:rPr>
                <w:rFonts w:hint="eastAsia"/>
                <w:sz w:val="24"/>
                <w:szCs w:val="32"/>
                <w:lang w:val="en-US" w:eastAsia="zh-CN"/>
              </w:rPr>
              <w:t>，</w:t>
            </w:r>
            <w:r>
              <w:rPr>
                <w:rFonts w:hint="default"/>
                <w:sz w:val="24"/>
                <w:szCs w:val="32"/>
              </w:rPr>
              <w:t>因此</w:t>
            </w:r>
            <w:r>
              <w:rPr>
                <w:rFonts w:hint="default"/>
                <w:sz w:val="24"/>
                <w:szCs w:val="32"/>
                <w:lang w:eastAsia="zh-CN"/>
              </w:rPr>
              <w:t>，</w:t>
            </w:r>
            <w:r>
              <w:rPr>
                <w:rFonts w:hint="default"/>
                <w:sz w:val="24"/>
                <w:szCs w:val="32"/>
              </w:rPr>
              <w:t>区域属于达标区</w:t>
            </w:r>
            <w:r>
              <w:rPr>
                <w:rFonts w:hint="default"/>
                <w:sz w:val="24"/>
                <w:szCs w:val="32"/>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right="0" w:firstLine="482" w:firstLineChars="200"/>
              <w:rPr>
                <w:b/>
                <w:bCs/>
                <w:sz w:val="24"/>
                <w:szCs w:val="32"/>
              </w:rPr>
            </w:pPr>
            <w:r>
              <w:rPr>
                <w:rFonts w:hint="eastAsia"/>
                <w:b/>
                <w:bCs/>
                <w:sz w:val="24"/>
                <w:szCs w:val="32"/>
                <w:lang w:eastAsia="zh-CN"/>
              </w:rPr>
              <w:t>（</w:t>
            </w:r>
            <w:r>
              <w:rPr>
                <w:rFonts w:hint="eastAsia"/>
                <w:b/>
                <w:bCs/>
                <w:sz w:val="24"/>
                <w:szCs w:val="32"/>
                <w:lang w:val="en-US" w:eastAsia="zh-CN"/>
              </w:rPr>
              <w:t>二</w:t>
            </w:r>
            <w:r>
              <w:rPr>
                <w:rFonts w:hint="eastAsia"/>
                <w:b/>
                <w:bCs/>
                <w:sz w:val="24"/>
                <w:szCs w:val="32"/>
                <w:lang w:eastAsia="zh-CN"/>
              </w:rPr>
              <w:t>）</w:t>
            </w:r>
            <w:r>
              <w:rPr>
                <w:rFonts w:hint="eastAsia"/>
                <w:b/>
                <w:bCs/>
                <w:sz w:val="24"/>
                <w:szCs w:val="32"/>
              </w:rPr>
              <w:t>水环境质量现状</w:t>
            </w:r>
          </w:p>
          <w:p>
            <w:pPr>
              <w:keepNext w:val="0"/>
              <w:keepLines w:val="0"/>
              <w:pageBreakBefore w:val="0"/>
              <w:kinsoku/>
              <w:wordWrap/>
              <w:overflowPunct/>
              <w:topLinePunct w:val="0"/>
              <w:autoSpaceDE/>
              <w:autoSpaceDN/>
              <w:bidi w:val="0"/>
              <w:adjustRightInd w:val="0"/>
              <w:snapToGrid w:val="0"/>
              <w:spacing w:line="360" w:lineRule="auto"/>
              <w:ind w:right="0" w:firstLine="480" w:firstLineChars="200"/>
              <w:jc w:val="left"/>
              <w:rPr>
                <w:kern w:val="0"/>
                <w:sz w:val="24"/>
                <w:szCs w:val="24"/>
              </w:rPr>
            </w:pPr>
            <w:r>
              <w:rPr>
                <w:rFonts w:hint="default" w:ascii="Times New Roman" w:hAnsi="Times New Roman" w:eastAsia="宋体" w:cs="Times New Roman"/>
                <w:color w:val="auto"/>
                <w:sz w:val="24"/>
                <w:szCs w:val="24"/>
              </w:rPr>
              <w:t>根据《南通市生态环境状况公报（202</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南通市共有16个国家考核断面，均达到省定考核要求，其中15个断面水质达到或优于《地表水环境质量标准》(GB3838-2002)Ⅲ类标准。55个省考以上断面中九圩港桥、聚南大桥、营船港闸、通吕二号桥等16个断面水质符合Ⅱ类标准，孙窑大桥、碾砣港闸、勇敢大桥、东方大道桥、城港路桥等38个断面水质符合Ⅲ类标准；无V类和劣V类断面</w:t>
            </w:r>
            <w:r>
              <w:rPr>
                <w:rFonts w:hint="eastAsia"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firstLine="482" w:firstLineChars="200"/>
              <w:rPr>
                <w:b/>
                <w:bCs/>
                <w:sz w:val="24"/>
                <w:szCs w:val="32"/>
              </w:rPr>
            </w:pPr>
            <w:r>
              <w:rPr>
                <w:rFonts w:hint="eastAsia"/>
                <w:b/>
                <w:bCs/>
                <w:sz w:val="24"/>
                <w:szCs w:val="32"/>
                <w:lang w:eastAsia="zh-CN"/>
              </w:rPr>
              <w:t>（</w:t>
            </w:r>
            <w:r>
              <w:rPr>
                <w:rFonts w:hint="eastAsia"/>
                <w:b/>
                <w:bCs/>
                <w:sz w:val="24"/>
                <w:szCs w:val="32"/>
                <w:lang w:val="en-US" w:eastAsia="zh-CN"/>
              </w:rPr>
              <w:t>三</w:t>
            </w:r>
            <w:r>
              <w:rPr>
                <w:rFonts w:hint="eastAsia"/>
                <w:b/>
                <w:bCs/>
                <w:sz w:val="24"/>
                <w:szCs w:val="32"/>
                <w:lang w:eastAsia="zh-CN"/>
              </w:rPr>
              <w:t>）</w:t>
            </w:r>
            <w:r>
              <w:rPr>
                <w:rFonts w:hint="eastAsia"/>
                <w:b/>
                <w:bCs/>
                <w:sz w:val="24"/>
                <w:szCs w:val="32"/>
              </w:rPr>
              <w:t>声环境质量现状</w:t>
            </w:r>
          </w:p>
          <w:p>
            <w:pPr>
              <w:keepNext w:val="0"/>
              <w:keepLines w:val="0"/>
              <w:pageBreakBefore w:val="0"/>
              <w:kinsoku/>
              <w:wordWrap/>
              <w:overflowPunct/>
              <w:topLinePunct w:val="0"/>
              <w:autoSpaceDE/>
              <w:autoSpaceDN/>
              <w:bidi w:val="0"/>
              <w:adjustRightInd w:val="0"/>
              <w:snapToGrid w:val="0"/>
              <w:spacing w:line="360" w:lineRule="auto"/>
              <w:ind w:right="0"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32"/>
              </w:rPr>
              <w:t>根据《南通市生态环境状况公报》（202</w:t>
            </w:r>
            <w:r>
              <w:rPr>
                <w:rFonts w:hint="eastAsia" w:cs="Times New Roman"/>
                <w:color w:val="auto"/>
                <w:sz w:val="24"/>
                <w:szCs w:val="32"/>
                <w:lang w:val="en-US" w:eastAsia="zh-CN"/>
              </w:rPr>
              <w:t>4</w:t>
            </w:r>
            <w:r>
              <w:rPr>
                <w:rFonts w:hint="default" w:ascii="Times New Roman" w:hAnsi="Times New Roman" w:eastAsia="宋体" w:cs="Times New Roman"/>
                <w:color w:val="auto"/>
                <w:sz w:val="24"/>
                <w:szCs w:val="32"/>
              </w:rPr>
              <w:t>年），202</w:t>
            </w:r>
            <w:r>
              <w:rPr>
                <w:rFonts w:hint="eastAsia" w:cs="Times New Roman"/>
                <w:color w:val="auto"/>
                <w:sz w:val="24"/>
                <w:szCs w:val="32"/>
                <w:lang w:val="en-US" w:eastAsia="zh-CN"/>
              </w:rPr>
              <w:t>4</w:t>
            </w:r>
            <w:r>
              <w:rPr>
                <w:rFonts w:hint="default" w:ascii="Times New Roman" w:hAnsi="Times New Roman" w:eastAsia="宋体" w:cs="Times New Roman"/>
                <w:color w:val="auto"/>
                <w:sz w:val="24"/>
                <w:szCs w:val="32"/>
              </w:rPr>
              <w:t>年如皋市区域声环境昼间平均等效声级别值为49.4dB(A)，区域声环境等级处于一级水平</w:t>
            </w:r>
            <w:r>
              <w:rPr>
                <w:rFonts w:hint="eastAsia" w:cs="Times New Roman"/>
                <w:color w:val="auto"/>
                <w:sz w:val="24"/>
                <w:szCs w:val="32"/>
                <w:lang w:eastAsia="zh-CN"/>
              </w:rPr>
              <w:t>，</w:t>
            </w:r>
            <w:r>
              <w:rPr>
                <w:rFonts w:hint="default" w:ascii="Times New Roman" w:hAnsi="Times New Roman" w:eastAsia="宋体" w:cs="Times New Roman"/>
                <w:color w:val="auto"/>
                <w:sz w:val="24"/>
                <w:szCs w:val="32"/>
              </w:rPr>
              <w:t>如皋市功能区噪声均符合相应功能区要求</w:t>
            </w:r>
            <w:r>
              <w:rPr>
                <w:rFonts w:hint="default" w:ascii="Times New Roman" w:hAnsi="Times New Roman" w:eastAsia="宋体" w:cs="Times New Roman"/>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right="0" w:firstLine="482" w:firstLineChars="200"/>
              <w:rPr>
                <w:b/>
                <w:sz w:val="24"/>
                <w:szCs w:val="32"/>
              </w:rPr>
            </w:pPr>
            <w:r>
              <w:rPr>
                <w:rFonts w:hint="eastAsia"/>
                <w:b/>
                <w:bCs/>
                <w:sz w:val="24"/>
                <w:szCs w:val="32"/>
                <w:lang w:eastAsia="zh-CN"/>
              </w:rPr>
              <w:t>（</w:t>
            </w:r>
            <w:r>
              <w:rPr>
                <w:rFonts w:hint="eastAsia"/>
                <w:b/>
                <w:bCs/>
                <w:sz w:val="24"/>
                <w:szCs w:val="32"/>
                <w:lang w:val="en-US" w:eastAsia="zh-CN"/>
              </w:rPr>
              <w:t>四</w:t>
            </w:r>
            <w:r>
              <w:rPr>
                <w:rFonts w:hint="eastAsia"/>
                <w:b/>
                <w:bCs/>
                <w:sz w:val="24"/>
                <w:szCs w:val="32"/>
                <w:lang w:eastAsia="zh-CN"/>
              </w:rPr>
              <w:t>）</w:t>
            </w:r>
            <w:r>
              <w:rPr>
                <w:rFonts w:hint="eastAsia" w:ascii="Times New Roman" w:hAnsi="Times New Roman" w:eastAsia="宋体" w:cs="Times New Roman"/>
                <w:b/>
                <w:bCs/>
                <w:sz w:val="24"/>
                <w:szCs w:val="32"/>
              </w:rPr>
              <w:t>土壤及地下水环境质量现状</w:t>
            </w:r>
          </w:p>
          <w:p>
            <w:pPr>
              <w:keepNext w:val="0"/>
              <w:keepLines w:val="0"/>
              <w:pageBreakBefore w:val="0"/>
              <w:kinsoku/>
              <w:wordWrap/>
              <w:overflowPunct/>
              <w:topLinePunct w:val="0"/>
              <w:autoSpaceDE/>
              <w:autoSpaceDN/>
              <w:bidi w:val="0"/>
              <w:adjustRightInd w:val="0"/>
              <w:snapToGrid w:val="0"/>
              <w:spacing w:line="360" w:lineRule="auto"/>
              <w:ind w:right="0" w:firstLine="480"/>
              <w:jc w:val="left"/>
              <w:rPr>
                <w:sz w:val="24"/>
                <w:szCs w:val="32"/>
              </w:rPr>
            </w:pPr>
            <w:r>
              <w:rPr>
                <w:rFonts w:hint="eastAsia"/>
                <w:sz w:val="24"/>
                <w:szCs w:val="32"/>
              </w:rPr>
              <w:t>根据《建设项目环境影响报告表内容、格式及编制技术指南》（环办环评[2020]33号）的要求，报告表原则上不开展土壤、地下水环境质量现状调查。</w:t>
            </w:r>
          </w:p>
          <w:p>
            <w:pPr>
              <w:keepNext w:val="0"/>
              <w:keepLines w:val="0"/>
              <w:pageBreakBefore w:val="0"/>
              <w:kinsoku/>
              <w:wordWrap/>
              <w:overflowPunct/>
              <w:topLinePunct w:val="0"/>
              <w:autoSpaceDE/>
              <w:autoSpaceDN/>
              <w:bidi w:val="0"/>
              <w:adjustRightInd w:val="0"/>
              <w:snapToGrid w:val="0"/>
              <w:spacing w:line="360" w:lineRule="auto"/>
              <w:ind w:right="0" w:firstLine="480"/>
              <w:jc w:val="left"/>
              <w:rPr>
                <w:rFonts w:hint="eastAsia"/>
                <w:sz w:val="24"/>
                <w:szCs w:val="32"/>
              </w:rPr>
            </w:pPr>
            <w:r>
              <w:rPr>
                <w:rFonts w:hint="eastAsia"/>
                <w:sz w:val="24"/>
                <w:szCs w:val="32"/>
              </w:rPr>
              <w:t>本项目租赁厂房生产车间基本已完成地面防腐防渗建设，本项目所涉及液体原料主要为</w:t>
            </w:r>
            <w:r>
              <w:rPr>
                <w:rFonts w:hint="eastAsia"/>
                <w:sz w:val="24"/>
                <w:szCs w:val="32"/>
                <w:lang w:val="en-US" w:eastAsia="zh-CN"/>
              </w:rPr>
              <w:t>润滑</w:t>
            </w:r>
            <w:r>
              <w:rPr>
                <w:rFonts w:hint="eastAsia"/>
                <w:sz w:val="24"/>
                <w:szCs w:val="32"/>
              </w:rPr>
              <w:t>油，液体原料为密闭桶装存放于仓库内，正常情况下不会发生泄漏，一旦发生泄漏车间工人能够在较短时间内发现并采取措施，不会对土壤、地下水造成影响，基本不存在下渗污染途径。因此可不开展土壤、地下水环境现状调查。</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rPr>
                <w:rFonts w:hint="default" w:ascii="Times New Roman" w:hAnsi="Times New Roman" w:eastAsia="宋体" w:cs="Times New Roman"/>
                <w:b/>
                <w:color w:val="auto"/>
                <w:sz w:val="24"/>
                <w:szCs w:val="32"/>
                <w:highlight w:val="none"/>
              </w:rPr>
            </w:pPr>
            <w:r>
              <w:rPr>
                <w:rFonts w:hint="eastAsia" w:cs="Times New Roman"/>
                <w:b/>
                <w:color w:val="auto"/>
                <w:sz w:val="24"/>
                <w:szCs w:val="32"/>
                <w:highlight w:val="none"/>
                <w:lang w:val="en-US" w:eastAsia="zh-CN"/>
              </w:rPr>
              <w:t>（五）</w:t>
            </w:r>
            <w:r>
              <w:rPr>
                <w:rFonts w:hint="default" w:ascii="Times New Roman" w:hAnsi="Times New Roman" w:eastAsia="宋体" w:cs="Times New Roman"/>
                <w:b/>
                <w:color w:val="auto"/>
                <w:sz w:val="24"/>
                <w:szCs w:val="32"/>
                <w:highlight w:val="none"/>
              </w:rPr>
              <w:t>生态环境</w:t>
            </w:r>
            <w:r>
              <w:rPr>
                <w:rFonts w:hint="eastAsia" w:ascii="Times New Roman" w:hAnsi="Times New Roman" w:eastAsia="宋体" w:cs="Times New Roman"/>
                <w:b/>
                <w:bCs/>
                <w:sz w:val="24"/>
                <w:szCs w:val="32"/>
              </w:rPr>
              <w:t>质量现状</w:t>
            </w:r>
          </w:p>
          <w:p>
            <w:pPr>
              <w:keepNext w:val="0"/>
              <w:keepLines w:val="0"/>
              <w:pageBreakBefore w:val="0"/>
              <w:kinsoku/>
              <w:wordWrap/>
              <w:overflowPunct/>
              <w:topLinePunct w:val="0"/>
              <w:autoSpaceDE/>
              <w:autoSpaceDN/>
              <w:bidi w:val="0"/>
              <w:adjustRightInd w:val="0"/>
              <w:snapToGrid w:val="0"/>
              <w:spacing w:line="360" w:lineRule="auto"/>
              <w:ind w:right="0" w:firstLine="480"/>
              <w:jc w:val="left"/>
              <w:rPr>
                <w:rFonts w:hint="eastAsia" w:ascii="Times New Roman" w:hAnsi="Times New Roman" w:eastAsia="宋体" w:cs="Times New Roman"/>
                <w:sz w:val="24"/>
                <w:szCs w:val="32"/>
              </w:rPr>
            </w:pPr>
            <w:r>
              <w:rPr>
                <w:rFonts w:hint="eastAsia" w:ascii="Times New Roman" w:hAnsi="Times New Roman" w:eastAsia="宋体" w:cs="Times New Roman"/>
                <w:sz w:val="24"/>
                <w:szCs w:val="32"/>
                <w:lang w:val="en-US" w:eastAsia="zh-CN"/>
              </w:rPr>
              <w:t>本</w:t>
            </w:r>
            <w:r>
              <w:rPr>
                <w:rFonts w:hint="eastAsia" w:ascii="Times New Roman" w:hAnsi="Times New Roman" w:eastAsia="宋体" w:cs="Times New Roman"/>
                <w:sz w:val="24"/>
                <w:szCs w:val="32"/>
              </w:rPr>
              <w:t>项目用地范围内不涉及生态环境保护目标，故建设项目不进行生态现状调查。</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2" w:firstLineChars="200"/>
              <w:rPr>
                <w:rFonts w:hint="default" w:ascii="Times New Roman" w:hAnsi="Times New Roman" w:eastAsia="宋体" w:cs="Times New Roman"/>
                <w:b/>
                <w:color w:val="auto"/>
                <w:sz w:val="24"/>
                <w:szCs w:val="32"/>
                <w:highlight w:val="none"/>
              </w:rPr>
            </w:pPr>
            <w:r>
              <w:rPr>
                <w:rFonts w:hint="eastAsia" w:cs="Times New Roman"/>
                <w:b/>
                <w:color w:val="auto"/>
                <w:sz w:val="24"/>
                <w:szCs w:val="32"/>
                <w:highlight w:val="none"/>
                <w:lang w:val="en-US" w:eastAsia="zh-CN"/>
              </w:rPr>
              <w:t>（六）</w:t>
            </w:r>
            <w:r>
              <w:rPr>
                <w:rFonts w:hint="default" w:ascii="Times New Roman" w:hAnsi="Times New Roman" w:eastAsia="宋体" w:cs="Times New Roman"/>
                <w:b/>
                <w:color w:val="auto"/>
                <w:sz w:val="24"/>
                <w:szCs w:val="32"/>
                <w:highlight w:val="none"/>
              </w:rPr>
              <w:t>电磁辐射</w:t>
            </w:r>
          </w:p>
          <w:p>
            <w:pPr>
              <w:keepNext w:val="0"/>
              <w:keepLines w:val="0"/>
              <w:pageBreakBefore w:val="0"/>
              <w:kinsoku/>
              <w:wordWrap/>
              <w:overflowPunct/>
              <w:topLinePunct w:val="0"/>
              <w:autoSpaceDE/>
              <w:autoSpaceDN/>
              <w:bidi w:val="0"/>
              <w:adjustRightInd w:val="0"/>
              <w:snapToGrid w:val="0"/>
              <w:spacing w:beforeAutospacing="0" w:afterAutospacing="0" w:line="360" w:lineRule="auto"/>
              <w:ind w:left="0" w:leftChars="0" w:right="0" w:firstLine="480"/>
              <w:rPr>
                <w:rFonts w:hint="default"/>
              </w:rPr>
            </w:pPr>
            <w:r>
              <w:rPr>
                <w:rFonts w:hint="default" w:ascii="Times New Roman" w:hAnsi="Times New Roman" w:eastAsia="宋体" w:cs="Times New Roman"/>
                <w:color w:val="auto"/>
                <w:sz w:val="24"/>
                <w:szCs w:val="24"/>
                <w:highlight w:val="none"/>
              </w:rPr>
              <w:t>本项目不涉及电磁辐射内容。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shd w:val="clear" w:color="auto" w:fill="auto"/>
            <w:tcMar>
              <w:left w:w="28" w:type="dxa"/>
              <w:right w:w="28" w:type="dxa"/>
            </w:tcMar>
            <w:vAlign w:val="center"/>
          </w:tcPr>
          <w:p>
            <w:pPr>
              <w:keepNext w:val="0"/>
              <w:keepLines w:val="0"/>
              <w:pageBreakBefore w:val="0"/>
              <w:kinsoku/>
              <w:wordWrap/>
              <w:overflowPunct/>
              <w:topLinePunct w:val="0"/>
              <w:bidi w:val="0"/>
              <w:adjustRightInd w:val="0"/>
              <w:snapToGrid w:val="0"/>
              <w:spacing w:line="240" w:lineRule="auto"/>
              <w:ind w:right="0"/>
              <w:jc w:val="center"/>
              <w:rPr>
                <w:rFonts w:ascii="宋体" w:hAnsi="宋体" w:cs="宋体"/>
                <w:b/>
                <w:bCs/>
                <w:kern w:val="0"/>
                <w:sz w:val="24"/>
                <w:szCs w:val="24"/>
              </w:rPr>
            </w:pPr>
            <w:r>
              <w:rPr>
                <w:rFonts w:hint="eastAsia" w:ascii="宋体" w:hAnsi="宋体" w:cs="宋体"/>
                <w:b/>
                <w:bCs/>
                <w:kern w:val="0"/>
                <w:sz w:val="24"/>
                <w:szCs w:val="24"/>
              </w:rPr>
              <w:t>环境</w:t>
            </w:r>
          </w:p>
          <w:p>
            <w:pPr>
              <w:keepNext w:val="0"/>
              <w:keepLines w:val="0"/>
              <w:pageBreakBefore w:val="0"/>
              <w:kinsoku/>
              <w:wordWrap/>
              <w:overflowPunct/>
              <w:topLinePunct w:val="0"/>
              <w:bidi w:val="0"/>
              <w:adjustRightInd w:val="0"/>
              <w:snapToGrid w:val="0"/>
              <w:spacing w:line="240" w:lineRule="auto"/>
              <w:ind w:right="0"/>
              <w:jc w:val="center"/>
              <w:rPr>
                <w:rFonts w:ascii="宋体" w:hAnsi="宋体" w:cs="宋体"/>
                <w:b/>
                <w:bCs/>
                <w:kern w:val="0"/>
                <w:sz w:val="24"/>
                <w:szCs w:val="24"/>
              </w:rPr>
            </w:pPr>
            <w:r>
              <w:rPr>
                <w:rFonts w:hint="eastAsia" w:ascii="宋体" w:hAnsi="宋体" w:cs="宋体"/>
                <w:b/>
                <w:bCs/>
                <w:kern w:val="0"/>
                <w:sz w:val="24"/>
                <w:szCs w:val="24"/>
              </w:rPr>
              <w:t>保护</w:t>
            </w:r>
          </w:p>
          <w:p>
            <w:pPr>
              <w:keepNext w:val="0"/>
              <w:keepLines w:val="0"/>
              <w:pageBreakBefore w:val="0"/>
              <w:kinsoku/>
              <w:wordWrap/>
              <w:overflowPunct/>
              <w:topLinePunct w:val="0"/>
              <w:bidi w:val="0"/>
              <w:adjustRightInd w:val="0"/>
              <w:snapToGrid w:val="0"/>
              <w:spacing w:line="240" w:lineRule="auto"/>
              <w:ind w:right="0" w:rightChars="0"/>
              <w:jc w:val="center"/>
              <w:rPr>
                <w:rFonts w:hint="eastAsia" w:ascii="宋体" w:hAnsi="宋体" w:eastAsia="宋体" w:cs="宋体"/>
                <w:kern w:val="0"/>
                <w:sz w:val="21"/>
                <w:szCs w:val="21"/>
                <w:lang w:val="en-US" w:eastAsia="zh-CN" w:bidi="ar-SA"/>
              </w:rPr>
            </w:pPr>
            <w:r>
              <w:rPr>
                <w:rFonts w:hint="eastAsia" w:ascii="宋体" w:hAnsi="宋体" w:cs="宋体"/>
                <w:b/>
                <w:bCs/>
                <w:kern w:val="0"/>
                <w:sz w:val="24"/>
                <w:szCs w:val="24"/>
              </w:rPr>
              <w:t>目标</w:t>
            </w:r>
          </w:p>
        </w:tc>
        <w:tc>
          <w:tcPr>
            <w:tcW w:w="8604" w:type="dxa"/>
            <w:shd w:val="clear" w:color="auto" w:fill="auto"/>
            <w:vAlign w:val="top"/>
          </w:tcPr>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leftChars="0" w:right="0" w:firstLine="482" w:firstLineChars="200"/>
              <w:jc w:val="left"/>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一</w:t>
            </w:r>
            <w:r>
              <w:rPr>
                <w:rFonts w:hint="eastAsia" w:cs="Times New Roman"/>
                <w:b/>
                <w:bCs/>
                <w:color w:val="auto"/>
                <w:kern w:val="0"/>
                <w:sz w:val="24"/>
                <w:szCs w:val="24"/>
                <w:lang w:eastAsia="zh-CN"/>
              </w:rPr>
              <w:t>）</w:t>
            </w:r>
            <w:r>
              <w:rPr>
                <w:rFonts w:ascii="Times New Roman" w:hAnsi="Times New Roman" w:eastAsia="宋体" w:cs="Times New Roman"/>
                <w:b/>
                <w:bCs/>
                <w:color w:val="auto"/>
                <w:kern w:val="0"/>
                <w:sz w:val="24"/>
                <w:szCs w:val="24"/>
              </w:rPr>
              <w:t>大气环境</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left"/>
              <w:rPr>
                <w:rFonts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项目周边500m范围内大气环境保护目标见</w:t>
            </w:r>
            <w:r>
              <w:rPr>
                <w:rFonts w:hint="eastAsia" w:ascii="Times New Roman" w:hAnsi="Times New Roman" w:eastAsia="宋体" w:cs="Times New Roman"/>
                <w:color w:val="auto"/>
                <w:kern w:val="0"/>
                <w:sz w:val="24"/>
                <w:szCs w:val="24"/>
                <w:lang w:val="en-US" w:eastAsia="zh-CN"/>
              </w:rPr>
              <w:t>下</w:t>
            </w:r>
            <w:r>
              <w:rPr>
                <w:rFonts w:ascii="Times New Roman" w:hAnsi="Times New Roman" w:eastAsia="宋体" w:cs="Times New Roman"/>
                <w:color w:val="auto"/>
                <w:kern w:val="0"/>
                <w:sz w:val="24"/>
                <w:szCs w:val="24"/>
              </w:rPr>
              <w:t>表。</w:t>
            </w:r>
          </w:p>
          <w:p>
            <w:pPr>
              <w:keepNext w:val="0"/>
              <w:keepLines w:val="0"/>
              <w:pageBreakBefore w:val="0"/>
              <w:kinsoku/>
              <w:wordWrap/>
              <w:overflowPunct/>
              <w:topLinePunct w:val="0"/>
              <w:bidi w:val="0"/>
              <w:adjustRightInd w:val="0"/>
              <w:snapToGrid w:val="0"/>
              <w:spacing w:beforeAutospacing="0" w:afterAutospacing="0" w:line="360" w:lineRule="auto"/>
              <w:ind w:left="0" w:leftChars="0" w:right="0"/>
              <w:jc w:val="center"/>
              <w:rPr>
                <w:rFonts w:ascii="Times New Roman" w:hAnsi="Times New Roman" w:eastAsia="宋体" w:cs="Times New Roman"/>
                <w:b/>
                <w:color w:val="auto"/>
                <w:sz w:val="24"/>
                <w:szCs w:val="32"/>
              </w:rPr>
            </w:pPr>
            <w:r>
              <w:rPr>
                <w:rFonts w:ascii="Times New Roman" w:hAnsi="Times New Roman" w:eastAsia="宋体" w:cs="Times New Roman"/>
                <w:b/>
                <w:color w:val="auto"/>
                <w:sz w:val="24"/>
                <w:szCs w:val="32"/>
              </w:rPr>
              <w:t>表3-</w:t>
            </w:r>
            <w:r>
              <w:rPr>
                <w:rFonts w:hint="eastAsia" w:cs="Times New Roman"/>
                <w:b/>
                <w:color w:val="auto"/>
                <w:sz w:val="24"/>
                <w:szCs w:val="32"/>
                <w:lang w:val="en-US" w:eastAsia="zh-CN"/>
              </w:rPr>
              <w:t xml:space="preserve">2 </w:t>
            </w:r>
            <w:r>
              <w:rPr>
                <w:rFonts w:ascii="Times New Roman" w:hAnsi="Times New Roman" w:eastAsia="宋体" w:cs="Times New Roman"/>
                <w:b/>
                <w:color w:val="auto"/>
                <w:sz w:val="24"/>
                <w:szCs w:val="32"/>
              </w:rPr>
              <w:t>建设项目大气环境保护目标</w:t>
            </w:r>
          </w:p>
          <w:tbl>
            <w:tblPr>
              <w:tblStyle w:val="30"/>
              <w:tblW w:w="8388"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
            <w:tblGrid>
              <w:gridCol w:w="1683"/>
              <w:gridCol w:w="947"/>
              <w:gridCol w:w="844"/>
              <w:gridCol w:w="742"/>
              <w:gridCol w:w="755"/>
              <w:gridCol w:w="1279"/>
              <w:gridCol w:w="883"/>
              <w:gridCol w:w="125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23" w:hRule="atLeast"/>
                <w:jc w:val="center"/>
              </w:trPr>
              <w:tc>
                <w:tcPr>
                  <w:tcW w:w="1683"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名称</w:t>
                  </w:r>
                </w:p>
              </w:tc>
              <w:tc>
                <w:tcPr>
                  <w:tcW w:w="1791" w:type="dxa"/>
                  <w:gridSpan w:val="2"/>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经纬度坐标</w:t>
                  </w:r>
                </w:p>
              </w:tc>
              <w:tc>
                <w:tcPr>
                  <w:tcW w:w="742"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保护对象</w:t>
                  </w:r>
                </w:p>
              </w:tc>
              <w:tc>
                <w:tcPr>
                  <w:tcW w:w="755"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保护内容</w:t>
                  </w:r>
                </w:p>
              </w:tc>
              <w:tc>
                <w:tcPr>
                  <w:tcW w:w="1279"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环境功能区</w:t>
                  </w:r>
                </w:p>
              </w:tc>
              <w:tc>
                <w:tcPr>
                  <w:tcW w:w="883"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相对厂址方向</w:t>
                  </w:r>
                </w:p>
              </w:tc>
              <w:tc>
                <w:tcPr>
                  <w:tcW w:w="1255"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相对厂界</w:t>
                  </w:r>
                  <w:r>
                    <w:rPr>
                      <w:rFonts w:hint="eastAsia" w:ascii="Times New Roman" w:hAnsi="Times New Roman" w:eastAsia="宋体" w:cs="Times New Roman"/>
                      <w:b/>
                      <w:color w:val="auto"/>
                      <w:sz w:val="21"/>
                      <w:szCs w:val="21"/>
                    </w:rPr>
                    <w:t>最近</w:t>
                  </w:r>
                  <w:r>
                    <w:rPr>
                      <w:rFonts w:ascii="Times New Roman" w:hAnsi="Times New Roman" w:eastAsia="宋体" w:cs="Times New Roman"/>
                      <w:b/>
                      <w:color w:val="auto"/>
                      <w:sz w:val="21"/>
                      <w:szCs w:val="21"/>
                    </w:rPr>
                    <w:t>距离（</w:t>
                  </w:r>
                  <w:r>
                    <w:rPr>
                      <w:rFonts w:hint="eastAsia" w:ascii="Times New Roman" w:hAnsi="Times New Roman" w:eastAsia="宋体" w:cs="Times New Roman"/>
                      <w:b/>
                      <w:color w:val="auto"/>
                      <w:sz w:val="21"/>
                      <w:szCs w:val="21"/>
                    </w:rPr>
                    <w:t>m</w:t>
                  </w:r>
                  <w:r>
                    <w:rPr>
                      <w:rFonts w:ascii="Times New Roman" w:hAnsi="Times New Roman" w:eastAsia="宋体" w:cs="Times New Roman"/>
                      <w:b/>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23" w:hRule="atLeast"/>
                <w:jc w:val="center"/>
              </w:trPr>
              <w:tc>
                <w:tcPr>
                  <w:tcW w:w="1683"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p>
              </w:tc>
              <w:tc>
                <w:tcPr>
                  <w:tcW w:w="947"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X</w:t>
                  </w:r>
                </w:p>
              </w:tc>
              <w:tc>
                <w:tcPr>
                  <w:tcW w:w="844" w:type="dxa"/>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b/>
                      <w:color w:val="auto"/>
                      <w:sz w:val="21"/>
                      <w:szCs w:val="21"/>
                    </w:rPr>
                  </w:pPr>
                  <w:r>
                    <w:rPr>
                      <w:rFonts w:ascii="Times New Roman" w:hAnsi="Times New Roman" w:eastAsia="宋体" w:cs="Times New Roman"/>
                      <w:b/>
                      <w:color w:val="auto"/>
                      <w:sz w:val="21"/>
                      <w:szCs w:val="21"/>
                    </w:rPr>
                    <w:t>Y</w:t>
                  </w:r>
                </w:p>
              </w:tc>
              <w:tc>
                <w:tcPr>
                  <w:tcW w:w="742"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75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1279"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883"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1255"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23" w:hRule="atLeast"/>
                <w:jc w:val="center"/>
              </w:trPr>
              <w:tc>
                <w:tcPr>
                  <w:tcW w:w="16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陆桥村散户</w:t>
                  </w:r>
                </w:p>
              </w:tc>
              <w:tc>
                <w:tcPr>
                  <w:tcW w:w="947"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55</w:t>
                  </w:r>
                </w:p>
              </w:tc>
              <w:tc>
                <w:tcPr>
                  <w:tcW w:w="844"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-285</w:t>
                  </w:r>
                </w:p>
              </w:tc>
              <w:tc>
                <w:tcPr>
                  <w:tcW w:w="742"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居民</w:t>
                  </w:r>
                </w:p>
              </w:tc>
              <w:tc>
                <w:tcPr>
                  <w:tcW w:w="7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ascii="Times New Roman" w:hAnsi="Times New Roman" w:eastAsia="宋体" w:cs="Times New Roman"/>
                      <w:color w:val="auto"/>
                      <w:sz w:val="21"/>
                      <w:szCs w:val="21"/>
                    </w:rPr>
                    <w:t>户</w:t>
                  </w:r>
                </w:p>
              </w:tc>
              <w:tc>
                <w:tcPr>
                  <w:tcW w:w="1279" w:type="dxa"/>
                  <w:vMerge w:val="restart"/>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《环境空气质量标准》（GB3095－2012）中的二级标准</w:t>
                  </w:r>
                </w:p>
              </w:tc>
              <w:tc>
                <w:tcPr>
                  <w:tcW w:w="8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南</w:t>
                  </w:r>
                </w:p>
              </w:tc>
              <w:tc>
                <w:tcPr>
                  <w:tcW w:w="12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292</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559" w:hRule="atLeast"/>
                <w:jc w:val="center"/>
              </w:trPr>
              <w:tc>
                <w:tcPr>
                  <w:tcW w:w="16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陆桥村</w:t>
                  </w:r>
                  <w:r>
                    <w:rPr>
                      <w:rFonts w:hint="eastAsia" w:cs="Times New Roman"/>
                      <w:color w:val="auto"/>
                      <w:sz w:val="21"/>
                      <w:szCs w:val="21"/>
                      <w:lang w:val="en-US" w:eastAsia="zh-CN"/>
                    </w:rPr>
                    <w:t>居民</w:t>
                  </w:r>
                  <w:r>
                    <w:rPr>
                      <w:rFonts w:hint="eastAsia" w:ascii="Times New Roman" w:hAnsi="Times New Roman" w:eastAsia="宋体" w:cs="Times New Roman"/>
                      <w:color w:val="auto"/>
                      <w:sz w:val="21"/>
                      <w:szCs w:val="21"/>
                      <w:lang w:val="en-US" w:eastAsia="zh-CN"/>
                    </w:rPr>
                    <w:t>点1</w:t>
                  </w:r>
                </w:p>
              </w:tc>
              <w:tc>
                <w:tcPr>
                  <w:tcW w:w="947"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-120</w:t>
                  </w:r>
                </w:p>
              </w:tc>
              <w:tc>
                <w:tcPr>
                  <w:tcW w:w="844"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-280</w:t>
                  </w:r>
                </w:p>
              </w:tc>
              <w:tc>
                <w:tcPr>
                  <w:tcW w:w="742"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居民</w:t>
                  </w:r>
                </w:p>
              </w:tc>
              <w:tc>
                <w:tcPr>
                  <w:tcW w:w="7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100</w:t>
                  </w:r>
                  <w:r>
                    <w:rPr>
                      <w:rFonts w:ascii="Times New Roman" w:hAnsi="Times New Roman" w:eastAsia="宋体" w:cs="Times New Roman"/>
                      <w:color w:val="auto"/>
                      <w:sz w:val="21"/>
                      <w:szCs w:val="21"/>
                    </w:rPr>
                    <w:t>户</w:t>
                  </w:r>
                </w:p>
              </w:tc>
              <w:tc>
                <w:tcPr>
                  <w:tcW w:w="1279"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8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南</w:t>
                  </w:r>
                </w:p>
              </w:tc>
              <w:tc>
                <w:tcPr>
                  <w:tcW w:w="12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310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23" w:hRule="atLeast"/>
                <w:jc w:val="center"/>
              </w:trPr>
              <w:tc>
                <w:tcPr>
                  <w:tcW w:w="16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陆桥村</w:t>
                  </w:r>
                  <w:r>
                    <w:rPr>
                      <w:rFonts w:hint="eastAsia" w:cs="Times New Roman"/>
                      <w:color w:val="auto"/>
                      <w:sz w:val="21"/>
                      <w:szCs w:val="21"/>
                      <w:lang w:val="en-US" w:eastAsia="zh-CN"/>
                    </w:rPr>
                    <w:t>居民</w:t>
                  </w:r>
                  <w:r>
                    <w:rPr>
                      <w:rFonts w:hint="eastAsia" w:ascii="Times New Roman" w:hAnsi="Times New Roman" w:eastAsia="宋体" w:cs="Times New Roman"/>
                      <w:color w:val="auto"/>
                      <w:sz w:val="21"/>
                      <w:szCs w:val="21"/>
                      <w:lang w:val="en-US" w:eastAsia="zh-CN"/>
                    </w:rPr>
                    <w:t>点2</w:t>
                  </w:r>
                </w:p>
              </w:tc>
              <w:tc>
                <w:tcPr>
                  <w:tcW w:w="947"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50</w:t>
                  </w:r>
                </w:p>
              </w:tc>
              <w:tc>
                <w:tcPr>
                  <w:tcW w:w="844"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-85</w:t>
                  </w:r>
                </w:p>
              </w:tc>
              <w:tc>
                <w:tcPr>
                  <w:tcW w:w="742"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居民</w:t>
                  </w:r>
                </w:p>
              </w:tc>
              <w:tc>
                <w:tcPr>
                  <w:tcW w:w="7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90</w:t>
                  </w:r>
                  <w:r>
                    <w:rPr>
                      <w:rFonts w:ascii="Times New Roman" w:hAnsi="Times New Roman" w:eastAsia="宋体" w:cs="Times New Roman"/>
                      <w:color w:val="auto"/>
                      <w:sz w:val="21"/>
                      <w:szCs w:val="21"/>
                    </w:rPr>
                    <w:t>户</w:t>
                  </w:r>
                </w:p>
              </w:tc>
              <w:tc>
                <w:tcPr>
                  <w:tcW w:w="1279"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8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南</w:t>
                  </w:r>
                </w:p>
              </w:tc>
              <w:tc>
                <w:tcPr>
                  <w:tcW w:w="12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90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57" w:type="dxa"/>
                  <w:bottom w:w="0" w:type="dxa"/>
                  <w:right w:w="57" w:type="dxa"/>
                </w:tblCellMar>
              </w:tblPrEx>
              <w:trPr>
                <w:trHeight w:val="23" w:hRule="atLeast"/>
                <w:jc w:val="center"/>
              </w:trPr>
              <w:tc>
                <w:tcPr>
                  <w:tcW w:w="16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陆桥村</w:t>
                  </w:r>
                  <w:r>
                    <w:rPr>
                      <w:rFonts w:hint="eastAsia" w:cs="Times New Roman"/>
                      <w:color w:val="auto"/>
                      <w:sz w:val="21"/>
                      <w:szCs w:val="21"/>
                      <w:lang w:val="en-US" w:eastAsia="zh-CN"/>
                    </w:rPr>
                    <w:t>居民</w:t>
                  </w:r>
                  <w:r>
                    <w:rPr>
                      <w:rFonts w:hint="eastAsia" w:ascii="Times New Roman" w:hAnsi="Times New Roman" w:eastAsia="宋体" w:cs="Times New Roman"/>
                      <w:color w:val="auto"/>
                      <w:sz w:val="21"/>
                      <w:szCs w:val="21"/>
                      <w:lang w:val="en-US" w:eastAsia="zh-CN"/>
                    </w:rPr>
                    <w:t>点3</w:t>
                  </w:r>
                </w:p>
              </w:tc>
              <w:tc>
                <w:tcPr>
                  <w:tcW w:w="947"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-60</w:t>
                  </w:r>
                </w:p>
              </w:tc>
              <w:tc>
                <w:tcPr>
                  <w:tcW w:w="844"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135</w:t>
                  </w:r>
                </w:p>
              </w:tc>
              <w:tc>
                <w:tcPr>
                  <w:tcW w:w="742"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居民</w:t>
                  </w:r>
                </w:p>
              </w:tc>
              <w:tc>
                <w:tcPr>
                  <w:tcW w:w="7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100</w:t>
                  </w:r>
                  <w:r>
                    <w:rPr>
                      <w:rFonts w:ascii="Times New Roman" w:hAnsi="Times New Roman" w:eastAsia="宋体" w:cs="Times New Roman"/>
                      <w:color w:val="auto"/>
                      <w:sz w:val="21"/>
                      <w:szCs w:val="21"/>
                    </w:rPr>
                    <w:t>户</w:t>
                  </w:r>
                </w:p>
              </w:tc>
              <w:tc>
                <w:tcPr>
                  <w:tcW w:w="1279" w:type="dxa"/>
                  <w:vMerge w:val="continue"/>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jc w:val="center"/>
                    <w:textAlignment w:val="auto"/>
                    <w:rPr>
                      <w:rFonts w:ascii="Times New Roman" w:hAnsi="Times New Roman" w:eastAsia="宋体" w:cs="Times New Roman"/>
                      <w:color w:val="auto"/>
                      <w:sz w:val="21"/>
                      <w:szCs w:val="21"/>
                    </w:rPr>
                  </w:pPr>
                </w:p>
              </w:tc>
              <w:tc>
                <w:tcPr>
                  <w:tcW w:w="883"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北</w:t>
                  </w:r>
                </w:p>
              </w:tc>
              <w:tc>
                <w:tcPr>
                  <w:tcW w:w="1255" w:type="dxa"/>
                  <w:shd w:val="clear" w:color="auto" w:fill="auto"/>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115</w:t>
                  </w:r>
                </w:p>
              </w:tc>
            </w:tr>
          </w:tbl>
          <w:p>
            <w:pPr>
              <w:keepNext w:val="0"/>
              <w:keepLines w:val="0"/>
              <w:pageBreakBefore w:val="0"/>
              <w:kinsoku/>
              <w:wordWrap/>
              <w:overflowPunct/>
              <w:topLinePunct w:val="0"/>
              <w:bidi w:val="0"/>
              <w:adjustRightInd w:val="0"/>
              <w:snapToGrid w:val="0"/>
              <w:spacing w:line="360" w:lineRule="auto"/>
              <w:ind w:right="0"/>
              <w:rPr>
                <w:sz w:val="20"/>
                <w:szCs w:val="20"/>
              </w:rPr>
            </w:pPr>
            <w:r>
              <w:rPr>
                <w:rFonts w:hint="eastAsia"/>
                <w:sz w:val="20"/>
                <w:szCs w:val="20"/>
              </w:rPr>
              <w:t>*注：</w:t>
            </w:r>
            <w:r>
              <w:rPr>
                <w:sz w:val="20"/>
                <w:szCs w:val="20"/>
              </w:rPr>
              <w:t>以厂房西南角设为坐标原点</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ind w:left="0" w:leftChars="0" w:right="0" w:firstLine="422" w:firstLineChars="200"/>
              <w:jc w:val="left"/>
              <w:rPr>
                <w:rFonts w:hint="eastAsia" w:cs="Times New Roman"/>
                <w:b/>
                <w:bCs/>
                <w:color w:val="auto"/>
                <w:kern w:val="0"/>
                <w:sz w:val="21"/>
                <w:szCs w:val="21"/>
                <w:lang w:eastAsia="zh-CN"/>
              </w:rPr>
            </w:pP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leftChars="0" w:right="0" w:firstLine="482" w:firstLineChars="200"/>
              <w:jc w:val="left"/>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二</w:t>
            </w:r>
            <w:r>
              <w:rPr>
                <w:rFonts w:hint="eastAsia" w:cs="Times New Roman"/>
                <w:b/>
                <w:bCs/>
                <w:color w:val="auto"/>
                <w:kern w:val="0"/>
                <w:sz w:val="24"/>
                <w:szCs w:val="24"/>
                <w:lang w:eastAsia="zh-CN"/>
              </w:rPr>
              <w:t>）</w:t>
            </w:r>
            <w:r>
              <w:rPr>
                <w:rFonts w:ascii="Times New Roman" w:hAnsi="Times New Roman" w:eastAsia="宋体" w:cs="Times New Roman"/>
                <w:b/>
                <w:bCs/>
                <w:color w:val="auto"/>
                <w:kern w:val="0"/>
                <w:sz w:val="24"/>
                <w:szCs w:val="24"/>
              </w:rPr>
              <w:t>声环境</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left"/>
              <w:rPr>
                <w:rFonts w:hint="eastAsia" w:ascii="Times New Roman" w:hAnsi="Times New Roman" w:eastAsia="宋体" w:cs="Times New Roman"/>
                <w:color w:val="auto"/>
                <w:kern w:val="0"/>
                <w:sz w:val="24"/>
                <w:szCs w:val="24"/>
              </w:rPr>
            </w:pPr>
            <w:r>
              <w:rPr>
                <w:rFonts w:ascii="Times New Roman" w:hAnsi="Times New Roman" w:eastAsia="宋体" w:cs="Times New Roman"/>
                <w:color w:val="auto"/>
                <w:kern w:val="0"/>
                <w:sz w:val="24"/>
                <w:szCs w:val="24"/>
              </w:rPr>
              <w:t>项目周边50米范围内</w:t>
            </w:r>
            <w:r>
              <w:rPr>
                <w:rFonts w:hint="eastAsia" w:ascii="Times New Roman" w:hAnsi="Times New Roman" w:eastAsia="宋体" w:cs="Times New Roman"/>
                <w:color w:val="auto"/>
                <w:kern w:val="0"/>
                <w:sz w:val="24"/>
                <w:szCs w:val="24"/>
                <w:lang w:val="en-US" w:eastAsia="zh-CN"/>
              </w:rPr>
              <w:t>无</w:t>
            </w:r>
            <w:r>
              <w:rPr>
                <w:rFonts w:hint="eastAsia" w:ascii="Times New Roman" w:hAnsi="Times New Roman" w:eastAsia="宋体" w:cs="Times New Roman"/>
                <w:color w:val="auto"/>
                <w:kern w:val="0"/>
                <w:sz w:val="24"/>
                <w:szCs w:val="24"/>
              </w:rPr>
              <w:t>声环境敏感目标</w:t>
            </w:r>
            <w:r>
              <w:rPr>
                <w:rFonts w:hint="eastAsia" w:ascii="Times New Roman" w:hAnsi="Times New Roman" w:eastAsia="宋体" w:cs="Times New Roman"/>
                <w:color w:val="auto"/>
                <w:kern w:val="0"/>
                <w:sz w:val="24"/>
                <w:szCs w:val="24"/>
                <w:lang w:eastAsia="zh-CN"/>
              </w:rPr>
              <w:t>。</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leftChars="0" w:right="0" w:firstLine="482" w:firstLineChars="200"/>
              <w:jc w:val="left"/>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三</w:t>
            </w:r>
            <w:r>
              <w:rPr>
                <w:rFonts w:hint="eastAsia" w:cs="Times New Roman"/>
                <w:b/>
                <w:bCs/>
                <w:color w:val="auto"/>
                <w:kern w:val="0"/>
                <w:sz w:val="24"/>
                <w:szCs w:val="24"/>
                <w:lang w:eastAsia="zh-CN"/>
              </w:rPr>
              <w:t>）</w:t>
            </w:r>
            <w:r>
              <w:rPr>
                <w:rFonts w:ascii="Times New Roman" w:hAnsi="Times New Roman" w:eastAsia="宋体" w:cs="Times New Roman"/>
                <w:b/>
                <w:bCs/>
                <w:color w:val="auto"/>
                <w:kern w:val="0"/>
                <w:sz w:val="24"/>
                <w:szCs w:val="24"/>
              </w:rPr>
              <w:t>地</w:t>
            </w:r>
            <w:r>
              <w:rPr>
                <w:rFonts w:hint="eastAsia" w:ascii="Times New Roman" w:hAnsi="Times New Roman" w:eastAsia="宋体" w:cs="Times New Roman"/>
                <w:b/>
                <w:bCs/>
                <w:color w:val="auto"/>
                <w:kern w:val="0"/>
                <w:sz w:val="24"/>
                <w:szCs w:val="24"/>
                <w:lang w:val="en-US" w:eastAsia="zh-CN"/>
              </w:rPr>
              <w:t>表</w:t>
            </w:r>
            <w:r>
              <w:rPr>
                <w:rFonts w:ascii="Times New Roman" w:hAnsi="Times New Roman" w:eastAsia="宋体" w:cs="Times New Roman"/>
                <w:b/>
                <w:bCs/>
                <w:color w:val="auto"/>
                <w:kern w:val="0"/>
                <w:sz w:val="24"/>
                <w:szCs w:val="24"/>
              </w:rPr>
              <w:t>水环境</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jc w:val="left"/>
              <w:rPr>
                <w:rFonts w:hint="eastAsia" w:ascii="Times New Roman" w:hAnsi="Times New Roman" w:eastAsia="宋体" w:cs="Times New Roman"/>
                <w:color w:val="auto"/>
                <w:kern w:val="0"/>
                <w:sz w:val="24"/>
                <w:szCs w:val="24"/>
                <w:lang w:eastAsia="zh-CN"/>
              </w:rPr>
            </w:pPr>
            <w:r>
              <w:rPr>
                <w:rFonts w:ascii="Times New Roman" w:hAnsi="Times New Roman" w:eastAsia="宋体" w:cs="Times New Roman"/>
                <w:color w:val="auto"/>
                <w:kern w:val="0"/>
                <w:sz w:val="24"/>
                <w:szCs w:val="24"/>
              </w:rPr>
              <w:t>项目周边500m范围内</w:t>
            </w:r>
            <w:r>
              <w:rPr>
                <w:rFonts w:hint="eastAsia" w:ascii="Times New Roman" w:hAnsi="Times New Roman" w:eastAsia="宋体" w:cs="Times New Roman"/>
                <w:color w:val="auto"/>
                <w:kern w:val="0"/>
                <w:sz w:val="24"/>
                <w:szCs w:val="24"/>
                <w:lang w:val="en-US" w:eastAsia="zh-CN"/>
              </w:rPr>
              <w:t>地表水</w:t>
            </w:r>
            <w:r>
              <w:rPr>
                <w:rFonts w:ascii="Times New Roman" w:hAnsi="Times New Roman" w:eastAsia="宋体" w:cs="Times New Roman"/>
                <w:color w:val="auto"/>
                <w:kern w:val="0"/>
                <w:sz w:val="24"/>
                <w:szCs w:val="24"/>
              </w:rPr>
              <w:t>环境保护目标见</w:t>
            </w:r>
            <w:r>
              <w:rPr>
                <w:rFonts w:hint="eastAsia" w:ascii="Times New Roman" w:hAnsi="Times New Roman" w:eastAsia="宋体" w:cs="Times New Roman"/>
                <w:color w:val="auto"/>
                <w:kern w:val="0"/>
                <w:sz w:val="24"/>
                <w:szCs w:val="24"/>
                <w:lang w:val="en-US" w:eastAsia="zh-CN"/>
              </w:rPr>
              <w:t>下</w:t>
            </w:r>
            <w:r>
              <w:rPr>
                <w:rFonts w:ascii="Times New Roman" w:hAnsi="Times New Roman" w:eastAsia="宋体" w:cs="Times New Roman"/>
                <w:color w:val="auto"/>
                <w:kern w:val="0"/>
                <w:sz w:val="24"/>
                <w:szCs w:val="24"/>
              </w:rPr>
              <w:t>表</w:t>
            </w:r>
            <w:r>
              <w:rPr>
                <w:rFonts w:hint="eastAsia" w:ascii="Times New Roman" w:hAnsi="Times New Roman" w:eastAsia="宋体" w:cs="Times New Roman"/>
                <w:color w:val="auto"/>
                <w:kern w:val="0"/>
                <w:sz w:val="24"/>
                <w:szCs w:val="24"/>
                <w:lang w:eastAsia="zh-CN"/>
              </w:rPr>
              <w:t>。</w:t>
            </w:r>
          </w:p>
          <w:p>
            <w:pPr>
              <w:keepNext w:val="0"/>
              <w:keepLines w:val="0"/>
              <w:pageBreakBefore w:val="0"/>
              <w:kinsoku/>
              <w:wordWrap/>
              <w:overflowPunct/>
              <w:topLinePunct w:val="0"/>
              <w:bidi w:val="0"/>
              <w:adjustRightInd w:val="0"/>
              <w:snapToGrid w:val="0"/>
              <w:spacing w:beforeAutospacing="0" w:afterAutospacing="0" w:line="360" w:lineRule="auto"/>
              <w:ind w:left="0" w:leftChars="0" w:right="0"/>
              <w:jc w:val="center"/>
              <w:rPr>
                <w:rFonts w:hint="default" w:ascii="Times New Roman" w:hAnsi="Times New Roman" w:eastAsia="宋体" w:cs="Times New Roman"/>
                <w:b/>
                <w:color w:val="auto"/>
                <w:sz w:val="24"/>
                <w:szCs w:val="32"/>
              </w:rPr>
            </w:pPr>
          </w:p>
          <w:p>
            <w:pPr>
              <w:keepNext w:val="0"/>
              <w:keepLines w:val="0"/>
              <w:pageBreakBefore w:val="0"/>
              <w:kinsoku/>
              <w:wordWrap/>
              <w:overflowPunct/>
              <w:topLinePunct w:val="0"/>
              <w:bidi w:val="0"/>
              <w:adjustRightInd w:val="0"/>
              <w:snapToGrid w:val="0"/>
              <w:spacing w:beforeAutospacing="0" w:afterAutospacing="0" w:line="360" w:lineRule="auto"/>
              <w:ind w:left="0" w:leftChars="0" w:right="0"/>
              <w:jc w:val="center"/>
              <w:rPr>
                <w:rFonts w:hint="default" w:ascii="Times New Roman" w:hAnsi="Times New Roman" w:eastAsia="宋体" w:cs="Times New Roman"/>
                <w:b/>
                <w:color w:val="auto"/>
                <w:sz w:val="24"/>
                <w:szCs w:val="32"/>
              </w:rPr>
            </w:pPr>
            <w:r>
              <w:rPr>
                <w:rFonts w:hint="default" w:ascii="Times New Roman" w:hAnsi="Times New Roman" w:eastAsia="宋体" w:cs="Times New Roman"/>
                <w:b/>
                <w:color w:val="auto"/>
                <w:sz w:val="24"/>
                <w:szCs w:val="32"/>
              </w:rPr>
              <w:t xml:space="preserve"> 表3-</w:t>
            </w:r>
            <w:r>
              <w:rPr>
                <w:rFonts w:hint="eastAsia" w:cs="Times New Roman"/>
                <w:b/>
                <w:color w:val="auto"/>
                <w:sz w:val="24"/>
                <w:szCs w:val="32"/>
                <w:lang w:val="en-US" w:eastAsia="zh-CN"/>
              </w:rPr>
              <w:t>3</w:t>
            </w:r>
            <w:r>
              <w:rPr>
                <w:rFonts w:hint="default" w:ascii="Times New Roman" w:hAnsi="Times New Roman" w:eastAsia="宋体" w:cs="Times New Roman"/>
                <w:b/>
                <w:color w:val="auto"/>
                <w:sz w:val="24"/>
                <w:szCs w:val="32"/>
              </w:rPr>
              <w:t>水环境保护目标一览表</w:t>
            </w:r>
          </w:p>
          <w:tbl>
            <w:tblPr>
              <w:tblStyle w:val="30"/>
              <w:tblW w:w="83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028"/>
              <w:gridCol w:w="2156"/>
              <w:gridCol w:w="1065"/>
              <w:gridCol w:w="976"/>
              <w:gridCol w:w="993"/>
              <w:gridCol w:w="9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171"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环境保护目标名称</w:t>
                  </w:r>
                </w:p>
              </w:tc>
              <w:tc>
                <w:tcPr>
                  <w:tcW w:w="102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保护对象</w:t>
                  </w:r>
                </w:p>
              </w:tc>
              <w:tc>
                <w:tcPr>
                  <w:tcW w:w="2156"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保护内容</w:t>
                  </w:r>
                </w:p>
              </w:tc>
              <w:tc>
                <w:tcPr>
                  <w:tcW w:w="1065"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环境功能区</w:t>
                  </w:r>
                </w:p>
              </w:tc>
              <w:tc>
                <w:tcPr>
                  <w:tcW w:w="976"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相对方位</w:t>
                  </w:r>
                </w:p>
              </w:tc>
              <w:tc>
                <w:tcPr>
                  <w:tcW w:w="993"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相对距离（m）</w:t>
                  </w:r>
                </w:p>
              </w:tc>
              <w:tc>
                <w:tcPr>
                  <w:tcW w:w="994"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jc w:val="center"/>
                    <w:rPr>
                      <w:rFonts w:hint="default" w:ascii="Times New Roman" w:hAnsi="Times New Roman" w:eastAsia="宋体" w:cs="Times New Roman"/>
                      <w:b/>
                      <w:bCs/>
                      <w:color w:val="auto"/>
                      <w:sz w:val="21"/>
                      <w:highlight w:val="none"/>
                    </w:rPr>
                  </w:pPr>
                  <w:r>
                    <w:rPr>
                      <w:rFonts w:hint="default" w:ascii="Times New Roman" w:hAnsi="Times New Roman" w:eastAsia="宋体" w:cs="Times New Roman"/>
                      <w:b/>
                      <w:bCs/>
                      <w:color w:val="auto"/>
                      <w:sz w:val="21"/>
                      <w:highlight w:val="none"/>
                    </w:rPr>
                    <w:t>水力联系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171"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sz w:val="21"/>
                      <w:highlight w:val="none"/>
                      <w:lang w:val="en-US" w:eastAsia="zh-CN"/>
                    </w:rPr>
                    <w:t>东</w:t>
                  </w:r>
                  <w:r>
                    <w:rPr>
                      <w:rFonts w:hint="eastAsia" w:cs="Times New Roman"/>
                      <w:color w:val="auto"/>
                      <w:sz w:val="21"/>
                      <w:highlight w:val="none"/>
                      <w:lang w:val="en-US" w:eastAsia="zh-CN"/>
                    </w:rPr>
                    <w:t>文革</w:t>
                  </w:r>
                  <w:r>
                    <w:rPr>
                      <w:rFonts w:hint="eastAsia" w:ascii="Times New Roman" w:hAnsi="Times New Roman" w:eastAsia="宋体" w:cs="Times New Roman"/>
                      <w:color w:val="auto"/>
                      <w:sz w:val="21"/>
                      <w:highlight w:val="none"/>
                      <w:lang w:val="en-US" w:eastAsia="zh-CN"/>
                    </w:rPr>
                    <w:t>河</w:t>
                  </w:r>
                </w:p>
              </w:tc>
              <w:tc>
                <w:tcPr>
                  <w:tcW w:w="1028"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 w:val="21"/>
                      <w:highlight w:val="none"/>
                    </w:rPr>
                    <w:t>河流</w:t>
                  </w:r>
                </w:p>
              </w:tc>
              <w:tc>
                <w:tcPr>
                  <w:tcW w:w="2156"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bCs/>
                      <w:color w:val="auto"/>
                      <w:kern w:val="2"/>
                      <w:sz w:val="21"/>
                      <w:szCs w:val="24"/>
                      <w:highlight w:val="none"/>
                      <w:lang w:val="en-US" w:eastAsia="zh-CN" w:bidi="ar-SA"/>
                    </w:rPr>
                  </w:pPr>
                  <w:r>
                    <w:rPr>
                      <w:rFonts w:hint="default" w:ascii="Times New Roman" w:hAnsi="Times New Roman" w:eastAsia="宋体" w:cs="Times New Roman"/>
                      <w:color w:val="auto"/>
                      <w:sz w:val="21"/>
                      <w:highlight w:val="none"/>
                    </w:rPr>
                    <w:t>《地表水环境质量标准》（GB3838-2002）</w:t>
                  </w:r>
                </w:p>
              </w:tc>
              <w:tc>
                <w:tcPr>
                  <w:tcW w:w="1065"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highlight w:val="none"/>
                    </w:rPr>
                    <w:t>Ⅲ类</w:t>
                  </w:r>
                </w:p>
              </w:tc>
              <w:tc>
                <w:tcPr>
                  <w:tcW w:w="976"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bCs/>
                      <w:color w:val="auto"/>
                      <w:kern w:val="2"/>
                      <w:sz w:val="21"/>
                      <w:szCs w:val="24"/>
                      <w:highlight w:val="none"/>
                      <w:lang w:val="en-US" w:eastAsia="zh-CN" w:bidi="ar-SA"/>
                    </w:rPr>
                  </w:pPr>
                  <w:r>
                    <w:rPr>
                      <w:rFonts w:hint="eastAsia" w:cs="Times New Roman"/>
                      <w:color w:val="auto"/>
                      <w:sz w:val="21"/>
                      <w:highlight w:val="none"/>
                      <w:lang w:val="en-US" w:eastAsia="zh-CN"/>
                    </w:rPr>
                    <w:t>北</w:t>
                  </w:r>
                </w:p>
              </w:tc>
              <w:tc>
                <w:tcPr>
                  <w:tcW w:w="993"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ascii="Times New Roman" w:hAnsi="Times New Roman" w:eastAsia="宋体" w:cs="Times New Roman"/>
                      <w:bCs/>
                      <w:color w:val="auto"/>
                      <w:kern w:val="2"/>
                      <w:sz w:val="21"/>
                      <w:szCs w:val="24"/>
                      <w:highlight w:val="none"/>
                      <w:lang w:val="en-US" w:eastAsia="zh-CN" w:bidi="ar-SA"/>
                    </w:rPr>
                  </w:pPr>
                  <w:r>
                    <w:rPr>
                      <w:rFonts w:hint="eastAsia" w:cs="Times New Roman"/>
                      <w:bCs/>
                      <w:color w:val="auto"/>
                      <w:sz w:val="21"/>
                      <w:highlight w:val="none"/>
                      <w:lang w:val="en-US" w:eastAsia="zh-CN"/>
                    </w:rPr>
                    <w:t>46</w:t>
                  </w:r>
                  <w:r>
                    <w:rPr>
                      <w:rFonts w:hint="eastAsia" w:ascii="Times New Roman" w:hAnsi="Times New Roman" w:eastAsia="宋体" w:cs="Times New Roman"/>
                      <w:bCs/>
                      <w:color w:val="auto"/>
                      <w:sz w:val="21"/>
                      <w:highlight w:val="none"/>
                      <w:lang w:val="en-US" w:eastAsia="zh-CN"/>
                    </w:rPr>
                    <w:t>0</w:t>
                  </w:r>
                  <w:r>
                    <w:rPr>
                      <w:rFonts w:hint="default" w:ascii="Times New Roman" w:hAnsi="Times New Roman" w:eastAsia="宋体" w:cs="Times New Roman"/>
                      <w:bCs/>
                      <w:color w:val="auto"/>
                      <w:sz w:val="21"/>
                      <w:highlight w:val="none"/>
                      <w:lang w:val="en-US" w:eastAsia="zh-CN"/>
                    </w:rPr>
                    <w:t>m</w:t>
                  </w:r>
                </w:p>
              </w:tc>
              <w:tc>
                <w:tcPr>
                  <w:tcW w:w="994" w:type="dxa"/>
                  <w:tcBorders>
                    <w:tl2br w:val="nil"/>
                    <w:tr2bl w:val="nil"/>
                  </w:tcBorders>
                  <w:shd w:val="clear" w:color="auto" w:fill="auto"/>
                  <w:noWrap w:val="0"/>
                  <w:vAlign w:val="center"/>
                </w:tcPr>
                <w:p>
                  <w:pPr>
                    <w:keepNext w:val="0"/>
                    <w:keepLines w:val="0"/>
                    <w:pageBreakBefore w:val="0"/>
                    <w:kinsoku/>
                    <w:wordWrap/>
                    <w:overflowPunct/>
                    <w:topLinePunct w:val="0"/>
                    <w:bidi w:val="0"/>
                    <w:adjustRightInd w:val="0"/>
                    <w:snapToGrid w:val="0"/>
                    <w:spacing w:beforeAutospacing="0" w:afterAutospacing="0" w:line="240" w:lineRule="auto"/>
                    <w:ind w:left="0" w:leftChars="0" w:right="0" w:rightChars="0"/>
                    <w:jc w:val="center"/>
                    <w:rPr>
                      <w:rFonts w:hint="default" w:cs="Times New Roman"/>
                      <w:bCs/>
                      <w:color w:val="auto"/>
                      <w:sz w:val="21"/>
                      <w:highlight w:val="none"/>
                      <w:lang w:val="en-US" w:eastAsia="zh-CN"/>
                    </w:rPr>
                  </w:pPr>
                  <w:r>
                    <w:rPr>
                      <w:rFonts w:hint="eastAsia" w:cs="Times New Roman"/>
                      <w:bCs/>
                      <w:color w:val="auto"/>
                      <w:sz w:val="21"/>
                      <w:highlight w:val="none"/>
                      <w:lang w:val="en-US" w:eastAsia="zh-CN"/>
                    </w:rPr>
                    <w:t>雨水纳污河流</w:t>
                  </w:r>
                </w:p>
              </w:tc>
            </w:tr>
          </w:tbl>
          <w:p>
            <w:pPr>
              <w:keepNext w:val="0"/>
              <w:keepLines w:val="0"/>
              <w:pageBreakBefore w:val="0"/>
              <w:kinsoku/>
              <w:wordWrap/>
              <w:overflowPunct/>
              <w:topLinePunct w:val="0"/>
              <w:bidi w:val="0"/>
              <w:adjustRightInd w:val="0"/>
              <w:snapToGrid w:val="0"/>
              <w:spacing w:beforeAutospacing="0" w:afterAutospacing="0" w:line="360" w:lineRule="auto"/>
              <w:ind w:left="0" w:leftChars="0" w:right="0" w:firstLine="420" w:firstLineChars="200"/>
              <w:rPr>
                <w:rFonts w:hint="eastAsia" w:ascii="Times New Roman" w:hAnsi="Times New Roman" w:eastAsia="宋体" w:cs="Times New Roman"/>
                <w:color w:val="auto"/>
                <w:kern w:val="0"/>
                <w:szCs w:val="21"/>
              </w:rPr>
            </w:pPr>
          </w:p>
          <w:p>
            <w:pPr>
              <w:keepNext w:val="0"/>
              <w:keepLines w:val="0"/>
              <w:pageBreakBefore w:val="0"/>
              <w:kinsoku/>
              <w:wordWrap/>
              <w:overflowPunct/>
              <w:topLinePunct w:val="0"/>
              <w:bidi w:val="0"/>
              <w:adjustRightInd w:val="0"/>
              <w:snapToGrid w:val="0"/>
              <w:spacing w:beforeAutospacing="0" w:afterAutospacing="0" w:line="360" w:lineRule="auto"/>
              <w:ind w:left="0" w:leftChars="0" w:right="0" w:firstLine="482" w:firstLineChars="200"/>
              <w:rPr>
                <w:rFonts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四</w:t>
            </w:r>
            <w:r>
              <w:rPr>
                <w:rFonts w:hint="eastAsia" w:cs="Times New Roman"/>
                <w:b/>
                <w:bCs/>
                <w:color w:val="auto"/>
                <w:kern w:val="0"/>
                <w:sz w:val="24"/>
                <w:szCs w:val="24"/>
                <w:lang w:eastAsia="zh-CN"/>
              </w:rPr>
              <w:t>）</w:t>
            </w:r>
            <w:r>
              <w:rPr>
                <w:rFonts w:hint="eastAsia" w:ascii="Times New Roman" w:hAnsi="Times New Roman" w:eastAsia="宋体" w:cs="Times New Roman"/>
                <w:b/>
                <w:bCs/>
                <w:color w:val="auto"/>
                <w:kern w:val="0"/>
                <w:sz w:val="24"/>
                <w:szCs w:val="24"/>
              </w:rPr>
              <w:t>生态环境</w:t>
            </w:r>
          </w:p>
          <w:p>
            <w:pPr>
              <w:keepNext w:val="0"/>
              <w:keepLines w:val="0"/>
              <w:pageBreakBefore w:val="0"/>
              <w:kinsoku/>
              <w:wordWrap/>
              <w:overflowPunct/>
              <w:topLinePunct w:val="0"/>
              <w:bidi w:val="0"/>
              <w:adjustRightInd w:val="0"/>
              <w:snapToGrid w:val="0"/>
              <w:spacing w:beforeAutospacing="0" w:afterAutospacing="0" w:line="360" w:lineRule="auto"/>
              <w:ind w:left="0" w:leftChars="0" w:right="0" w:firstLine="480" w:firstLineChars="200"/>
              <w:rPr>
                <w:rFonts w:ascii="Times New Roman" w:hAnsi="Times New Roman"/>
                <w:sz w:val="24"/>
                <w:szCs w:val="24"/>
              </w:rPr>
            </w:pPr>
            <w:r>
              <w:rPr>
                <w:rFonts w:hint="eastAsia" w:ascii="Times New Roman" w:hAnsi="Times New Roman" w:eastAsia="宋体" w:cs="Times New Roman"/>
                <w:color w:val="auto"/>
                <w:kern w:val="0"/>
                <w:sz w:val="24"/>
                <w:szCs w:val="24"/>
              </w:rPr>
              <w:t>本项目用地范围内无生态环境保护目标。</w:t>
            </w:r>
          </w:p>
          <w:p>
            <w:pPr>
              <w:keepNext w:val="0"/>
              <w:keepLines w:val="0"/>
              <w:pageBreakBefore w:val="0"/>
              <w:kinsoku/>
              <w:wordWrap/>
              <w:overflowPunct/>
              <w:topLinePunct w:val="0"/>
              <w:bidi w:val="0"/>
              <w:adjustRightInd w:val="0"/>
              <w:snapToGrid w:val="0"/>
              <w:spacing w:beforeAutospacing="0" w:afterAutospacing="0" w:line="360" w:lineRule="auto"/>
              <w:ind w:left="0" w:leftChars="0" w:right="0" w:firstLine="482" w:firstLineChars="200"/>
              <w:rPr>
                <w:rFonts w:hint="eastAsia" w:ascii="Times New Roman" w:hAnsi="Times New Roman" w:eastAsia="宋体" w:cs="Times New Roman"/>
                <w:b/>
                <w:bCs/>
                <w:color w:val="auto"/>
                <w:kern w:val="0"/>
                <w:sz w:val="24"/>
                <w:szCs w:val="24"/>
              </w:rPr>
            </w:pPr>
            <w:r>
              <w:rPr>
                <w:rFonts w:hint="eastAsia" w:cs="Times New Roman"/>
                <w:b/>
                <w:bCs/>
                <w:color w:val="auto"/>
                <w:kern w:val="0"/>
                <w:sz w:val="24"/>
                <w:szCs w:val="24"/>
                <w:lang w:eastAsia="zh-CN"/>
              </w:rPr>
              <w:t>（</w:t>
            </w:r>
            <w:r>
              <w:rPr>
                <w:rFonts w:hint="eastAsia" w:cs="Times New Roman"/>
                <w:b/>
                <w:bCs/>
                <w:color w:val="auto"/>
                <w:kern w:val="0"/>
                <w:sz w:val="24"/>
                <w:szCs w:val="24"/>
                <w:lang w:val="en-US" w:eastAsia="zh-CN"/>
              </w:rPr>
              <w:t>五</w:t>
            </w:r>
            <w:r>
              <w:rPr>
                <w:rFonts w:hint="eastAsia" w:cs="Times New Roman"/>
                <w:b/>
                <w:bCs/>
                <w:color w:val="auto"/>
                <w:kern w:val="0"/>
                <w:sz w:val="24"/>
                <w:szCs w:val="24"/>
                <w:lang w:eastAsia="zh-CN"/>
              </w:rPr>
              <w:t>）</w:t>
            </w:r>
            <w:r>
              <w:rPr>
                <w:rFonts w:hint="eastAsia" w:ascii="Times New Roman" w:hAnsi="Times New Roman" w:eastAsia="宋体" w:cs="Times New Roman"/>
                <w:b/>
                <w:bCs/>
                <w:color w:val="auto"/>
                <w:kern w:val="0"/>
                <w:sz w:val="24"/>
                <w:szCs w:val="24"/>
              </w:rPr>
              <w:t>地下水环境</w:t>
            </w:r>
          </w:p>
          <w:p>
            <w:pPr>
              <w:keepNext w:val="0"/>
              <w:keepLines w:val="0"/>
              <w:pageBreakBefore w:val="0"/>
              <w:kinsoku/>
              <w:wordWrap/>
              <w:overflowPunct/>
              <w:topLinePunct w:val="0"/>
              <w:bidi w:val="0"/>
              <w:adjustRightInd w:val="0"/>
              <w:snapToGrid w:val="0"/>
              <w:spacing w:line="360" w:lineRule="auto"/>
              <w:ind w:right="0" w:rightChars="0" w:firstLine="420" w:firstLineChars="0"/>
              <w:rPr>
                <w:rFonts w:hint="eastAsia" w:ascii="宋体" w:hAnsi="宋体" w:eastAsia="宋体" w:cs="宋体"/>
                <w:kern w:val="2"/>
                <w:sz w:val="21"/>
                <w:szCs w:val="21"/>
                <w:lang w:val="en-US" w:eastAsia="zh-CN" w:bidi="ar-SA"/>
              </w:rPr>
            </w:pPr>
            <w:r>
              <w:rPr>
                <w:rFonts w:hint="eastAsia"/>
                <w:bCs/>
                <w:sz w:val="24"/>
                <w:szCs w:val="32"/>
              </w:rPr>
              <w:t>本项目厂界外</w:t>
            </w:r>
            <w:r>
              <w:rPr>
                <w:bCs/>
                <w:sz w:val="24"/>
                <w:szCs w:val="32"/>
              </w:rPr>
              <w:t>500</w:t>
            </w:r>
            <w:r>
              <w:rPr>
                <w:rFonts w:hint="eastAsia"/>
                <w:bCs/>
                <w:sz w:val="24"/>
                <w:szCs w:val="32"/>
              </w:rPr>
              <w:t>米范围内无地下水集中饮用水水源和热水、矿泉水、温泉等特殊地下水资源的保护目标。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57" w:type="dxa"/>
            <w:shd w:val="clear" w:color="auto" w:fill="auto"/>
            <w:tcMar>
              <w:left w:w="28" w:type="dxa"/>
              <w:right w:w="28" w:type="dxa"/>
            </w:tcMar>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ascii="宋体" w:hAnsi="宋体" w:cs="宋体"/>
                <w:b/>
                <w:bCs/>
                <w:kern w:val="0"/>
                <w:sz w:val="24"/>
                <w:szCs w:val="24"/>
              </w:rPr>
            </w:pPr>
            <w:r>
              <w:rPr>
                <w:rFonts w:hint="eastAsia" w:ascii="宋体" w:hAnsi="宋体" w:cs="宋体"/>
                <w:b/>
                <w:bCs/>
                <w:kern w:val="0"/>
                <w:sz w:val="24"/>
                <w:szCs w:val="24"/>
              </w:rPr>
              <w:t>污染</w:t>
            </w:r>
          </w:p>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ascii="宋体" w:hAnsi="宋体" w:cs="宋体"/>
                <w:b/>
                <w:bCs/>
                <w:kern w:val="0"/>
                <w:sz w:val="24"/>
                <w:szCs w:val="24"/>
              </w:rPr>
            </w:pPr>
            <w:r>
              <w:rPr>
                <w:rFonts w:hint="eastAsia" w:ascii="宋体" w:hAnsi="宋体" w:cs="宋体"/>
                <w:b/>
                <w:bCs/>
                <w:kern w:val="0"/>
                <w:sz w:val="24"/>
                <w:szCs w:val="24"/>
              </w:rPr>
              <w:t>物排</w:t>
            </w:r>
          </w:p>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ascii="宋体" w:hAnsi="宋体" w:cs="宋体"/>
                <w:b/>
                <w:bCs/>
                <w:kern w:val="0"/>
                <w:sz w:val="24"/>
                <w:szCs w:val="24"/>
              </w:rPr>
            </w:pPr>
            <w:r>
              <w:rPr>
                <w:rFonts w:hint="eastAsia" w:ascii="宋体" w:hAnsi="宋体" w:cs="宋体"/>
                <w:b/>
                <w:bCs/>
                <w:kern w:val="0"/>
                <w:sz w:val="24"/>
                <w:szCs w:val="24"/>
              </w:rPr>
              <w:t>放控</w:t>
            </w:r>
          </w:p>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ascii="宋体" w:hAnsi="宋体" w:cs="宋体"/>
                <w:b/>
                <w:bCs/>
                <w:kern w:val="0"/>
                <w:sz w:val="24"/>
                <w:szCs w:val="24"/>
              </w:rPr>
            </w:pPr>
            <w:r>
              <w:rPr>
                <w:rFonts w:hint="eastAsia" w:ascii="宋体" w:hAnsi="宋体" w:cs="宋体"/>
                <w:b/>
                <w:bCs/>
                <w:kern w:val="0"/>
                <w:sz w:val="24"/>
                <w:szCs w:val="24"/>
              </w:rPr>
              <w:t>制标</w:t>
            </w:r>
          </w:p>
          <w:p>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cs="宋体"/>
                <w:b/>
                <w:bCs/>
                <w:kern w:val="0"/>
                <w:sz w:val="24"/>
                <w:szCs w:val="24"/>
              </w:rPr>
              <w:t>准</w:t>
            </w:r>
          </w:p>
        </w:tc>
        <w:tc>
          <w:tcPr>
            <w:tcW w:w="86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kern w:val="0"/>
                <w:sz w:val="24"/>
                <w:szCs w:val="24"/>
              </w:rPr>
            </w:pPr>
            <w:r>
              <w:rPr>
                <w:rFonts w:hint="eastAsia"/>
                <w:b/>
                <w:sz w:val="24"/>
                <w:szCs w:val="24"/>
                <w:lang w:eastAsia="zh-CN"/>
              </w:rPr>
              <w:t>（</w:t>
            </w:r>
            <w:r>
              <w:rPr>
                <w:rFonts w:hint="eastAsia"/>
                <w:b/>
                <w:sz w:val="24"/>
                <w:szCs w:val="24"/>
                <w:lang w:val="en-US" w:eastAsia="zh-CN"/>
              </w:rPr>
              <w:t>一</w:t>
            </w:r>
            <w:r>
              <w:rPr>
                <w:rFonts w:hint="eastAsia"/>
                <w:b/>
                <w:sz w:val="24"/>
                <w:szCs w:val="24"/>
                <w:lang w:eastAsia="zh-CN"/>
              </w:rPr>
              <w:t>）</w:t>
            </w:r>
            <w:r>
              <w:rPr>
                <w:rFonts w:hint="eastAsia"/>
                <w:b/>
                <w:sz w:val="24"/>
                <w:szCs w:val="24"/>
              </w:rPr>
              <w:t>大气</w:t>
            </w:r>
            <w:r>
              <w:rPr>
                <w:b/>
                <w:sz w:val="24"/>
                <w:szCs w:val="24"/>
              </w:rPr>
              <w:t>污染物排放标准</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kern w:val="0"/>
                <w:sz w:val="24"/>
                <w:szCs w:val="24"/>
              </w:rPr>
            </w:pPr>
            <w:r>
              <w:rPr>
                <w:rFonts w:hint="eastAsia"/>
                <w:kern w:val="0"/>
                <w:sz w:val="24"/>
                <w:szCs w:val="24"/>
              </w:rPr>
              <w:t>本项目废气主要是</w:t>
            </w:r>
            <w:r>
              <w:rPr>
                <w:rFonts w:hint="eastAsia"/>
                <w:kern w:val="0"/>
                <w:sz w:val="24"/>
                <w:szCs w:val="24"/>
                <w:lang w:val="en-US" w:eastAsia="zh-CN"/>
              </w:rPr>
              <w:t>加热定型</w:t>
            </w:r>
            <w:r>
              <w:rPr>
                <w:rFonts w:hint="eastAsia"/>
                <w:kern w:val="0"/>
                <w:sz w:val="24"/>
                <w:szCs w:val="24"/>
              </w:rPr>
              <w:t>过程产生的少量</w:t>
            </w:r>
            <w:r>
              <w:rPr>
                <w:rFonts w:hint="eastAsia"/>
                <w:kern w:val="0"/>
                <w:sz w:val="24"/>
                <w:szCs w:val="24"/>
                <w:lang w:val="en-US" w:eastAsia="zh-CN"/>
              </w:rPr>
              <w:t>废气</w:t>
            </w:r>
            <w:r>
              <w:rPr>
                <w:rFonts w:hint="eastAsia"/>
                <w:kern w:val="0"/>
                <w:sz w:val="24"/>
                <w:szCs w:val="24"/>
                <w:lang w:eastAsia="zh-CN"/>
              </w:rPr>
              <w:t>，</w:t>
            </w:r>
            <w:r>
              <w:rPr>
                <w:rFonts w:hint="eastAsia"/>
                <w:kern w:val="0"/>
                <w:sz w:val="24"/>
                <w:szCs w:val="24"/>
                <w:lang w:val="en-US" w:eastAsia="zh-CN"/>
              </w:rPr>
              <w:t>无组织排放</w:t>
            </w:r>
            <w:r>
              <w:rPr>
                <w:rFonts w:hint="eastAsia"/>
                <w:kern w:val="0"/>
                <w:sz w:val="24"/>
                <w:szCs w:val="24"/>
                <w:lang w:eastAsia="zh-CN"/>
              </w:rPr>
              <w:t>，</w:t>
            </w:r>
            <w:r>
              <w:rPr>
                <w:rFonts w:hint="eastAsia"/>
                <w:kern w:val="0"/>
                <w:sz w:val="24"/>
                <w:szCs w:val="24"/>
                <w:lang w:val="en-US" w:eastAsia="zh-CN"/>
              </w:rPr>
              <w:t>非甲烷总烃</w:t>
            </w:r>
            <w:r>
              <w:rPr>
                <w:rFonts w:hint="eastAsia"/>
                <w:kern w:val="0"/>
                <w:sz w:val="24"/>
                <w:szCs w:val="24"/>
              </w:rPr>
              <w:t>执行《合成树脂工业污染物排放标准》（GB 31572-2015，含2024年修改单）</w:t>
            </w:r>
            <w:r>
              <w:rPr>
                <w:rFonts w:hint="eastAsia"/>
                <w:kern w:val="0"/>
                <w:sz w:val="24"/>
                <w:szCs w:val="24"/>
                <w:lang w:val="en-US" w:eastAsia="zh-CN"/>
              </w:rPr>
              <w:t>及《大气污染物综合排放标准》（DB32 4041-2021）</w:t>
            </w:r>
            <w:r>
              <w:rPr>
                <w:rFonts w:hint="eastAsia"/>
                <w:kern w:val="0"/>
                <w:sz w:val="24"/>
                <w:szCs w:val="24"/>
              </w:rPr>
              <w:t>标准</w:t>
            </w:r>
            <w:r>
              <w:rPr>
                <w:rFonts w:hint="eastAsia"/>
                <w:kern w:val="0"/>
                <w:sz w:val="24"/>
                <w:szCs w:val="24"/>
                <w:lang w:eastAsia="zh-CN"/>
              </w:rPr>
              <w:t>，臭气浓度满足《恶臭污染物排放标准》（GB14554-93）标准限值</w:t>
            </w:r>
            <w:r>
              <w:rPr>
                <w:rFonts w:hint="eastAsia"/>
                <w:kern w:val="0"/>
                <w:sz w:val="24"/>
                <w:szCs w:val="24"/>
              </w:rPr>
              <w:t>。</w:t>
            </w:r>
          </w:p>
          <w:p>
            <w:pPr>
              <w:keepNext w:val="0"/>
              <w:keepLines w:val="0"/>
              <w:pageBreakBefore w:val="0"/>
              <w:widowControl w:val="0"/>
              <w:tabs>
                <w:tab w:val="left" w:pos="5142"/>
              </w:tabs>
              <w:kinsoku/>
              <w:wordWrap/>
              <w:overflowPunct/>
              <w:topLinePunct w:val="0"/>
              <w:autoSpaceDE/>
              <w:autoSpaceDN/>
              <w:bidi w:val="0"/>
              <w:adjustRightInd w:val="0"/>
              <w:snapToGrid w:val="0"/>
              <w:spacing w:line="360" w:lineRule="auto"/>
              <w:ind w:right="0"/>
              <w:jc w:val="center"/>
              <w:textAlignment w:val="auto"/>
              <w:rPr>
                <w:b/>
                <w:bCs/>
                <w:sz w:val="24"/>
                <w:szCs w:val="24"/>
              </w:rPr>
            </w:pPr>
            <w:r>
              <w:rPr>
                <w:rFonts w:hint="eastAsia"/>
                <w:b/>
                <w:bCs/>
                <w:sz w:val="24"/>
                <w:szCs w:val="24"/>
              </w:rPr>
              <w:t>表3-</w:t>
            </w:r>
            <w:r>
              <w:rPr>
                <w:rFonts w:hint="eastAsia"/>
                <w:b/>
                <w:bCs/>
                <w:sz w:val="24"/>
                <w:szCs w:val="24"/>
                <w:lang w:val="en-US" w:eastAsia="zh-CN"/>
              </w:rPr>
              <w:t>4</w:t>
            </w:r>
            <w:r>
              <w:rPr>
                <w:rFonts w:hint="eastAsia"/>
                <w:b/>
                <w:bCs/>
                <w:sz w:val="24"/>
                <w:szCs w:val="24"/>
              </w:rPr>
              <w:t xml:space="preserve">  大气污染物排放标准</w:t>
            </w:r>
          </w:p>
          <w:tbl>
            <w:tblPr>
              <w:tblStyle w:val="30"/>
              <w:tblW w:w="838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349"/>
              <w:gridCol w:w="1579"/>
              <w:gridCol w:w="40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31" w:type="dxa"/>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b/>
                      <w:szCs w:val="21"/>
                    </w:rPr>
                  </w:pPr>
                  <w:r>
                    <w:rPr>
                      <w:rFonts w:hint="eastAsia"/>
                      <w:b/>
                      <w:szCs w:val="21"/>
                    </w:rPr>
                    <w:t>污染物项目</w:t>
                  </w:r>
                </w:p>
              </w:tc>
              <w:tc>
                <w:tcPr>
                  <w:tcW w:w="2928" w:type="dxa"/>
                  <w:gridSpan w:val="2"/>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b/>
                      <w:szCs w:val="21"/>
                    </w:rPr>
                  </w:pPr>
                  <w:r>
                    <w:rPr>
                      <w:rFonts w:hint="eastAsia"/>
                      <w:b/>
                      <w:szCs w:val="21"/>
                    </w:rPr>
                    <w:t>无组织排放浓度限值（mg/Nm</w:t>
                  </w:r>
                  <w:r>
                    <w:rPr>
                      <w:rFonts w:hint="eastAsia"/>
                      <w:b/>
                      <w:szCs w:val="21"/>
                      <w:vertAlign w:val="superscript"/>
                    </w:rPr>
                    <w:t>3</w:t>
                  </w:r>
                  <w:r>
                    <w:rPr>
                      <w:rFonts w:hint="eastAsia"/>
                      <w:b/>
                      <w:szCs w:val="21"/>
                    </w:rPr>
                    <w:t>）</w:t>
                  </w:r>
                </w:p>
              </w:tc>
              <w:tc>
                <w:tcPr>
                  <w:tcW w:w="4026" w:type="dxa"/>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b/>
                      <w:szCs w:val="21"/>
                    </w:rPr>
                  </w:pPr>
                  <w:r>
                    <w:rPr>
                      <w:rFonts w:hint="eastAsia"/>
                      <w:b/>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3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val="en-US" w:eastAsia="zh-CN"/>
                    </w:rPr>
                    <w:t>非甲烷总烃</w:t>
                  </w:r>
                </w:p>
              </w:tc>
              <w:tc>
                <w:tcPr>
                  <w:tcW w:w="13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厂界</w:t>
                  </w:r>
                </w:p>
              </w:tc>
              <w:tc>
                <w:tcPr>
                  <w:tcW w:w="15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tc>
              <w:tc>
                <w:tcPr>
                  <w:tcW w:w="4026" w:type="dxa"/>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default" w:eastAsia="宋体"/>
                      <w:szCs w:val="21"/>
                      <w:lang w:val="en-US" w:eastAsia="zh-CN"/>
                    </w:rPr>
                  </w:pPr>
                  <w:r>
                    <w:rPr>
                      <w:rFonts w:hint="eastAsia"/>
                      <w:kern w:val="0"/>
                      <w:szCs w:val="21"/>
                    </w:rPr>
                    <w:t>《合成树脂工业污染物排放标准》（GB 31572-2015，含2024年修改单）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3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szCs w:val="21"/>
                      <w:lang w:val="en-US" w:eastAsia="zh-CN"/>
                    </w:rPr>
                  </w:pPr>
                </w:p>
              </w:tc>
              <w:tc>
                <w:tcPr>
                  <w:tcW w:w="134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厂区车间外</w:t>
                  </w:r>
                </w:p>
              </w:tc>
              <w:tc>
                <w:tcPr>
                  <w:tcW w:w="15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color w:val="auto"/>
                      <w:kern w:val="2"/>
                      <w:sz w:val="21"/>
                      <w:szCs w:val="21"/>
                      <w:lang w:val="en-US" w:eastAsia="zh-CN" w:bidi="ar-SA"/>
                    </w:rPr>
                  </w:pPr>
                  <w:r>
                    <w:rPr>
                      <w:color w:val="auto"/>
                      <w:szCs w:val="21"/>
                    </w:rPr>
                    <w:t>6（1h平均）</w:t>
                  </w:r>
                </w:p>
              </w:tc>
              <w:tc>
                <w:tcPr>
                  <w:tcW w:w="4026" w:type="dxa"/>
                  <w:vMerge w:val="restart"/>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kern w:val="0"/>
                      <w:szCs w:val="21"/>
                    </w:rPr>
                  </w:pPr>
                  <w:r>
                    <w:rPr>
                      <w:rFonts w:hint="eastAsia"/>
                      <w:kern w:val="0"/>
                      <w:szCs w:val="21"/>
                    </w:rPr>
                    <w:t>《大气污染物综合排放标准》（DB32 4041-2021）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31" w:type="dxa"/>
                  <w:vMerge w:val="continue"/>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szCs w:val="21"/>
                      <w:lang w:val="en-US" w:eastAsia="zh-CN"/>
                    </w:rPr>
                  </w:pPr>
                </w:p>
              </w:tc>
              <w:tc>
                <w:tcPr>
                  <w:tcW w:w="134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color w:val="auto"/>
                      <w:kern w:val="2"/>
                      <w:sz w:val="21"/>
                      <w:szCs w:val="21"/>
                      <w:lang w:val="en-US" w:eastAsia="zh-CN" w:bidi="ar-SA"/>
                    </w:rPr>
                  </w:pPr>
                </w:p>
              </w:tc>
              <w:tc>
                <w:tcPr>
                  <w:tcW w:w="15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color w:val="auto"/>
                      <w:kern w:val="2"/>
                      <w:sz w:val="21"/>
                      <w:szCs w:val="21"/>
                      <w:lang w:val="en-US" w:eastAsia="zh-CN" w:bidi="ar-SA"/>
                    </w:rPr>
                  </w:pPr>
                  <w:r>
                    <w:rPr>
                      <w:color w:val="auto"/>
                      <w:szCs w:val="21"/>
                    </w:rPr>
                    <w:t>20（任意一次）</w:t>
                  </w:r>
                </w:p>
              </w:tc>
              <w:tc>
                <w:tcPr>
                  <w:tcW w:w="4026" w:type="dxa"/>
                  <w:vMerge w:val="continue"/>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kern w:val="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31" w:type="dxa"/>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default"/>
                      <w:szCs w:val="21"/>
                      <w:lang w:val="en-US" w:eastAsia="zh-CN"/>
                    </w:rPr>
                  </w:pPr>
                  <w:r>
                    <w:rPr>
                      <w:rFonts w:hint="eastAsia"/>
                      <w:szCs w:val="21"/>
                      <w:lang w:val="en-US" w:eastAsia="zh-CN"/>
                    </w:rPr>
                    <w:t>臭气浓度</w:t>
                  </w:r>
                </w:p>
              </w:tc>
              <w:tc>
                <w:tcPr>
                  <w:tcW w:w="13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s="Times New Roman"/>
                      <w:kern w:val="2"/>
                      <w:sz w:val="21"/>
                      <w:szCs w:val="21"/>
                      <w:lang w:val="en-US" w:eastAsia="zh-CN" w:bidi="ar-SA"/>
                    </w:rPr>
                    <w:t>厂界</w:t>
                  </w:r>
                </w:p>
              </w:tc>
              <w:tc>
                <w:tcPr>
                  <w:tcW w:w="15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default" w:eastAsia="宋体"/>
                      <w:color w:val="auto"/>
                      <w:szCs w:val="21"/>
                      <w:lang w:val="en-US" w:eastAsia="zh-CN"/>
                    </w:rPr>
                  </w:pPr>
                  <w:r>
                    <w:rPr>
                      <w:rFonts w:hint="eastAsia"/>
                      <w:color w:val="auto"/>
                      <w:szCs w:val="21"/>
                      <w:lang w:val="en-US" w:eastAsia="zh-CN"/>
                    </w:rPr>
                    <w:t>20（无量纲）</w:t>
                  </w:r>
                </w:p>
              </w:tc>
              <w:tc>
                <w:tcPr>
                  <w:tcW w:w="4026" w:type="dxa"/>
                  <w:vAlign w:val="center"/>
                </w:tcPr>
                <w:p>
                  <w:pPr>
                    <w:keepNext w:val="0"/>
                    <w:keepLines w:val="0"/>
                    <w:pageBreakBefore w:val="0"/>
                    <w:widowControl w:val="0"/>
                    <w:kinsoku/>
                    <w:wordWrap/>
                    <w:overflowPunct/>
                    <w:topLinePunct w:val="0"/>
                    <w:autoSpaceDE/>
                    <w:autoSpaceDN/>
                    <w:bidi w:val="0"/>
                    <w:adjustRightInd w:val="0"/>
                    <w:snapToGrid w:val="0"/>
                    <w:ind w:right="0"/>
                    <w:jc w:val="center"/>
                    <w:textAlignment w:val="auto"/>
                    <w:rPr>
                      <w:rFonts w:hint="eastAsia"/>
                      <w:kern w:val="0"/>
                      <w:szCs w:val="21"/>
                    </w:rPr>
                  </w:pPr>
                  <w:r>
                    <w:rPr>
                      <w:rFonts w:hint="eastAsia"/>
                      <w:kern w:val="0"/>
                      <w:szCs w:val="21"/>
                    </w:rPr>
                    <w:t>《恶臭污染物排放标准》（GB14554-93）</w:t>
                  </w:r>
                </w:p>
              </w:tc>
            </w:tr>
          </w:tbl>
          <w:p>
            <w:pPr>
              <w:keepNext w:val="0"/>
              <w:keepLines w:val="0"/>
              <w:pageBreakBefore w:val="0"/>
              <w:widowControl w:val="0"/>
              <w:kinsoku/>
              <w:wordWrap/>
              <w:overflowPunct/>
              <w:topLinePunct w:val="0"/>
              <w:autoSpaceDE/>
              <w:autoSpaceDN/>
              <w:bidi w:val="0"/>
              <w:adjustRightInd w:val="0"/>
              <w:snapToGrid w:val="0"/>
              <w:spacing w:line="240" w:lineRule="auto"/>
              <w:ind w:right="0" w:firstLine="482" w:firstLineChars="200"/>
              <w:textAlignment w:val="auto"/>
              <w:rPr>
                <w:rFonts w:hint="eastAsia"/>
                <w:b/>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b/>
                <w:sz w:val="24"/>
                <w:szCs w:val="24"/>
              </w:rPr>
            </w:pPr>
            <w:r>
              <w:rPr>
                <w:rFonts w:hint="eastAsia"/>
                <w:b/>
                <w:sz w:val="24"/>
                <w:szCs w:val="24"/>
                <w:lang w:eastAsia="zh-CN"/>
              </w:rPr>
              <w:t>（</w:t>
            </w:r>
            <w:r>
              <w:rPr>
                <w:rFonts w:hint="eastAsia"/>
                <w:b/>
                <w:sz w:val="24"/>
                <w:szCs w:val="24"/>
                <w:lang w:val="en-US" w:eastAsia="zh-CN"/>
              </w:rPr>
              <w:t>二</w:t>
            </w:r>
            <w:r>
              <w:rPr>
                <w:rFonts w:hint="eastAsia"/>
                <w:b/>
                <w:sz w:val="24"/>
                <w:szCs w:val="24"/>
                <w:lang w:eastAsia="zh-CN"/>
              </w:rPr>
              <w:t>）</w:t>
            </w:r>
            <w:r>
              <w:rPr>
                <w:b/>
                <w:sz w:val="24"/>
                <w:szCs w:val="24"/>
              </w:rPr>
              <w:t>水污染物排放标准</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textAlignment w:val="auto"/>
              <w:rPr>
                <w:rFonts w:hint="eastAsia"/>
                <w:sz w:val="24"/>
                <w:szCs w:val="32"/>
              </w:rPr>
            </w:pPr>
            <w:r>
              <w:rPr>
                <w:rFonts w:hint="eastAsia"/>
                <w:sz w:val="24"/>
                <w:szCs w:val="32"/>
              </w:rPr>
              <w:t>本项目雨水经</w:t>
            </w:r>
            <w:r>
              <w:rPr>
                <w:rFonts w:hint="eastAsia"/>
                <w:sz w:val="24"/>
                <w:szCs w:val="32"/>
                <w:lang w:val="en-US" w:eastAsia="zh-CN"/>
              </w:rPr>
              <w:t>租赁方</w:t>
            </w:r>
            <w:r>
              <w:rPr>
                <w:rFonts w:hint="eastAsia"/>
                <w:sz w:val="24"/>
                <w:szCs w:val="32"/>
              </w:rPr>
              <w:t>雨水管网收集后排</w:t>
            </w:r>
            <w:r>
              <w:rPr>
                <w:rFonts w:hint="eastAsia"/>
                <w:sz w:val="24"/>
                <w:szCs w:val="32"/>
                <w:lang w:val="en-US" w:eastAsia="zh-CN"/>
              </w:rPr>
              <w:t>入</w:t>
            </w:r>
            <w:r>
              <w:rPr>
                <w:rFonts w:hint="eastAsia" w:ascii="Times New Roman" w:hAnsi="Times New Roman" w:eastAsia="宋体" w:cs="Times New Roman"/>
                <w:color w:val="auto"/>
                <w:sz w:val="24"/>
                <w:szCs w:val="32"/>
                <w:highlight w:val="none"/>
                <w:lang w:val="en-US" w:eastAsia="zh-CN"/>
              </w:rPr>
              <w:t>东</w:t>
            </w:r>
            <w:r>
              <w:rPr>
                <w:rFonts w:hint="eastAsia" w:cs="Times New Roman"/>
                <w:color w:val="auto"/>
                <w:sz w:val="24"/>
                <w:szCs w:val="32"/>
                <w:highlight w:val="none"/>
                <w:lang w:val="en-US" w:eastAsia="zh-CN"/>
              </w:rPr>
              <w:t>文革</w:t>
            </w:r>
            <w:r>
              <w:rPr>
                <w:rFonts w:hint="eastAsia" w:ascii="Times New Roman" w:hAnsi="Times New Roman" w:eastAsia="宋体" w:cs="Times New Roman"/>
                <w:color w:val="auto"/>
                <w:sz w:val="24"/>
                <w:szCs w:val="32"/>
                <w:highlight w:val="none"/>
                <w:lang w:val="en-US" w:eastAsia="zh-CN"/>
              </w:rPr>
              <w:t>河</w:t>
            </w:r>
            <w:r>
              <w:rPr>
                <w:rFonts w:hint="eastAsia"/>
                <w:sz w:val="24"/>
                <w:szCs w:val="32"/>
                <w:lang w:val="en-US" w:eastAsia="zh-CN"/>
              </w:rPr>
              <w:t>，相关环保责任由出租方承担，</w:t>
            </w:r>
            <w:r>
              <w:rPr>
                <w:rFonts w:hint="eastAsia"/>
                <w:bCs/>
                <w:sz w:val="24"/>
                <w:szCs w:val="32"/>
                <w:lang w:val="en-US" w:eastAsia="zh-CN"/>
              </w:rPr>
              <w:t>根据</w:t>
            </w:r>
            <w:r>
              <w:rPr>
                <w:rFonts w:hint="eastAsia"/>
                <w:bCs/>
                <w:sz w:val="24"/>
                <w:szCs w:val="32"/>
              </w:rPr>
              <w:t>《江苏省重点行业工业企业雨水排放环境管理办法（试行）》中相关要求，</w:t>
            </w:r>
            <w:r>
              <w:rPr>
                <w:rFonts w:hint="eastAsia"/>
                <w:sz w:val="24"/>
                <w:szCs w:val="32"/>
              </w:rPr>
              <w:t>COD、石油类执行《地表水环境质量标准》中</w:t>
            </w:r>
            <w:r>
              <w:rPr>
                <w:rFonts w:cs="Times New Roman"/>
                <w:sz w:val="24"/>
                <w:szCs w:val="32"/>
              </w:rPr>
              <w:t>Ⅲ</w:t>
            </w:r>
            <w:r>
              <w:rPr>
                <w:rFonts w:hint="eastAsia"/>
                <w:sz w:val="24"/>
                <w:szCs w:val="32"/>
              </w:rPr>
              <w:t>类标准，即COD≤20mg/L，石油类≤0.05mg/L。</w:t>
            </w:r>
          </w:p>
          <w:p>
            <w:pPr>
              <w:adjustRightInd w:val="0"/>
              <w:snapToGrid w:val="0"/>
              <w:spacing w:line="360" w:lineRule="auto"/>
              <w:ind w:firstLine="480" w:firstLineChars="200"/>
              <w:jc w:val="left"/>
              <w:rPr>
                <w:b/>
                <w:bCs/>
                <w:sz w:val="24"/>
                <w:szCs w:val="24"/>
              </w:rPr>
            </w:pPr>
            <w:r>
              <w:rPr>
                <w:rFonts w:hint="eastAsia"/>
                <w:kern w:val="0"/>
                <w:sz w:val="24"/>
                <w:szCs w:val="24"/>
              </w:rPr>
              <w:t>建设项目生活污水经租赁方化粪池收集达《污水综合排放标准》（GB8978-1996）表4中三级标准和《污水排入城镇下水道水质标准》（</w:t>
            </w:r>
            <w:r>
              <w:rPr>
                <w:rFonts w:hint="eastAsia"/>
                <w:kern w:val="0"/>
                <w:sz w:val="24"/>
                <w:szCs w:val="24"/>
                <w:lang w:val="en-US" w:eastAsia="zh-CN"/>
              </w:rPr>
              <w:t>GB/T</w:t>
            </w:r>
            <w:r>
              <w:rPr>
                <w:rFonts w:hint="eastAsia"/>
                <w:kern w:val="0"/>
                <w:sz w:val="24"/>
                <w:szCs w:val="24"/>
              </w:rPr>
              <w:t>31962-2015）表1中B等级标准后接管如皋恒发水处理有限公司处理。</w:t>
            </w:r>
            <w:r>
              <w:rPr>
                <w:kern w:val="0"/>
                <w:sz w:val="24"/>
                <w:szCs w:val="24"/>
              </w:rPr>
              <w:t>污水处理厂尾水排放执行《城镇污水处理厂污染物排放标准》（GB18918-2002）表1</w:t>
            </w:r>
            <w:r>
              <w:rPr>
                <w:rFonts w:hint="eastAsia"/>
                <w:kern w:val="0"/>
                <w:sz w:val="24"/>
                <w:szCs w:val="24"/>
              </w:rPr>
              <w:t>中</w:t>
            </w:r>
            <w:r>
              <w:rPr>
                <w:kern w:val="0"/>
                <w:sz w:val="24"/>
                <w:szCs w:val="24"/>
              </w:rPr>
              <w:t>一级</w:t>
            </w:r>
            <w:r>
              <w:rPr>
                <w:rFonts w:hint="eastAsia"/>
                <w:kern w:val="0"/>
                <w:sz w:val="24"/>
                <w:szCs w:val="24"/>
              </w:rPr>
              <w:t>A</w:t>
            </w:r>
            <w:r>
              <w:rPr>
                <w:kern w:val="0"/>
                <w:sz w:val="24"/>
                <w:szCs w:val="24"/>
              </w:rPr>
              <w:t>标准</w:t>
            </w:r>
            <w:r>
              <w:rPr>
                <w:rFonts w:hint="eastAsia"/>
                <w:kern w:val="0"/>
                <w:sz w:val="24"/>
                <w:szCs w:val="24"/>
                <w:lang w:eastAsia="zh-CN"/>
              </w:rPr>
              <w:t>，</w:t>
            </w:r>
            <w:r>
              <w:rPr>
                <w:rFonts w:hint="eastAsia"/>
                <w:kern w:val="0"/>
                <w:sz w:val="24"/>
                <w:szCs w:val="24"/>
              </w:rPr>
              <w:t>2026年3月28日以后执行《城镇污水处理厂污染物排放标准》（DB32 4440-2022）表1中C标准</w:t>
            </w:r>
            <w:r>
              <w:rPr>
                <w:kern w:val="0"/>
                <w:sz w:val="24"/>
                <w:szCs w:val="24"/>
              </w:rPr>
              <w:t>。</w:t>
            </w:r>
          </w:p>
          <w:p>
            <w:pPr>
              <w:adjustRightInd w:val="0"/>
              <w:snapToGrid w:val="0"/>
              <w:spacing w:line="240" w:lineRule="auto"/>
              <w:jc w:val="center"/>
              <w:rPr>
                <w:b/>
                <w:sz w:val="24"/>
                <w:szCs w:val="32"/>
              </w:rPr>
            </w:pPr>
            <w:r>
              <w:rPr>
                <w:b/>
                <w:sz w:val="24"/>
                <w:szCs w:val="32"/>
              </w:rPr>
              <w:t>表3-</w:t>
            </w:r>
            <w:r>
              <w:rPr>
                <w:rFonts w:hint="eastAsia"/>
                <w:b/>
                <w:sz w:val="24"/>
                <w:szCs w:val="32"/>
                <w:lang w:val="en-US" w:eastAsia="zh-CN"/>
              </w:rPr>
              <w:t>5</w:t>
            </w:r>
            <w:r>
              <w:rPr>
                <w:b/>
                <w:sz w:val="24"/>
                <w:szCs w:val="32"/>
              </w:rPr>
              <w:t>污水处理厂接管要求和尾水排放标准</w:t>
            </w:r>
          </w:p>
          <w:tbl>
            <w:tblPr>
              <w:tblStyle w:val="30"/>
              <w:tblW w:w="8388" w:type="dxa"/>
              <w:jc w:val="center"/>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
            <w:tblGrid>
              <w:gridCol w:w="707"/>
              <w:gridCol w:w="569"/>
              <w:gridCol w:w="2334"/>
              <w:gridCol w:w="1854"/>
              <w:gridCol w:w="1432"/>
              <w:gridCol w:w="149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vMerge w:val="restart"/>
                  <w:noWrap w:val="0"/>
                  <w:vAlign w:val="center"/>
                </w:tcPr>
                <w:p>
                  <w:pPr>
                    <w:adjustRightInd w:val="0"/>
                    <w:snapToGrid w:val="0"/>
                    <w:jc w:val="center"/>
                    <w:rPr>
                      <w:b/>
                    </w:rPr>
                  </w:pPr>
                  <w:r>
                    <w:rPr>
                      <w:b/>
                    </w:rPr>
                    <w:t>污染物名称</w:t>
                  </w:r>
                </w:p>
              </w:tc>
              <w:tc>
                <w:tcPr>
                  <w:tcW w:w="569" w:type="dxa"/>
                  <w:vMerge w:val="restart"/>
                  <w:noWrap w:val="0"/>
                  <w:vAlign w:val="center"/>
                </w:tcPr>
                <w:p>
                  <w:pPr>
                    <w:adjustRightInd w:val="0"/>
                    <w:snapToGrid w:val="0"/>
                    <w:jc w:val="center"/>
                    <w:rPr>
                      <w:b/>
                    </w:rPr>
                  </w:pPr>
                  <w:r>
                    <w:rPr>
                      <w:b/>
                    </w:rPr>
                    <w:t>单位</w:t>
                  </w:r>
                </w:p>
              </w:tc>
              <w:tc>
                <w:tcPr>
                  <w:tcW w:w="2334" w:type="dxa"/>
                  <w:noWrap w:val="0"/>
                  <w:vAlign w:val="center"/>
                </w:tcPr>
                <w:p>
                  <w:pPr>
                    <w:adjustRightInd w:val="0"/>
                    <w:snapToGrid w:val="0"/>
                    <w:jc w:val="center"/>
                    <w:rPr>
                      <w:b/>
                    </w:rPr>
                  </w:pPr>
                  <w:r>
                    <w:rPr>
                      <w:b/>
                    </w:rPr>
                    <w:t>接管要求</w:t>
                  </w:r>
                </w:p>
              </w:tc>
              <w:tc>
                <w:tcPr>
                  <w:tcW w:w="4778" w:type="dxa"/>
                  <w:gridSpan w:val="3"/>
                  <w:noWrap w:val="0"/>
                  <w:vAlign w:val="center"/>
                </w:tcPr>
                <w:p>
                  <w:pPr>
                    <w:adjustRightInd w:val="0"/>
                    <w:snapToGrid w:val="0"/>
                    <w:jc w:val="center"/>
                    <w:rPr>
                      <w:b/>
                    </w:rPr>
                  </w:pPr>
                  <w:r>
                    <w:rPr>
                      <w:b/>
                    </w:rPr>
                    <w:t>尾水排放标准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809" w:hRule="atLeast"/>
                <w:jc w:val="center"/>
              </w:trPr>
              <w:tc>
                <w:tcPr>
                  <w:tcW w:w="707" w:type="dxa"/>
                  <w:vMerge w:val="continue"/>
                  <w:noWrap w:val="0"/>
                  <w:vAlign w:val="center"/>
                </w:tcPr>
                <w:p>
                  <w:pPr>
                    <w:adjustRightInd w:val="0"/>
                    <w:snapToGrid w:val="0"/>
                    <w:jc w:val="center"/>
                    <w:rPr>
                      <w:b/>
                    </w:rPr>
                  </w:pPr>
                </w:p>
              </w:tc>
              <w:tc>
                <w:tcPr>
                  <w:tcW w:w="569" w:type="dxa"/>
                  <w:vMerge w:val="continue"/>
                  <w:noWrap w:val="0"/>
                  <w:vAlign w:val="center"/>
                </w:tcPr>
                <w:p>
                  <w:pPr>
                    <w:adjustRightInd w:val="0"/>
                    <w:snapToGrid w:val="0"/>
                    <w:jc w:val="center"/>
                    <w:rPr>
                      <w:b/>
                    </w:rPr>
                  </w:pPr>
                </w:p>
              </w:tc>
              <w:tc>
                <w:tcPr>
                  <w:tcW w:w="2334" w:type="dxa"/>
                  <w:vMerge w:val="restart"/>
                  <w:noWrap w:val="0"/>
                  <w:vAlign w:val="center"/>
                </w:tcPr>
                <w:p>
                  <w:pPr>
                    <w:adjustRightInd w:val="0"/>
                    <w:snapToGrid w:val="0"/>
                    <w:jc w:val="center"/>
                    <w:rPr>
                      <w:b/>
                    </w:rPr>
                  </w:pPr>
                  <w:r>
                    <w:rPr>
                      <w:rFonts w:hint="eastAsia"/>
                      <w:b/>
                    </w:rPr>
                    <w:t>《污水综合排放标准》（GB8978-1996）表4中三级标准和《污水排入城镇下水道水质标准》（CJ31962-2015）表1中B等级标准</w:t>
                  </w:r>
                </w:p>
              </w:tc>
              <w:tc>
                <w:tcPr>
                  <w:tcW w:w="1854" w:type="dxa"/>
                  <w:vMerge w:val="restart"/>
                  <w:noWrap w:val="0"/>
                  <w:vAlign w:val="center"/>
                </w:tcPr>
                <w:p>
                  <w:pPr>
                    <w:adjustRightInd w:val="0"/>
                    <w:snapToGrid w:val="0"/>
                    <w:jc w:val="center"/>
                    <w:rPr>
                      <w:b/>
                    </w:rPr>
                  </w:pPr>
                  <w:r>
                    <w:rPr>
                      <w:rFonts w:hint="eastAsia"/>
                      <w:b/>
                    </w:rPr>
                    <w:t>《城镇污水处理厂污染物排放标准》（GB18918-2002）</w:t>
                  </w:r>
                  <w:r>
                    <w:rPr>
                      <w:rFonts w:hint="eastAsia"/>
                      <w:b/>
                      <w:lang w:val="en-US" w:eastAsia="zh-CN"/>
                    </w:rPr>
                    <w:t>1级A</w:t>
                  </w:r>
                  <w:r>
                    <w:rPr>
                      <w:b/>
                    </w:rPr>
                    <w:t>标准</w:t>
                  </w:r>
                </w:p>
              </w:tc>
              <w:tc>
                <w:tcPr>
                  <w:tcW w:w="2924" w:type="dxa"/>
                  <w:gridSpan w:val="2"/>
                  <w:noWrap w:val="0"/>
                  <w:vAlign w:val="center"/>
                </w:tcPr>
                <w:p>
                  <w:pPr>
                    <w:adjustRightInd w:val="0"/>
                    <w:snapToGrid w:val="0"/>
                    <w:jc w:val="center"/>
                    <w:rPr>
                      <w:rFonts w:hint="eastAsia"/>
                      <w:b/>
                    </w:rPr>
                  </w:pPr>
                  <w:r>
                    <w:rPr>
                      <w:rFonts w:hint="eastAsia"/>
                      <w:b/>
                    </w:rPr>
                    <w:t>《城镇污水处理厂污染物排放标准》（DB32 4440-2022）表1中C标准</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809" w:hRule="atLeast"/>
                <w:jc w:val="center"/>
              </w:trPr>
              <w:tc>
                <w:tcPr>
                  <w:tcW w:w="707" w:type="dxa"/>
                  <w:vMerge w:val="continue"/>
                  <w:noWrap w:val="0"/>
                  <w:vAlign w:val="center"/>
                </w:tcPr>
                <w:p>
                  <w:pPr>
                    <w:adjustRightInd w:val="0"/>
                    <w:snapToGrid w:val="0"/>
                    <w:jc w:val="center"/>
                  </w:pPr>
                </w:p>
              </w:tc>
              <w:tc>
                <w:tcPr>
                  <w:tcW w:w="569" w:type="dxa"/>
                  <w:vMerge w:val="continue"/>
                  <w:noWrap w:val="0"/>
                  <w:vAlign w:val="center"/>
                </w:tcPr>
                <w:p>
                  <w:pPr>
                    <w:adjustRightInd w:val="0"/>
                    <w:snapToGrid w:val="0"/>
                    <w:jc w:val="center"/>
                  </w:pPr>
                </w:p>
              </w:tc>
              <w:tc>
                <w:tcPr>
                  <w:tcW w:w="2334" w:type="dxa"/>
                  <w:vMerge w:val="continue"/>
                  <w:noWrap w:val="0"/>
                  <w:vAlign w:val="center"/>
                </w:tcPr>
                <w:p>
                  <w:pPr>
                    <w:adjustRightInd w:val="0"/>
                    <w:snapToGrid w:val="0"/>
                    <w:jc w:val="center"/>
                  </w:pPr>
                </w:p>
              </w:tc>
              <w:tc>
                <w:tcPr>
                  <w:tcW w:w="1854" w:type="dxa"/>
                  <w:vMerge w:val="continue"/>
                  <w:noWrap w:val="0"/>
                  <w:vAlign w:val="center"/>
                </w:tcPr>
                <w:p>
                  <w:pPr>
                    <w:adjustRightInd w:val="0"/>
                    <w:snapToGrid w:val="0"/>
                    <w:jc w:val="center"/>
                  </w:pPr>
                </w:p>
              </w:tc>
              <w:tc>
                <w:tcPr>
                  <w:tcW w:w="1432" w:type="dxa"/>
                  <w:noWrap w:val="0"/>
                  <w:vAlign w:val="center"/>
                </w:tcPr>
                <w:p>
                  <w:pPr>
                    <w:adjustRightInd w:val="0"/>
                    <w:snapToGrid w:val="0"/>
                    <w:jc w:val="center"/>
                    <w:rPr>
                      <w:rFonts w:hint="default" w:eastAsia="宋体"/>
                      <w:b/>
                      <w:lang w:val="en-US" w:eastAsia="zh-CN"/>
                    </w:rPr>
                  </w:pPr>
                  <w:r>
                    <w:rPr>
                      <w:rFonts w:hint="eastAsia"/>
                      <w:b/>
                      <w:lang w:val="en-US" w:eastAsia="zh-CN"/>
                    </w:rPr>
                    <w:t>日均排放限值</w:t>
                  </w:r>
                </w:p>
              </w:tc>
              <w:tc>
                <w:tcPr>
                  <w:tcW w:w="1492" w:type="dxa"/>
                  <w:noWrap w:val="0"/>
                  <w:vAlign w:val="center"/>
                </w:tcPr>
                <w:p>
                  <w:pPr>
                    <w:adjustRightInd w:val="0"/>
                    <w:snapToGrid w:val="0"/>
                    <w:jc w:val="center"/>
                    <w:rPr>
                      <w:rFonts w:hint="default" w:eastAsia="宋体"/>
                      <w:b/>
                      <w:lang w:val="en-US" w:eastAsia="zh-CN"/>
                    </w:rPr>
                  </w:pPr>
                  <w:r>
                    <w:rPr>
                      <w:rFonts w:hint="eastAsia"/>
                      <w:b/>
                      <w:lang w:val="en-US" w:eastAsia="zh-CN"/>
                    </w:rPr>
                    <w:t>一次监测排放限值</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pPr>
                  <w:r>
                    <w:t>pH</w:t>
                  </w:r>
                </w:p>
              </w:tc>
              <w:tc>
                <w:tcPr>
                  <w:tcW w:w="569" w:type="dxa"/>
                  <w:noWrap w:val="0"/>
                  <w:vAlign w:val="center"/>
                </w:tcPr>
                <w:p>
                  <w:pPr>
                    <w:adjustRightInd w:val="0"/>
                    <w:snapToGrid w:val="0"/>
                    <w:jc w:val="center"/>
                  </w:pPr>
                  <w:r>
                    <w:rPr>
                      <w:rFonts w:hint="eastAsia"/>
                    </w:rPr>
                    <w:t>无量纲</w:t>
                  </w:r>
                </w:p>
              </w:tc>
              <w:tc>
                <w:tcPr>
                  <w:tcW w:w="2334" w:type="dxa"/>
                  <w:noWrap w:val="0"/>
                  <w:vAlign w:val="center"/>
                </w:tcPr>
                <w:p>
                  <w:pPr>
                    <w:adjustRightInd w:val="0"/>
                    <w:snapToGrid w:val="0"/>
                    <w:jc w:val="center"/>
                  </w:pPr>
                  <w:r>
                    <w:t>6~9</w:t>
                  </w:r>
                </w:p>
              </w:tc>
              <w:tc>
                <w:tcPr>
                  <w:tcW w:w="1854" w:type="dxa"/>
                  <w:noWrap w:val="0"/>
                  <w:vAlign w:val="center"/>
                </w:tcPr>
                <w:p>
                  <w:pPr>
                    <w:adjustRightInd w:val="0"/>
                    <w:snapToGrid w:val="0"/>
                    <w:jc w:val="center"/>
                  </w:pPr>
                  <w:r>
                    <w:t>6~9</w:t>
                  </w:r>
                </w:p>
              </w:tc>
              <w:tc>
                <w:tcPr>
                  <w:tcW w:w="1432" w:type="dxa"/>
                  <w:noWrap w:val="0"/>
                  <w:vAlign w:val="center"/>
                </w:tcPr>
                <w:p>
                  <w:pPr>
                    <w:adjustRightInd w:val="0"/>
                    <w:snapToGrid w:val="0"/>
                    <w:jc w:val="center"/>
                    <w:rPr>
                      <w:rFonts w:hint="default" w:eastAsia="宋体"/>
                      <w:lang w:val="en-US" w:eastAsia="zh-CN"/>
                    </w:rPr>
                  </w:pPr>
                  <w:r>
                    <w:t>6~9</w:t>
                  </w:r>
                </w:p>
              </w:tc>
              <w:tc>
                <w:tcPr>
                  <w:tcW w:w="1492" w:type="dxa"/>
                  <w:noWrap w:val="0"/>
                  <w:vAlign w:val="center"/>
                </w:tcPr>
                <w:p>
                  <w:pPr>
                    <w:adjustRightInd w:val="0"/>
                    <w:snapToGrid w:val="0"/>
                    <w:jc w:val="center"/>
                    <w:rPr>
                      <w:rFonts w:hint="eastAsia" w:eastAsia="宋体"/>
                      <w:lang w:val="en-US" w:eastAsia="zh-CN"/>
                    </w:rPr>
                  </w:pPr>
                  <w:r>
                    <w:rPr>
                      <w:rFonts w:hint="eastAsia"/>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pPr>
                  <w:r>
                    <w:t>COD</w:t>
                  </w:r>
                </w:p>
              </w:tc>
              <w:tc>
                <w:tcPr>
                  <w:tcW w:w="569" w:type="dxa"/>
                  <w:noWrap w:val="0"/>
                  <w:vAlign w:val="center"/>
                </w:tcPr>
                <w:p>
                  <w:pPr>
                    <w:adjustRightInd w:val="0"/>
                    <w:snapToGrid w:val="0"/>
                    <w:jc w:val="center"/>
                  </w:pPr>
                  <w:r>
                    <w:t>mg/L</w:t>
                  </w:r>
                </w:p>
              </w:tc>
              <w:tc>
                <w:tcPr>
                  <w:tcW w:w="2334" w:type="dxa"/>
                  <w:noWrap w:val="0"/>
                  <w:vAlign w:val="center"/>
                </w:tcPr>
                <w:p>
                  <w:pPr>
                    <w:adjustRightInd w:val="0"/>
                    <w:snapToGrid w:val="0"/>
                    <w:jc w:val="center"/>
                  </w:pPr>
                  <w:r>
                    <w:t>500</w:t>
                  </w:r>
                </w:p>
              </w:tc>
              <w:tc>
                <w:tcPr>
                  <w:tcW w:w="1854" w:type="dxa"/>
                  <w:noWrap w:val="0"/>
                  <w:vAlign w:val="center"/>
                </w:tcPr>
                <w:p>
                  <w:pPr>
                    <w:adjustRightInd w:val="0"/>
                    <w:snapToGrid w:val="0"/>
                    <w:jc w:val="center"/>
                  </w:pPr>
                  <w:r>
                    <w:t>50</w:t>
                  </w:r>
                </w:p>
              </w:tc>
              <w:tc>
                <w:tcPr>
                  <w:tcW w:w="1432" w:type="dxa"/>
                  <w:noWrap w:val="0"/>
                  <w:vAlign w:val="center"/>
                </w:tcPr>
                <w:p>
                  <w:pPr>
                    <w:adjustRightInd w:val="0"/>
                    <w:snapToGrid w:val="0"/>
                    <w:jc w:val="center"/>
                    <w:rPr>
                      <w:rFonts w:hint="default" w:eastAsia="宋体"/>
                      <w:lang w:val="en-US" w:eastAsia="zh-CN"/>
                    </w:rPr>
                  </w:pPr>
                  <w:r>
                    <w:rPr>
                      <w:rFonts w:hint="eastAsia"/>
                      <w:lang w:val="en-US" w:eastAsia="zh-CN"/>
                    </w:rPr>
                    <w:t>50</w:t>
                  </w:r>
                </w:p>
              </w:tc>
              <w:tc>
                <w:tcPr>
                  <w:tcW w:w="1492" w:type="dxa"/>
                  <w:noWrap w:val="0"/>
                  <w:vAlign w:val="center"/>
                </w:tcPr>
                <w:p>
                  <w:pPr>
                    <w:adjustRightInd w:val="0"/>
                    <w:snapToGrid w:val="0"/>
                    <w:jc w:val="center"/>
                    <w:rPr>
                      <w:rFonts w:hint="default" w:eastAsia="宋体"/>
                      <w:lang w:val="en-US" w:eastAsia="zh-CN"/>
                    </w:rPr>
                  </w:pPr>
                  <w:r>
                    <w:rPr>
                      <w:rFonts w:hint="eastAsia"/>
                      <w:lang w:val="en-US" w:eastAsia="zh-CN"/>
                    </w:rPr>
                    <w:t>75</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pPr>
                  <w:r>
                    <w:t>SS</w:t>
                  </w:r>
                </w:p>
              </w:tc>
              <w:tc>
                <w:tcPr>
                  <w:tcW w:w="569" w:type="dxa"/>
                  <w:noWrap w:val="0"/>
                  <w:vAlign w:val="center"/>
                </w:tcPr>
                <w:p>
                  <w:pPr>
                    <w:adjustRightInd w:val="0"/>
                    <w:snapToGrid w:val="0"/>
                    <w:jc w:val="center"/>
                  </w:pPr>
                  <w:r>
                    <w:t>mg/L</w:t>
                  </w:r>
                </w:p>
              </w:tc>
              <w:tc>
                <w:tcPr>
                  <w:tcW w:w="2334" w:type="dxa"/>
                  <w:noWrap w:val="0"/>
                  <w:vAlign w:val="center"/>
                </w:tcPr>
                <w:p>
                  <w:pPr>
                    <w:adjustRightInd w:val="0"/>
                    <w:snapToGrid w:val="0"/>
                    <w:jc w:val="center"/>
                  </w:pPr>
                  <w:r>
                    <w:t>400</w:t>
                  </w:r>
                </w:p>
              </w:tc>
              <w:tc>
                <w:tcPr>
                  <w:tcW w:w="1854" w:type="dxa"/>
                  <w:noWrap w:val="0"/>
                  <w:vAlign w:val="center"/>
                </w:tcPr>
                <w:p>
                  <w:pPr>
                    <w:adjustRightInd w:val="0"/>
                    <w:snapToGrid w:val="0"/>
                    <w:jc w:val="center"/>
                  </w:pPr>
                  <w:r>
                    <w:t>10</w:t>
                  </w:r>
                </w:p>
              </w:tc>
              <w:tc>
                <w:tcPr>
                  <w:tcW w:w="1432" w:type="dxa"/>
                  <w:noWrap w:val="0"/>
                  <w:vAlign w:val="center"/>
                </w:tcPr>
                <w:p>
                  <w:pPr>
                    <w:adjustRightInd w:val="0"/>
                    <w:snapToGrid w:val="0"/>
                    <w:jc w:val="center"/>
                    <w:rPr>
                      <w:rFonts w:hint="default" w:eastAsia="宋体"/>
                      <w:lang w:val="en-US" w:eastAsia="zh-CN"/>
                    </w:rPr>
                  </w:pPr>
                  <w:r>
                    <w:rPr>
                      <w:rFonts w:hint="eastAsia"/>
                      <w:lang w:val="en-US" w:eastAsia="zh-CN"/>
                    </w:rPr>
                    <w:t>10</w:t>
                  </w:r>
                </w:p>
              </w:tc>
              <w:tc>
                <w:tcPr>
                  <w:tcW w:w="1492" w:type="dxa"/>
                  <w:noWrap w:val="0"/>
                  <w:vAlign w:val="center"/>
                </w:tcPr>
                <w:p>
                  <w:pPr>
                    <w:adjustRightInd w:val="0"/>
                    <w:snapToGrid w:val="0"/>
                    <w:jc w:val="center"/>
                    <w:rPr>
                      <w:rFonts w:hint="eastAsia" w:eastAsia="宋体"/>
                      <w:lang w:val="en-US" w:eastAsia="zh-CN"/>
                    </w:rPr>
                  </w:pPr>
                  <w:r>
                    <w:rPr>
                      <w:rFonts w:hint="eastAsia"/>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pPr>
                  <w:r>
                    <w:t>NH</w:t>
                  </w:r>
                  <w:r>
                    <w:rPr>
                      <w:vertAlign w:val="subscript"/>
                    </w:rPr>
                    <w:t>3</w:t>
                  </w:r>
                  <w:r>
                    <w:t>-N</w:t>
                  </w:r>
                </w:p>
              </w:tc>
              <w:tc>
                <w:tcPr>
                  <w:tcW w:w="569" w:type="dxa"/>
                  <w:noWrap w:val="0"/>
                  <w:vAlign w:val="center"/>
                </w:tcPr>
                <w:p>
                  <w:pPr>
                    <w:adjustRightInd w:val="0"/>
                    <w:snapToGrid w:val="0"/>
                    <w:jc w:val="center"/>
                  </w:pPr>
                  <w:r>
                    <w:t>mg/L</w:t>
                  </w:r>
                </w:p>
              </w:tc>
              <w:tc>
                <w:tcPr>
                  <w:tcW w:w="2334" w:type="dxa"/>
                  <w:noWrap w:val="0"/>
                  <w:vAlign w:val="center"/>
                </w:tcPr>
                <w:p>
                  <w:pPr>
                    <w:adjustRightInd w:val="0"/>
                    <w:snapToGrid w:val="0"/>
                    <w:jc w:val="center"/>
                  </w:pPr>
                  <w:r>
                    <w:t>45</w:t>
                  </w:r>
                  <w:r>
                    <w:rPr>
                      <w:vertAlign w:val="superscript"/>
                    </w:rPr>
                    <w:t>①</w:t>
                  </w:r>
                </w:p>
              </w:tc>
              <w:tc>
                <w:tcPr>
                  <w:tcW w:w="1854" w:type="dxa"/>
                  <w:noWrap w:val="0"/>
                  <w:vAlign w:val="center"/>
                </w:tcPr>
                <w:p>
                  <w:pPr>
                    <w:adjustRightInd w:val="0"/>
                    <w:snapToGrid w:val="0"/>
                    <w:jc w:val="center"/>
                  </w:pPr>
                  <w:r>
                    <w:t>5（8）</w:t>
                  </w:r>
                  <w:r>
                    <w:rPr>
                      <w:vertAlign w:val="superscript"/>
                    </w:rPr>
                    <w:t>②</w:t>
                  </w:r>
                </w:p>
              </w:tc>
              <w:tc>
                <w:tcPr>
                  <w:tcW w:w="1432" w:type="dxa"/>
                  <w:noWrap w:val="0"/>
                  <w:vAlign w:val="center"/>
                </w:tcPr>
                <w:p>
                  <w:pPr>
                    <w:adjustRightInd w:val="0"/>
                    <w:snapToGrid w:val="0"/>
                    <w:jc w:val="center"/>
                  </w:pPr>
                  <w:r>
                    <w:rPr>
                      <w:rFonts w:hint="eastAsia"/>
                      <w:lang w:val="en-US" w:eastAsia="zh-CN"/>
                    </w:rPr>
                    <w:t>4</w:t>
                  </w:r>
                  <w:r>
                    <w:t>（</w:t>
                  </w:r>
                  <w:r>
                    <w:rPr>
                      <w:rFonts w:hint="eastAsia"/>
                      <w:lang w:val="en-US" w:eastAsia="zh-CN"/>
                    </w:rPr>
                    <w:t>6</w:t>
                  </w:r>
                  <w:r>
                    <w:t>）</w:t>
                  </w:r>
                  <w:r>
                    <w:rPr>
                      <w:rFonts w:hint="default"/>
                      <w:b w:val="0"/>
                      <w:sz w:val="20"/>
                      <w:szCs w:val="20"/>
                      <w:vertAlign w:val="superscript"/>
                      <w:lang w:val="en-US" w:eastAsia="zh-CN"/>
                    </w:rPr>
                    <w:t>③</w:t>
                  </w:r>
                </w:p>
              </w:tc>
              <w:tc>
                <w:tcPr>
                  <w:tcW w:w="1492" w:type="dxa"/>
                  <w:noWrap w:val="0"/>
                  <w:vAlign w:val="center"/>
                </w:tcPr>
                <w:p>
                  <w:pPr>
                    <w:adjustRightInd w:val="0"/>
                    <w:snapToGrid w:val="0"/>
                    <w:jc w:val="center"/>
                  </w:pPr>
                  <w:r>
                    <w:rPr>
                      <w:rFonts w:hint="eastAsia"/>
                      <w:lang w:val="en-US" w:eastAsia="zh-CN"/>
                    </w:rPr>
                    <w:t>8</w:t>
                  </w:r>
                  <w:r>
                    <w:t>（</w:t>
                  </w:r>
                  <w:r>
                    <w:rPr>
                      <w:rFonts w:hint="eastAsia"/>
                      <w:lang w:val="en-US" w:eastAsia="zh-CN"/>
                    </w:rPr>
                    <w:t>12</w:t>
                  </w:r>
                  <w:r>
                    <w:t>）</w:t>
                  </w:r>
                  <w:r>
                    <w:rPr>
                      <w:rFonts w:hint="default"/>
                      <w:b w:val="0"/>
                      <w:sz w:val="20"/>
                      <w:szCs w:val="20"/>
                      <w:vertAlign w:val="superscript"/>
                      <w:lang w:val="en-US" w:eastAsia="zh-CN"/>
                    </w:rPr>
                    <w:t>③</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pPr>
                  <w:r>
                    <w:t>TN</w:t>
                  </w:r>
                </w:p>
              </w:tc>
              <w:tc>
                <w:tcPr>
                  <w:tcW w:w="569" w:type="dxa"/>
                  <w:noWrap w:val="0"/>
                  <w:vAlign w:val="center"/>
                </w:tcPr>
                <w:p>
                  <w:pPr>
                    <w:adjustRightInd w:val="0"/>
                    <w:snapToGrid w:val="0"/>
                    <w:jc w:val="center"/>
                  </w:pPr>
                  <w:r>
                    <w:t>mg/L</w:t>
                  </w:r>
                </w:p>
              </w:tc>
              <w:tc>
                <w:tcPr>
                  <w:tcW w:w="2334" w:type="dxa"/>
                  <w:noWrap w:val="0"/>
                  <w:vAlign w:val="center"/>
                </w:tcPr>
                <w:p>
                  <w:pPr>
                    <w:adjustRightInd w:val="0"/>
                    <w:snapToGrid w:val="0"/>
                    <w:jc w:val="center"/>
                  </w:pPr>
                  <w:r>
                    <w:t>70</w:t>
                  </w:r>
                  <w:r>
                    <w:rPr>
                      <w:vertAlign w:val="superscript"/>
                    </w:rPr>
                    <w:t>①</w:t>
                  </w:r>
                </w:p>
              </w:tc>
              <w:tc>
                <w:tcPr>
                  <w:tcW w:w="1854" w:type="dxa"/>
                  <w:noWrap w:val="0"/>
                  <w:vAlign w:val="center"/>
                </w:tcPr>
                <w:p>
                  <w:pPr>
                    <w:adjustRightInd w:val="0"/>
                    <w:snapToGrid w:val="0"/>
                    <w:jc w:val="center"/>
                  </w:pPr>
                  <w:r>
                    <w:t>15</w:t>
                  </w:r>
                </w:p>
              </w:tc>
              <w:tc>
                <w:tcPr>
                  <w:tcW w:w="1432" w:type="dxa"/>
                  <w:noWrap w:val="0"/>
                  <w:vAlign w:val="center"/>
                </w:tcPr>
                <w:p>
                  <w:pPr>
                    <w:adjustRightInd w:val="0"/>
                    <w:snapToGrid w:val="0"/>
                    <w:jc w:val="center"/>
                  </w:pPr>
                  <w:r>
                    <w:rPr>
                      <w:rFonts w:hint="eastAsia"/>
                      <w:lang w:val="en-US" w:eastAsia="zh-CN"/>
                    </w:rPr>
                    <w:t>12</w:t>
                  </w:r>
                  <w:r>
                    <w:t>（</w:t>
                  </w:r>
                  <w:r>
                    <w:rPr>
                      <w:rFonts w:hint="eastAsia"/>
                      <w:lang w:val="en-US" w:eastAsia="zh-CN"/>
                    </w:rPr>
                    <w:t>15</w:t>
                  </w:r>
                  <w:r>
                    <w:t>）</w:t>
                  </w:r>
                  <w:r>
                    <w:rPr>
                      <w:rFonts w:hint="default"/>
                      <w:b w:val="0"/>
                      <w:sz w:val="20"/>
                      <w:szCs w:val="20"/>
                      <w:vertAlign w:val="superscript"/>
                      <w:lang w:val="en-US" w:eastAsia="zh-CN"/>
                    </w:rPr>
                    <w:t>③</w:t>
                  </w:r>
                </w:p>
              </w:tc>
              <w:tc>
                <w:tcPr>
                  <w:tcW w:w="1492" w:type="dxa"/>
                  <w:noWrap w:val="0"/>
                  <w:vAlign w:val="center"/>
                </w:tcPr>
                <w:p>
                  <w:pPr>
                    <w:adjustRightInd w:val="0"/>
                    <w:snapToGrid w:val="0"/>
                    <w:jc w:val="center"/>
                  </w:pPr>
                  <w:r>
                    <w:rPr>
                      <w:rFonts w:hint="eastAsia"/>
                      <w:lang w:val="en-US" w:eastAsia="zh-CN"/>
                    </w:rPr>
                    <w:t>15</w:t>
                  </w:r>
                  <w:r>
                    <w:t>（</w:t>
                  </w:r>
                  <w:r>
                    <w:rPr>
                      <w:rFonts w:hint="eastAsia"/>
                      <w:lang w:val="en-US" w:eastAsia="zh-CN"/>
                    </w:rPr>
                    <w:t>20</w:t>
                  </w:r>
                  <w:r>
                    <w:t>）</w:t>
                  </w:r>
                  <w:r>
                    <w:rPr>
                      <w:rFonts w:hint="default"/>
                      <w:b w:val="0"/>
                      <w:sz w:val="20"/>
                      <w:szCs w:val="20"/>
                      <w:vertAlign w:val="superscript"/>
                      <w:lang w:val="en-US" w:eastAsia="zh-CN"/>
                    </w:rPr>
                    <w:t>③</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pPr>
                  <w:r>
                    <w:t>TP</w:t>
                  </w:r>
                </w:p>
              </w:tc>
              <w:tc>
                <w:tcPr>
                  <w:tcW w:w="569" w:type="dxa"/>
                  <w:noWrap w:val="0"/>
                  <w:vAlign w:val="center"/>
                </w:tcPr>
                <w:p>
                  <w:pPr>
                    <w:adjustRightInd w:val="0"/>
                    <w:snapToGrid w:val="0"/>
                    <w:jc w:val="center"/>
                  </w:pPr>
                  <w:r>
                    <w:t>mg/L</w:t>
                  </w:r>
                </w:p>
              </w:tc>
              <w:tc>
                <w:tcPr>
                  <w:tcW w:w="2334" w:type="dxa"/>
                  <w:noWrap w:val="0"/>
                  <w:vAlign w:val="center"/>
                </w:tcPr>
                <w:p>
                  <w:pPr>
                    <w:adjustRightInd w:val="0"/>
                    <w:snapToGrid w:val="0"/>
                    <w:jc w:val="center"/>
                  </w:pPr>
                  <w:r>
                    <w:t>8</w:t>
                  </w:r>
                  <w:r>
                    <w:rPr>
                      <w:vertAlign w:val="superscript"/>
                    </w:rPr>
                    <w:t>①</w:t>
                  </w:r>
                </w:p>
              </w:tc>
              <w:tc>
                <w:tcPr>
                  <w:tcW w:w="1854" w:type="dxa"/>
                  <w:noWrap w:val="0"/>
                  <w:vAlign w:val="center"/>
                </w:tcPr>
                <w:p>
                  <w:pPr>
                    <w:adjustRightInd w:val="0"/>
                    <w:snapToGrid w:val="0"/>
                    <w:jc w:val="center"/>
                  </w:pPr>
                  <w:r>
                    <w:t>0.5</w:t>
                  </w:r>
                </w:p>
              </w:tc>
              <w:tc>
                <w:tcPr>
                  <w:tcW w:w="1432" w:type="dxa"/>
                  <w:noWrap w:val="0"/>
                  <w:vAlign w:val="center"/>
                </w:tcPr>
                <w:p>
                  <w:pPr>
                    <w:adjustRightInd w:val="0"/>
                    <w:snapToGrid w:val="0"/>
                    <w:jc w:val="center"/>
                    <w:rPr>
                      <w:rFonts w:hint="default" w:eastAsia="宋体"/>
                      <w:lang w:val="en-US" w:eastAsia="zh-CN"/>
                    </w:rPr>
                  </w:pPr>
                  <w:r>
                    <w:rPr>
                      <w:rFonts w:hint="eastAsia"/>
                      <w:lang w:val="en-US" w:eastAsia="zh-CN"/>
                    </w:rPr>
                    <w:t>0.5</w:t>
                  </w:r>
                </w:p>
              </w:tc>
              <w:tc>
                <w:tcPr>
                  <w:tcW w:w="1492" w:type="dxa"/>
                  <w:noWrap w:val="0"/>
                  <w:vAlign w:val="center"/>
                </w:tcPr>
                <w:p>
                  <w:pPr>
                    <w:adjustRightInd w:val="0"/>
                    <w:snapToGrid w:val="0"/>
                    <w:jc w:val="center"/>
                    <w:rPr>
                      <w:rFonts w:hint="default" w:eastAsia="宋体"/>
                      <w:lang w:val="en-US" w:eastAsia="zh-CN"/>
                    </w:rPr>
                  </w:pPr>
                  <w:r>
                    <w:rPr>
                      <w:rFonts w:hint="eastAsia"/>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57" w:type="dxa"/>
                  <w:bottom w:w="0" w:type="dxa"/>
                  <w:right w:w="57" w:type="dxa"/>
                </w:tblCellMar>
              </w:tblPrEx>
              <w:trPr>
                <w:trHeight w:val="23" w:hRule="atLeast"/>
                <w:jc w:val="center"/>
              </w:trPr>
              <w:tc>
                <w:tcPr>
                  <w:tcW w:w="707" w:type="dxa"/>
                  <w:noWrap w:val="0"/>
                  <w:vAlign w:val="center"/>
                </w:tcPr>
                <w:p>
                  <w:pPr>
                    <w:adjustRightInd w:val="0"/>
                    <w:snapToGrid w:val="0"/>
                    <w:jc w:val="center"/>
                    <w:rPr>
                      <w:rFonts w:hint="eastAsia" w:eastAsia="宋体"/>
                      <w:lang w:val="en-US" w:eastAsia="zh-CN"/>
                    </w:rPr>
                  </w:pPr>
                  <w:r>
                    <w:rPr>
                      <w:rFonts w:hint="eastAsia"/>
                      <w:kern w:val="0"/>
                      <w:szCs w:val="21"/>
                    </w:rPr>
                    <w:t>LAS</w:t>
                  </w:r>
                </w:p>
              </w:tc>
              <w:tc>
                <w:tcPr>
                  <w:tcW w:w="569" w:type="dxa"/>
                  <w:noWrap w:val="0"/>
                  <w:vAlign w:val="center"/>
                </w:tcPr>
                <w:p>
                  <w:pPr>
                    <w:adjustRightInd w:val="0"/>
                    <w:snapToGrid w:val="0"/>
                    <w:jc w:val="center"/>
                  </w:pPr>
                  <w:r>
                    <w:t>mg/L</w:t>
                  </w:r>
                </w:p>
              </w:tc>
              <w:tc>
                <w:tcPr>
                  <w:tcW w:w="2334" w:type="dxa"/>
                  <w:noWrap w:val="0"/>
                  <w:vAlign w:val="center"/>
                </w:tcPr>
                <w:p>
                  <w:pPr>
                    <w:adjustRightInd w:val="0"/>
                    <w:snapToGrid w:val="0"/>
                    <w:jc w:val="center"/>
                    <w:rPr>
                      <w:rFonts w:hint="default" w:eastAsia="宋体"/>
                      <w:lang w:val="en-US" w:eastAsia="zh-CN"/>
                    </w:rPr>
                  </w:pPr>
                  <w:r>
                    <w:rPr>
                      <w:rFonts w:hint="eastAsia" w:eastAsia="宋体"/>
                      <w:lang w:val="en-US" w:eastAsia="zh-CN"/>
                    </w:rPr>
                    <w:t>20</w:t>
                  </w:r>
                </w:p>
              </w:tc>
              <w:tc>
                <w:tcPr>
                  <w:tcW w:w="1854" w:type="dxa"/>
                  <w:noWrap w:val="0"/>
                  <w:vAlign w:val="center"/>
                </w:tcPr>
                <w:p>
                  <w:pPr>
                    <w:adjustRightInd w:val="0"/>
                    <w:snapToGrid w:val="0"/>
                    <w:jc w:val="center"/>
                    <w:rPr>
                      <w:rFonts w:hint="default" w:eastAsia="宋体"/>
                      <w:lang w:val="en-US" w:eastAsia="zh-CN"/>
                    </w:rPr>
                  </w:pPr>
                  <w:r>
                    <w:rPr>
                      <w:rFonts w:hint="eastAsia" w:eastAsia="宋体"/>
                      <w:lang w:val="en-US" w:eastAsia="zh-CN"/>
                    </w:rPr>
                    <w:t>0.5</w:t>
                  </w:r>
                </w:p>
              </w:tc>
              <w:tc>
                <w:tcPr>
                  <w:tcW w:w="1432" w:type="dxa"/>
                  <w:noWrap w:val="0"/>
                  <w:vAlign w:val="center"/>
                </w:tcPr>
                <w:p>
                  <w:pPr>
                    <w:adjustRightInd w:val="0"/>
                    <w:snapToGrid w:val="0"/>
                    <w:jc w:val="center"/>
                    <w:rPr>
                      <w:rFonts w:hint="default"/>
                      <w:lang w:val="en-US" w:eastAsia="zh-CN"/>
                    </w:rPr>
                  </w:pPr>
                  <w:r>
                    <w:rPr>
                      <w:rFonts w:hint="eastAsia"/>
                      <w:lang w:val="en-US" w:eastAsia="zh-CN"/>
                    </w:rPr>
                    <w:t>0.5</w:t>
                  </w:r>
                </w:p>
              </w:tc>
              <w:tc>
                <w:tcPr>
                  <w:tcW w:w="1492" w:type="dxa"/>
                  <w:noWrap w:val="0"/>
                  <w:vAlign w:val="center"/>
                </w:tcPr>
                <w:p>
                  <w:pPr>
                    <w:adjustRightInd w:val="0"/>
                    <w:snapToGrid w:val="0"/>
                    <w:jc w:val="center"/>
                    <w:rPr>
                      <w:rFonts w:hint="default"/>
                      <w:lang w:val="en-US" w:eastAsia="zh-CN"/>
                    </w:rPr>
                  </w:pPr>
                  <w:r>
                    <w:rPr>
                      <w:rFonts w:hint="eastAsia"/>
                      <w:lang w:val="en-US" w:eastAsia="zh-CN"/>
                    </w:rPr>
                    <w:t>/</w:t>
                  </w:r>
                </w:p>
              </w:tc>
            </w:tr>
          </w:tbl>
          <w:p>
            <w:pPr>
              <w:adjustRightInd w:val="0"/>
              <w:snapToGrid w:val="0"/>
              <w:rPr>
                <w:rFonts w:ascii="Times New Roman" w:hAnsi="Times New Roman" w:eastAsia="宋体" w:cs="Times New Roman"/>
                <w:sz w:val="20"/>
                <w:szCs w:val="20"/>
              </w:rPr>
            </w:pPr>
            <w:r>
              <w:rPr>
                <w:rFonts w:ascii="Times New Roman" w:hAnsi="Times New Roman" w:eastAsia="宋体" w:cs="Times New Roman"/>
                <w:sz w:val="20"/>
                <w:szCs w:val="20"/>
              </w:rPr>
              <w:t>注：①参照《污水排入城镇下水道水质标准》（GB/T31962-2015）</w:t>
            </w:r>
          </w:p>
          <w:p>
            <w:pPr>
              <w:adjustRightInd w:val="0"/>
              <w:snapToGrid w:val="0"/>
              <w:rPr>
                <w:rFonts w:hint="eastAsia" w:ascii="Times New Roman" w:hAnsi="Times New Roman" w:eastAsia="宋体" w:cs="Times New Roman"/>
                <w:sz w:val="20"/>
                <w:szCs w:val="20"/>
              </w:rPr>
            </w:pPr>
            <w:r>
              <w:rPr>
                <w:rFonts w:ascii="Times New Roman" w:hAnsi="Times New Roman" w:eastAsia="宋体" w:cs="Times New Roman"/>
                <w:sz w:val="20"/>
                <w:szCs w:val="20"/>
              </w:rPr>
              <w:t>②括号外数值为水温＞12℃时的控制指标，括号内数值为水温≤12℃时的控制指标。</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left"/>
              <w:textAlignment w:val="auto"/>
              <w:rPr>
                <w:b/>
                <w:bCs/>
                <w:sz w:val="24"/>
                <w:szCs w:val="24"/>
              </w:rPr>
            </w:pPr>
            <w:r>
              <w:rPr>
                <w:rFonts w:hint="default"/>
                <w:b w:val="0"/>
                <w:sz w:val="20"/>
                <w:szCs w:val="20"/>
                <w:lang w:val="en-US" w:eastAsia="zh-CN"/>
              </w:rPr>
              <w:t>③每年11月1日至次年3月31日执行括号内排放限值。</w:t>
            </w:r>
          </w:p>
          <w:p>
            <w:pPr>
              <w:keepNext w:val="0"/>
              <w:keepLines w:val="0"/>
              <w:pageBreakBefore w:val="0"/>
              <w:widowControl w:val="0"/>
              <w:kinsoku/>
              <w:wordWrap/>
              <w:overflowPunct/>
              <w:topLinePunct w:val="0"/>
              <w:autoSpaceDE/>
              <w:autoSpaceDN/>
              <w:bidi w:val="0"/>
              <w:adjustRightInd w:val="0"/>
              <w:snapToGrid w:val="0"/>
              <w:ind w:right="0"/>
              <w:textAlignment w:val="auto"/>
              <w:rPr>
                <w:b/>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right="0" w:firstLine="482" w:firstLineChars="200"/>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lang w:val="en-US" w:eastAsia="zh-CN"/>
              </w:rPr>
              <w:t>三</w:t>
            </w:r>
            <w:r>
              <w:rPr>
                <w:rFonts w:hint="eastAsia" w:ascii="Times New Roman" w:hAnsi="Times New Roman" w:eastAsia="宋体" w:cs="Times New Roman"/>
                <w:b/>
                <w:bCs/>
                <w:sz w:val="24"/>
                <w:szCs w:val="24"/>
                <w:lang w:eastAsia="zh-CN"/>
              </w:rPr>
              <w:t>）</w:t>
            </w:r>
            <w:r>
              <w:rPr>
                <w:rFonts w:hint="eastAsia" w:ascii="Times New Roman" w:hAnsi="Times New Roman" w:eastAsia="宋体" w:cs="Times New Roman"/>
                <w:b/>
                <w:bCs/>
                <w:sz w:val="24"/>
                <w:szCs w:val="24"/>
              </w:rPr>
              <w:t>噪声排放标准</w:t>
            </w:r>
          </w:p>
          <w:p>
            <w:pPr>
              <w:spacing w:line="360" w:lineRule="auto"/>
              <w:ind w:firstLine="480"/>
              <w:rPr>
                <w:rFonts w:hint="eastAsia" w:ascii="Times New Roman" w:hAnsi="Times New Roman" w:eastAsia="宋体" w:cs="Times New Roman"/>
                <w:b w:val="0"/>
                <w:sz w:val="24"/>
                <w:szCs w:val="24"/>
              </w:rPr>
            </w:pPr>
            <w:r>
              <w:rPr>
                <w:rFonts w:hint="eastAsia" w:ascii="Times New Roman" w:hAnsi="Times New Roman" w:eastAsia="宋体" w:cs="Times New Roman"/>
                <w:sz w:val="24"/>
                <w:szCs w:val="24"/>
              </w:rPr>
              <w:t>根据《如皋市声环境功能区和噪声敏感建筑物集中区划分方案》</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皋政发</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2025</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20号</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，本项目所属功能区为</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类，</w:t>
            </w:r>
            <w:r>
              <w:rPr>
                <w:rFonts w:hint="eastAsia" w:ascii="Times New Roman" w:hAnsi="Times New Roman" w:eastAsia="宋体" w:cs="Times New Roman"/>
                <w:sz w:val="24"/>
                <w:szCs w:val="24"/>
                <w:lang w:val="en-US" w:eastAsia="zh-CN"/>
              </w:rPr>
              <w:t>西</w:t>
            </w:r>
            <w:r>
              <w:rPr>
                <w:rFonts w:hint="eastAsia" w:ascii="Times New Roman" w:hAnsi="Times New Roman" w:eastAsia="宋体" w:cs="Times New Roman"/>
                <w:sz w:val="24"/>
                <w:szCs w:val="24"/>
              </w:rPr>
              <w:t>侧陆桥中心路为</w:t>
            </w:r>
            <w:r>
              <w:rPr>
                <w:rFonts w:hint="eastAsia" w:ascii="Times New Roman" w:hAnsi="Times New Roman" w:eastAsia="宋体" w:cs="Times New Roman"/>
                <w:sz w:val="24"/>
                <w:szCs w:val="24"/>
                <w:lang w:val="en-US" w:eastAsia="zh-CN"/>
              </w:rPr>
              <w:t>城市次干路</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20</w:t>
            </w:r>
            <w:r>
              <w:rPr>
                <w:rFonts w:hint="eastAsia" w:ascii="Times New Roman" w:hAnsi="Times New Roman" w:eastAsia="宋体" w:cs="Times New Roman"/>
                <w:sz w:val="24"/>
                <w:szCs w:val="24"/>
              </w:rPr>
              <w:t>米±</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米范围执行声质量标准的4a类，因此</w:t>
            </w:r>
            <w:r>
              <w:rPr>
                <w:rFonts w:hint="eastAsia" w:ascii="Times New Roman" w:hAnsi="Times New Roman" w:eastAsia="宋体" w:cs="Times New Roman"/>
                <w:sz w:val="24"/>
                <w:szCs w:val="24"/>
                <w:lang w:val="en-US" w:eastAsia="zh-CN"/>
              </w:rPr>
              <w:t>西</w:t>
            </w:r>
            <w:r>
              <w:rPr>
                <w:rFonts w:hint="eastAsia" w:ascii="Times New Roman" w:hAnsi="Times New Roman" w:eastAsia="宋体" w:cs="Times New Roman"/>
                <w:sz w:val="24"/>
                <w:szCs w:val="24"/>
              </w:rPr>
              <w:t>侧厂界执行4类</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厂界噪声排放执行《工业企业厂界环境噪声排放标准》（GB12348-2008）</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类</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4类</w:t>
            </w:r>
            <w:r>
              <w:rPr>
                <w:rFonts w:hint="eastAsia" w:ascii="Times New Roman" w:hAnsi="Times New Roman" w:eastAsia="宋体" w:cs="Times New Roman"/>
                <w:sz w:val="24"/>
                <w:szCs w:val="24"/>
              </w:rPr>
              <w:t>标准。</w:t>
            </w:r>
          </w:p>
          <w:p>
            <w:pPr>
              <w:adjustRightInd w:val="0"/>
              <w:snapToGrid w:val="0"/>
              <w:spacing w:line="240" w:lineRule="auto"/>
              <w:jc w:val="center"/>
              <w:rPr>
                <w:b/>
                <w:sz w:val="24"/>
                <w:szCs w:val="24"/>
              </w:rPr>
            </w:pPr>
            <w:r>
              <w:rPr>
                <w:rFonts w:hint="eastAsia"/>
                <w:b/>
                <w:sz w:val="24"/>
                <w:szCs w:val="24"/>
              </w:rPr>
              <w:t>表3-</w:t>
            </w:r>
            <w:r>
              <w:rPr>
                <w:rFonts w:hint="eastAsia"/>
                <w:b/>
                <w:sz w:val="24"/>
                <w:szCs w:val="24"/>
                <w:lang w:val="en-US" w:eastAsia="zh-CN"/>
              </w:rPr>
              <w:t>6</w:t>
            </w:r>
            <w:r>
              <w:rPr>
                <w:rFonts w:hint="eastAsia"/>
                <w:b/>
                <w:sz w:val="24"/>
                <w:szCs w:val="24"/>
              </w:rPr>
              <w:t xml:space="preserve">  </w:t>
            </w:r>
            <w:r>
              <w:rPr>
                <w:b/>
                <w:sz w:val="24"/>
                <w:szCs w:val="24"/>
              </w:rPr>
              <w:t>工业企业厂界环境噪声排放标准</w:t>
            </w:r>
            <w:r>
              <w:rPr>
                <w:rFonts w:hint="eastAsia"/>
                <w:b/>
                <w:sz w:val="24"/>
                <w:szCs w:val="24"/>
              </w:rPr>
              <w:t xml:space="preserve">   </w:t>
            </w:r>
            <w:r>
              <w:rPr>
                <w:rFonts w:hint="eastAsia"/>
                <w:b/>
                <w:bCs/>
                <w:sz w:val="24"/>
                <w:szCs w:val="24"/>
              </w:rPr>
              <w:t>单位：dB（A）</w:t>
            </w:r>
          </w:p>
          <w:tbl>
            <w:tblPr>
              <w:tblStyle w:val="30"/>
              <w:tblW w:w="838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818"/>
              <w:gridCol w:w="1682"/>
              <w:gridCol w:w="1443"/>
              <w:gridCol w:w="14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3818" w:type="dxa"/>
                  <w:vAlign w:val="center"/>
                </w:tcPr>
                <w:p>
                  <w:pPr>
                    <w:jc w:val="center"/>
                    <w:rPr>
                      <w:rFonts w:hint="eastAsia" w:eastAsia="宋体"/>
                      <w:b/>
                      <w:szCs w:val="21"/>
                      <w:lang w:val="en-US" w:eastAsia="zh-CN"/>
                    </w:rPr>
                  </w:pPr>
                  <w:r>
                    <w:rPr>
                      <w:rFonts w:hint="eastAsia"/>
                      <w:b/>
                      <w:szCs w:val="21"/>
                      <w:lang w:val="en-US" w:eastAsia="zh-CN"/>
                    </w:rPr>
                    <w:t>区域</w:t>
                  </w:r>
                </w:p>
              </w:tc>
              <w:tc>
                <w:tcPr>
                  <w:tcW w:w="1682" w:type="dxa"/>
                  <w:vAlign w:val="center"/>
                </w:tcPr>
                <w:p>
                  <w:pPr>
                    <w:jc w:val="center"/>
                    <w:rPr>
                      <w:b/>
                      <w:szCs w:val="21"/>
                    </w:rPr>
                  </w:pPr>
                  <w:r>
                    <w:rPr>
                      <w:rFonts w:hint="eastAsia"/>
                      <w:b/>
                      <w:szCs w:val="21"/>
                    </w:rPr>
                    <w:t>类 别</w:t>
                  </w:r>
                </w:p>
              </w:tc>
              <w:tc>
                <w:tcPr>
                  <w:tcW w:w="1443" w:type="dxa"/>
                  <w:shd w:val="clear" w:color="auto" w:fill="auto"/>
                  <w:vAlign w:val="center"/>
                </w:tcPr>
                <w:p>
                  <w:pPr>
                    <w:jc w:val="center"/>
                    <w:rPr>
                      <w:rFonts w:hint="eastAsia" w:ascii="Times New Roman" w:hAnsi="Times New Roman" w:eastAsia="宋体" w:cs="Times New Roman"/>
                      <w:b/>
                      <w:kern w:val="2"/>
                      <w:sz w:val="21"/>
                      <w:szCs w:val="21"/>
                      <w:lang w:val="en-US" w:eastAsia="zh-CN" w:bidi="ar-SA"/>
                    </w:rPr>
                  </w:pPr>
                  <w:r>
                    <w:rPr>
                      <w:rFonts w:hint="eastAsia"/>
                      <w:b/>
                      <w:szCs w:val="21"/>
                    </w:rPr>
                    <w:t>昼间</w:t>
                  </w:r>
                </w:p>
              </w:tc>
              <w:tc>
                <w:tcPr>
                  <w:tcW w:w="1443" w:type="dxa"/>
                  <w:shd w:val="clear" w:color="auto" w:fill="auto"/>
                  <w:vAlign w:val="center"/>
                </w:tcPr>
                <w:p>
                  <w:pPr>
                    <w:jc w:val="center"/>
                    <w:rPr>
                      <w:rFonts w:hint="eastAsia" w:ascii="Times New Roman" w:hAnsi="Times New Roman" w:eastAsia="宋体" w:cs="Times New Roman"/>
                      <w:b/>
                      <w:kern w:val="2"/>
                      <w:sz w:val="21"/>
                      <w:szCs w:val="21"/>
                      <w:lang w:val="en-US" w:eastAsia="zh-CN" w:bidi="ar-SA"/>
                    </w:rPr>
                  </w:pPr>
                  <w:r>
                    <w:rPr>
                      <w:rFonts w:hint="eastAsia"/>
                      <w:b/>
                      <w:szCs w:val="21"/>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3818" w:type="dxa"/>
                  <w:vAlign w:val="center"/>
                </w:tcPr>
                <w:p>
                  <w:pPr>
                    <w:adjustRightInd w:val="0"/>
                    <w:snapToGrid w:val="0"/>
                    <w:jc w:val="center"/>
                    <w:rPr>
                      <w:rFonts w:hint="default"/>
                      <w:kern w:val="0"/>
                      <w:szCs w:val="21"/>
                      <w:lang w:val="en-US" w:eastAsia="zh-CN"/>
                    </w:rPr>
                  </w:pPr>
                  <w:r>
                    <w:rPr>
                      <w:rFonts w:hint="eastAsia"/>
                      <w:kern w:val="0"/>
                      <w:szCs w:val="21"/>
                      <w:lang w:val="en-US" w:eastAsia="zh-CN"/>
                    </w:rPr>
                    <w:t>厂界东、南、北</w:t>
                  </w:r>
                </w:p>
              </w:tc>
              <w:tc>
                <w:tcPr>
                  <w:tcW w:w="1682" w:type="dxa"/>
                  <w:vAlign w:val="center"/>
                </w:tcPr>
                <w:p>
                  <w:pPr>
                    <w:adjustRightInd w:val="0"/>
                    <w:snapToGrid w:val="0"/>
                    <w:jc w:val="center"/>
                    <w:rPr>
                      <w:kern w:val="0"/>
                      <w:szCs w:val="21"/>
                    </w:rPr>
                  </w:pPr>
                  <w:r>
                    <w:rPr>
                      <w:rFonts w:hint="eastAsia"/>
                      <w:kern w:val="0"/>
                      <w:szCs w:val="21"/>
                      <w:lang w:val="en-US" w:eastAsia="zh-CN"/>
                    </w:rPr>
                    <w:t>3</w:t>
                  </w:r>
                  <w:r>
                    <w:rPr>
                      <w:rFonts w:hint="eastAsia"/>
                      <w:kern w:val="0"/>
                      <w:szCs w:val="21"/>
                    </w:rPr>
                    <w:t>类</w:t>
                  </w:r>
                </w:p>
              </w:tc>
              <w:tc>
                <w:tcPr>
                  <w:tcW w:w="1443" w:type="dxa"/>
                  <w:shd w:val="clear" w:color="auto" w:fill="auto"/>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65</w:t>
                  </w:r>
                </w:p>
              </w:tc>
              <w:tc>
                <w:tcPr>
                  <w:tcW w:w="1443" w:type="dxa"/>
                  <w:shd w:val="clear" w:color="auto" w:fill="auto"/>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3818" w:type="dxa"/>
                  <w:shd w:val="clear" w:color="auto" w:fill="auto"/>
                  <w:vAlign w:val="center"/>
                </w:tcPr>
                <w:p>
                  <w:pPr>
                    <w:adjustRightInd w:val="0"/>
                    <w:snapToGrid w:val="0"/>
                    <w:jc w:val="center"/>
                    <w:rPr>
                      <w:rFonts w:hint="eastAsia"/>
                      <w:kern w:val="0"/>
                      <w:szCs w:val="21"/>
                      <w:lang w:val="en-US" w:eastAsia="zh-CN"/>
                    </w:rPr>
                  </w:pPr>
                  <w:r>
                    <w:rPr>
                      <w:rFonts w:hint="eastAsia"/>
                      <w:kern w:val="0"/>
                      <w:szCs w:val="21"/>
                      <w:lang w:val="en-US" w:eastAsia="zh-CN"/>
                    </w:rPr>
                    <w:t>厂界西</w:t>
                  </w:r>
                </w:p>
              </w:tc>
              <w:tc>
                <w:tcPr>
                  <w:tcW w:w="1682" w:type="dxa"/>
                  <w:shd w:val="clear" w:color="auto" w:fill="auto"/>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4</w:t>
                  </w:r>
                  <w:r>
                    <w:rPr>
                      <w:rFonts w:hint="eastAsia"/>
                      <w:kern w:val="0"/>
                      <w:szCs w:val="21"/>
                    </w:rPr>
                    <w:t>类</w:t>
                  </w:r>
                </w:p>
              </w:tc>
              <w:tc>
                <w:tcPr>
                  <w:tcW w:w="1443" w:type="dxa"/>
                  <w:shd w:val="clear" w:color="auto" w:fill="auto"/>
                  <w:vAlign w:val="center"/>
                </w:tcPr>
                <w:p>
                  <w:pPr>
                    <w:adjustRightInd w:val="0"/>
                    <w:snapToGrid w:val="0"/>
                    <w:jc w:val="center"/>
                    <w:rPr>
                      <w:rFonts w:hint="default" w:ascii="Times New Roman" w:hAnsi="Times New Roman" w:eastAsia="宋体" w:cs="Times New Roman"/>
                      <w:kern w:val="0"/>
                      <w:sz w:val="21"/>
                      <w:szCs w:val="21"/>
                      <w:lang w:val="en-US" w:eastAsia="zh-CN" w:bidi="ar-SA"/>
                    </w:rPr>
                  </w:pPr>
                  <w:r>
                    <w:rPr>
                      <w:rFonts w:hint="eastAsia"/>
                      <w:kern w:val="0"/>
                      <w:szCs w:val="21"/>
                      <w:lang w:val="en-US" w:eastAsia="zh-CN"/>
                    </w:rPr>
                    <w:t>70</w:t>
                  </w:r>
                </w:p>
              </w:tc>
              <w:tc>
                <w:tcPr>
                  <w:tcW w:w="1443" w:type="dxa"/>
                  <w:shd w:val="clear" w:color="auto" w:fill="auto"/>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rPr>
                      <w:rFonts w:hint="eastAsia"/>
                      <w:kern w:val="0"/>
                      <w:szCs w:val="21"/>
                      <w:lang w:val="en-US" w:eastAsia="zh-CN"/>
                    </w:rPr>
                    <w:t>55</w:t>
                  </w:r>
                </w:p>
              </w:tc>
            </w:tr>
          </w:tbl>
          <w:p>
            <w:pPr>
              <w:pStyle w:val="29"/>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firstLine="0" w:firstLineChars="0"/>
              <w:textAlignment w:val="auto"/>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注：频发噪声的最大声级超过限值的幅度不得高于10dB（A）。偶发噪声的最大声级超过限值的幅度不得高于15dB（A）。</w:t>
            </w:r>
          </w:p>
          <w:p>
            <w:pPr>
              <w:keepNext w:val="0"/>
              <w:keepLines w:val="0"/>
              <w:pageBreakBefore w:val="0"/>
              <w:widowControl w:val="0"/>
              <w:tabs>
                <w:tab w:val="left" w:pos="5142"/>
              </w:tabs>
              <w:kinsoku/>
              <w:wordWrap/>
              <w:overflowPunct/>
              <w:topLinePunct w:val="0"/>
              <w:autoSpaceDE/>
              <w:autoSpaceDN/>
              <w:bidi w:val="0"/>
              <w:adjustRightInd w:val="0"/>
              <w:snapToGrid w:val="0"/>
              <w:spacing w:line="360" w:lineRule="auto"/>
              <w:ind w:right="0" w:firstLine="482" w:firstLineChars="200"/>
              <w:textAlignment w:val="auto"/>
              <w:rPr>
                <w:b/>
                <w:sz w:val="24"/>
                <w:szCs w:val="24"/>
              </w:rPr>
            </w:pPr>
            <w:r>
              <w:rPr>
                <w:rFonts w:hint="eastAsia"/>
                <w:b/>
                <w:sz w:val="24"/>
                <w:szCs w:val="24"/>
                <w:lang w:eastAsia="zh-CN"/>
              </w:rPr>
              <w:t>（</w:t>
            </w:r>
            <w:r>
              <w:rPr>
                <w:rFonts w:hint="eastAsia"/>
                <w:b/>
                <w:sz w:val="24"/>
                <w:szCs w:val="24"/>
                <w:lang w:val="en-US" w:eastAsia="zh-CN"/>
              </w:rPr>
              <w:t>四</w:t>
            </w:r>
            <w:r>
              <w:rPr>
                <w:rFonts w:hint="eastAsia"/>
                <w:b/>
                <w:sz w:val="24"/>
                <w:szCs w:val="24"/>
                <w:lang w:eastAsia="zh-CN"/>
              </w:rPr>
              <w:t>）</w:t>
            </w:r>
            <w:r>
              <w:rPr>
                <w:b/>
                <w:sz w:val="24"/>
                <w:szCs w:val="24"/>
              </w:rPr>
              <w:t>固废</w:t>
            </w:r>
            <w:r>
              <w:rPr>
                <w:rFonts w:hint="eastAsia"/>
                <w:b/>
                <w:sz w:val="24"/>
                <w:szCs w:val="24"/>
              </w:rPr>
              <w:t>贮存控制</w:t>
            </w:r>
            <w:r>
              <w:rPr>
                <w:b/>
                <w:sz w:val="24"/>
                <w:szCs w:val="24"/>
              </w:rPr>
              <w:t>标准</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sz w:val="24"/>
                <w:szCs w:val="24"/>
              </w:rPr>
            </w:pPr>
            <w:r>
              <w:rPr>
                <w:rFonts w:hint="eastAsia"/>
                <w:sz w:val="24"/>
                <w:szCs w:val="24"/>
              </w:rPr>
              <w:t>一般固废的暂存执行《一般工业固体废物贮存和填埋污染控制标准》（GB 18599-2020）</w:t>
            </w:r>
            <w:r>
              <w:rPr>
                <w:sz w:val="24"/>
                <w:szCs w:val="32"/>
              </w:rPr>
              <w:t>及《关于发</w:t>
            </w:r>
            <w:r>
              <w:rPr>
                <w:rFonts w:hint="eastAsia"/>
                <w:sz w:val="24"/>
                <w:szCs w:val="32"/>
              </w:rPr>
              <w:t>布</w:t>
            </w:r>
            <w:r>
              <w:rPr>
                <w:sz w:val="24"/>
                <w:szCs w:val="32"/>
              </w:rPr>
              <w:t>&lt;一般工业固体废物贮存、处置场污染控制标准&gt;（GB18599-2020）等三项固体废物污染物控制标准的公告》（2020年第65号公告）中的相关规定</w:t>
            </w:r>
            <w:r>
              <w:rPr>
                <w:rFonts w:hint="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sz w:val="24"/>
                <w:szCs w:val="32"/>
              </w:rPr>
            </w:pPr>
            <w:r>
              <w:rPr>
                <w:rFonts w:hint="eastAsia"/>
                <w:sz w:val="24"/>
                <w:szCs w:val="32"/>
              </w:rPr>
              <w:t xml:space="preserve"> </w:t>
            </w:r>
            <w:r>
              <w:rPr>
                <w:sz w:val="24"/>
                <w:szCs w:val="32"/>
              </w:rPr>
              <w:t>危险废物在厂内储放执行《危险废物贮存污染控制标准》（</w:t>
            </w:r>
            <w:r>
              <w:rPr>
                <w:rFonts w:hint="eastAsia"/>
                <w:sz w:val="24"/>
                <w:szCs w:val="32"/>
              </w:rPr>
              <w:t>GB18597-2023</w:t>
            </w:r>
            <w:r>
              <w:rPr>
                <w:sz w:val="24"/>
                <w:szCs w:val="32"/>
              </w:rPr>
              <w:t>）、《危险废物收集储存运输技术规范》（HJ2025-2012）、《关于进一步加强危险废物环境管理工作的通知》（苏环办〔2021〕207号）</w:t>
            </w:r>
            <w:r>
              <w:rPr>
                <w:rFonts w:hint="eastAsia"/>
                <w:sz w:val="24"/>
                <w:szCs w:val="32"/>
              </w:rPr>
              <w:t>、《江苏省固体废物全过程环境监管工作意见》（苏环办〔2024〕16号）</w:t>
            </w:r>
            <w:r>
              <w:rPr>
                <w:sz w:val="24"/>
                <w:szCs w:val="32"/>
              </w:rPr>
              <w:t>中相关规定要求进行危险废物的包装、贮存设施的选址、设计、运行、安全防护、监测和关闭等要求进行合理的贮存。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auto"/>
              <w:rPr>
                <w:rFonts w:hint="eastAsia" w:ascii="Times New Roman" w:hAnsi="Times New Roman" w:eastAsia="宋体" w:cs="Times New Roman"/>
                <w:kern w:val="2"/>
                <w:sz w:val="21"/>
                <w:szCs w:val="21"/>
                <w:lang w:val="en-US" w:eastAsia="zh-CN" w:bidi="ar-SA"/>
              </w:rPr>
            </w:pPr>
            <w:r>
              <w:rPr>
                <w:rFonts w:hint="eastAsia"/>
                <w:sz w:val="24"/>
                <w:szCs w:val="32"/>
              </w:rPr>
              <w:t>生活垃圾参照执行《城市生活垃圾处理及污染防治技术政策》（建城〔2000〕120号） 和《生活垃圾处理技术指南》（建城〔2010〕61号）以及国家、省市关于固体废物污染环境防治的法律法规</w:t>
            </w:r>
            <w:r>
              <w:rPr>
                <w:rFonts w:hint="eastAsia"/>
                <w:sz w:val="24"/>
                <w:szCs w:val="32"/>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457" w:type="dxa"/>
            <w:vAlign w:val="center"/>
          </w:tcPr>
          <w:p>
            <w:pPr>
              <w:keepNext w:val="0"/>
              <w:keepLines w:val="0"/>
              <w:pageBreakBefore w:val="0"/>
              <w:kinsoku/>
              <w:wordWrap/>
              <w:overflowPunct/>
              <w:topLinePunct w:val="0"/>
              <w:bidi w:val="0"/>
              <w:adjustRightInd w:val="0"/>
              <w:snapToGrid w:val="0"/>
              <w:ind w:right="0"/>
              <w:jc w:val="center"/>
              <w:rPr>
                <w:rFonts w:ascii="宋体" w:hAnsi="宋体" w:cs="宋体"/>
                <w:kern w:val="0"/>
                <w:szCs w:val="21"/>
              </w:rPr>
            </w:pPr>
            <w:r>
              <w:rPr>
                <w:rFonts w:hint="eastAsia" w:ascii="宋体" w:hAnsi="宋体" w:cs="宋体"/>
                <w:kern w:val="0"/>
                <w:szCs w:val="21"/>
              </w:rPr>
              <w:t>总量</w:t>
            </w:r>
          </w:p>
          <w:p>
            <w:pPr>
              <w:keepNext w:val="0"/>
              <w:keepLines w:val="0"/>
              <w:pageBreakBefore w:val="0"/>
              <w:kinsoku/>
              <w:wordWrap/>
              <w:overflowPunct/>
              <w:topLinePunct w:val="0"/>
              <w:bidi w:val="0"/>
              <w:adjustRightInd w:val="0"/>
              <w:snapToGrid w:val="0"/>
              <w:ind w:right="0"/>
              <w:jc w:val="center"/>
              <w:rPr>
                <w:rFonts w:ascii="宋体" w:hAnsi="宋体" w:cs="宋体"/>
                <w:kern w:val="0"/>
                <w:szCs w:val="21"/>
              </w:rPr>
            </w:pPr>
            <w:r>
              <w:rPr>
                <w:rFonts w:hint="eastAsia" w:ascii="宋体" w:hAnsi="宋体" w:cs="宋体"/>
                <w:kern w:val="0"/>
                <w:szCs w:val="21"/>
              </w:rPr>
              <w:t>控制</w:t>
            </w:r>
          </w:p>
          <w:p>
            <w:pPr>
              <w:keepNext w:val="0"/>
              <w:keepLines w:val="0"/>
              <w:pageBreakBefore w:val="0"/>
              <w:kinsoku/>
              <w:wordWrap/>
              <w:overflowPunct/>
              <w:topLinePunct w:val="0"/>
              <w:bidi w:val="0"/>
              <w:adjustRightInd w:val="0"/>
              <w:snapToGrid w:val="0"/>
              <w:ind w:right="0"/>
              <w:jc w:val="center"/>
              <w:rPr>
                <w:rFonts w:ascii="宋体" w:hAnsi="宋体" w:cs="宋体"/>
                <w:kern w:val="0"/>
                <w:szCs w:val="21"/>
              </w:rPr>
            </w:pPr>
            <w:r>
              <w:rPr>
                <w:rFonts w:hint="eastAsia" w:ascii="宋体" w:hAnsi="宋体" w:cs="宋体"/>
                <w:kern w:val="0"/>
                <w:szCs w:val="21"/>
              </w:rPr>
              <w:t>指标</w:t>
            </w:r>
          </w:p>
        </w:tc>
        <w:tc>
          <w:tcPr>
            <w:tcW w:w="8604" w:type="dxa"/>
          </w:tcPr>
          <w:p>
            <w:pPr>
              <w:keepNext w:val="0"/>
              <w:keepLines w:val="0"/>
              <w:pageBreakBefore w:val="0"/>
              <w:kinsoku/>
              <w:wordWrap/>
              <w:overflowPunct/>
              <w:topLinePunct w:val="0"/>
              <w:bidi w:val="0"/>
              <w:adjustRightInd w:val="0"/>
              <w:snapToGrid w:val="0"/>
              <w:spacing w:line="360" w:lineRule="auto"/>
              <w:ind w:right="0" w:firstLine="480" w:firstLineChars="200"/>
              <w:rPr>
                <w:sz w:val="24"/>
                <w:szCs w:val="32"/>
              </w:rPr>
            </w:pPr>
            <w:r>
              <w:rPr>
                <w:sz w:val="24"/>
                <w:szCs w:val="32"/>
              </w:rPr>
              <w:t>建设项目污染物排放总量控制（考核）指标见下表。</w:t>
            </w:r>
          </w:p>
          <w:p>
            <w:pPr>
              <w:keepNext w:val="0"/>
              <w:keepLines w:val="0"/>
              <w:pageBreakBefore w:val="0"/>
              <w:kinsoku/>
              <w:wordWrap/>
              <w:overflowPunct/>
              <w:topLinePunct w:val="0"/>
              <w:bidi w:val="0"/>
              <w:adjustRightInd w:val="0"/>
              <w:snapToGrid w:val="0"/>
              <w:spacing w:line="360" w:lineRule="auto"/>
              <w:ind w:right="0"/>
              <w:jc w:val="center"/>
              <w:rPr>
                <w:rFonts w:hint="eastAsia"/>
                <w:sz w:val="24"/>
                <w:szCs w:val="32"/>
              </w:rPr>
            </w:pPr>
            <w:r>
              <w:rPr>
                <w:b/>
                <w:bCs/>
                <w:sz w:val="24"/>
                <w:szCs w:val="32"/>
              </w:rPr>
              <w:t>表3-</w:t>
            </w:r>
            <w:r>
              <w:rPr>
                <w:rFonts w:hint="eastAsia"/>
                <w:b/>
                <w:bCs/>
                <w:sz w:val="24"/>
                <w:szCs w:val="32"/>
                <w:lang w:val="en-US" w:eastAsia="zh-CN"/>
              </w:rPr>
              <w:t>7</w:t>
            </w:r>
            <w:r>
              <w:rPr>
                <w:b/>
                <w:bCs/>
                <w:sz w:val="24"/>
                <w:szCs w:val="32"/>
              </w:rPr>
              <w:t xml:space="preserve">  </w:t>
            </w:r>
            <w:r>
              <w:rPr>
                <w:rFonts w:hint="eastAsia"/>
                <w:b/>
                <w:bCs/>
                <w:sz w:val="24"/>
                <w:szCs w:val="32"/>
                <w:lang w:val="en-US" w:eastAsia="zh-CN"/>
              </w:rPr>
              <w:t>迁建后</w:t>
            </w:r>
            <w:r>
              <w:rPr>
                <w:b/>
                <w:bCs/>
                <w:sz w:val="24"/>
                <w:szCs w:val="32"/>
              </w:rPr>
              <w:t>污染物排放总量控制（考核）指标   单位：t/a</w:t>
            </w:r>
          </w:p>
          <w:tbl>
            <w:tblPr>
              <w:tblStyle w:val="30"/>
              <w:tblW w:w="838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94"/>
              <w:gridCol w:w="804"/>
              <w:gridCol w:w="928"/>
              <w:gridCol w:w="683"/>
              <w:gridCol w:w="772"/>
              <w:gridCol w:w="695"/>
              <w:gridCol w:w="1009"/>
              <w:gridCol w:w="1137"/>
              <w:gridCol w:w="820"/>
              <w:gridCol w:w="9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b/>
                      <w:bCs/>
                      <w:szCs w:val="21"/>
                    </w:rPr>
                    <w:t>类别</w:t>
                  </w:r>
                </w:p>
              </w:tc>
              <w:tc>
                <w:tcPr>
                  <w:tcW w:w="804"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rFonts w:hint="eastAsia"/>
                      <w:b/>
                      <w:bCs/>
                      <w:szCs w:val="21"/>
                    </w:rPr>
                    <w:t>污染物</w:t>
                  </w:r>
                  <w:r>
                    <w:rPr>
                      <w:b/>
                      <w:bCs/>
                      <w:szCs w:val="21"/>
                    </w:rPr>
                    <w:t>名称</w:t>
                  </w:r>
                </w:p>
              </w:tc>
              <w:tc>
                <w:tcPr>
                  <w:tcW w:w="928"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rFonts w:hint="eastAsia"/>
                      <w:b/>
                      <w:bCs/>
                      <w:szCs w:val="21"/>
                      <w:lang w:val="en-US" w:eastAsia="zh-CN"/>
                    </w:rPr>
                    <w:t>现有</w:t>
                  </w:r>
                  <w:r>
                    <w:rPr>
                      <w:rFonts w:hint="eastAsia"/>
                      <w:b/>
                      <w:bCs/>
                      <w:szCs w:val="21"/>
                    </w:rPr>
                    <w:t>环评</w:t>
                  </w:r>
                  <w:r>
                    <w:rPr>
                      <w:rFonts w:hint="eastAsia"/>
                      <w:b/>
                      <w:bCs/>
                      <w:szCs w:val="21"/>
                      <w:lang w:val="en-US" w:eastAsia="zh-CN"/>
                    </w:rPr>
                    <w:t>批复</w:t>
                  </w:r>
                  <w:r>
                    <w:rPr>
                      <w:rFonts w:hint="eastAsia"/>
                      <w:b/>
                      <w:bCs/>
                      <w:szCs w:val="21"/>
                    </w:rPr>
                    <w:t>量</w:t>
                  </w:r>
                </w:p>
              </w:tc>
              <w:tc>
                <w:tcPr>
                  <w:tcW w:w="2150" w:type="dxa"/>
                  <w:gridSpan w:val="3"/>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rFonts w:hint="eastAsia"/>
                      <w:b/>
                      <w:bCs/>
                      <w:szCs w:val="21"/>
                    </w:rPr>
                    <w:t>本</w:t>
                  </w:r>
                  <w:r>
                    <w:rPr>
                      <w:b/>
                      <w:bCs/>
                      <w:szCs w:val="21"/>
                    </w:rPr>
                    <w:t>项目</w:t>
                  </w:r>
                </w:p>
              </w:tc>
              <w:tc>
                <w:tcPr>
                  <w:tcW w:w="1009"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b/>
                      <w:bCs/>
                      <w:szCs w:val="21"/>
                    </w:rPr>
                    <w:t>“以新带老”削减量</w:t>
                  </w:r>
                </w:p>
              </w:tc>
              <w:tc>
                <w:tcPr>
                  <w:tcW w:w="1137"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rFonts w:hint="eastAsia"/>
                      <w:b/>
                      <w:bCs/>
                      <w:szCs w:val="21"/>
                      <w:lang w:val="en-US" w:eastAsia="zh-CN"/>
                    </w:rPr>
                    <w:t>迁</w:t>
                  </w:r>
                  <w:r>
                    <w:rPr>
                      <w:rFonts w:hint="eastAsia"/>
                      <w:b/>
                      <w:bCs/>
                      <w:szCs w:val="21"/>
                    </w:rPr>
                    <w:t>建</w:t>
                  </w:r>
                  <w:r>
                    <w:rPr>
                      <w:b/>
                      <w:bCs/>
                      <w:szCs w:val="21"/>
                    </w:rPr>
                    <w:t>后全厂排放量</w:t>
                  </w:r>
                </w:p>
              </w:tc>
              <w:tc>
                <w:tcPr>
                  <w:tcW w:w="820"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rFonts w:hint="eastAsia"/>
                      <w:b/>
                      <w:bCs/>
                      <w:szCs w:val="21"/>
                    </w:rPr>
                    <w:t>排放增减量</w:t>
                  </w:r>
                </w:p>
              </w:tc>
              <w:tc>
                <w:tcPr>
                  <w:tcW w:w="946"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rFonts w:hint="eastAsia"/>
                      <w:b/>
                      <w:bCs/>
                      <w:szCs w:val="21"/>
                    </w:rPr>
                    <w:t>排入外环境量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928"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683"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b/>
                      <w:bCs/>
                      <w:szCs w:val="21"/>
                    </w:rPr>
                    <w:t>产生量</w:t>
                  </w:r>
                </w:p>
              </w:tc>
              <w:tc>
                <w:tcPr>
                  <w:tcW w:w="772"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b/>
                      <w:bCs/>
                      <w:szCs w:val="21"/>
                    </w:rPr>
                    <w:t>削减量</w:t>
                  </w:r>
                </w:p>
              </w:tc>
              <w:tc>
                <w:tcPr>
                  <w:tcW w:w="695"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
                      <w:bCs/>
                      <w:szCs w:val="21"/>
                    </w:rPr>
                  </w:pPr>
                  <w:r>
                    <w:rPr>
                      <w:b/>
                      <w:bCs/>
                      <w:szCs w:val="21"/>
                    </w:rPr>
                    <w:t>排放量</w:t>
                  </w:r>
                </w:p>
              </w:tc>
              <w:tc>
                <w:tcPr>
                  <w:tcW w:w="1009"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1137"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20"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946"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有组织废气</w:t>
                  </w:r>
                </w:p>
              </w:tc>
              <w:tc>
                <w:tcPr>
                  <w:tcW w:w="804"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hint="eastAsia" w:ascii="Times New Roman" w:hAnsi="Times New Roman" w:eastAsia="宋体" w:cs="Times New Roman"/>
                      <w:bCs/>
                      <w:kern w:val="2"/>
                      <w:sz w:val="21"/>
                      <w:szCs w:val="21"/>
                      <w:lang w:val="en-US" w:eastAsia="zh-CN" w:bidi="ar-SA"/>
                    </w:rPr>
                  </w:pPr>
                  <w:r>
                    <w:rPr>
                      <w:rFonts w:hint="eastAsia"/>
                      <w:bCs/>
                      <w:szCs w:val="21"/>
                      <w:lang w:eastAsia="zh-CN"/>
                    </w:rPr>
                    <w:t>非甲烷总烃</w:t>
                  </w:r>
                </w:p>
              </w:tc>
              <w:tc>
                <w:tcPr>
                  <w:tcW w:w="928" w:type="dxa"/>
                  <w:tcBorders>
                    <w:tl2br w:val="nil"/>
                    <w:tr2bl w:val="nil"/>
                  </w:tcBorders>
                  <w:shd w:val="clear" w:color="auto" w:fill="auto"/>
                  <w:vAlign w:val="center"/>
                </w:tcPr>
                <w:p>
                  <w:pPr>
                    <w:keepNext w:val="0"/>
                    <w:keepLines w:val="0"/>
                    <w:pageBreakBefore w:val="0"/>
                    <w:widowControl/>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0.005</w:t>
                  </w:r>
                </w:p>
              </w:tc>
              <w:tc>
                <w:tcPr>
                  <w:tcW w:w="683"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hAnsi="Times New Roman" w:eastAsia="宋体" w:cs="Times New Roman"/>
                      <w:snapToGrid w:val="0"/>
                      <w:color w:val="000000"/>
                      <w:kern w:val="21"/>
                      <w:sz w:val="21"/>
                      <w:szCs w:val="21"/>
                      <w:lang w:val="en-US" w:eastAsia="zh-CN" w:bidi="ar-SA"/>
                    </w:rPr>
                    <w:t>/</w:t>
                  </w:r>
                </w:p>
              </w:tc>
              <w:tc>
                <w:tcPr>
                  <w:tcW w:w="772"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tc>
              <w:tc>
                <w:tcPr>
                  <w:tcW w:w="695"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w:t>
                  </w:r>
                </w:p>
              </w:tc>
              <w:tc>
                <w:tcPr>
                  <w:tcW w:w="1009" w:type="dxa"/>
                  <w:tcBorders>
                    <w:tl2br w:val="nil"/>
                    <w:tr2bl w:val="nil"/>
                  </w:tcBorders>
                  <w:shd w:val="clear" w:color="auto" w:fill="auto"/>
                  <w:vAlign w:val="center"/>
                </w:tcPr>
                <w:p>
                  <w:pPr>
                    <w:keepNext w:val="0"/>
                    <w:keepLines w:val="0"/>
                    <w:pageBreakBefore w:val="0"/>
                    <w:widowControl/>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0.005</w:t>
                  </w:r>
                </w:p>
              </w:tc>
              <w:tc>
                <w:tcPr>
                  <w:tcW w:w="1137"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bCs/>
                      <w:kern w:val="2"/>
                      <w:sz w:val="21"/>
                      <w:szCs w:val="21"/>
                      <w:lang w:val="en-US" w:eastAsia="zh-CN" w:bidi="ar-SA"/>
                    </w:rPr>
                  </w:pPr>
                  <w:r>
                    <w:rPr>
                      <w:rFonts w:hint="eastAsia" w:eastAsia="宋体" w:cs="Times New Roman"/>
                      <w:bCs/>
                      <w:kern w:val="2"/>
                      <w:sz w:val="21"/>
                      <w:szCs w:val="21"/>
                      <w:lang w:val="en-US" w:eastAsia="zh-CN" w:bidi="ar-SA"/>
                    </w:rPr>
                    <w:t>0</w:t>
                  </w:r>
                </w:p>
              </w:tc>
              <w:tc>
                <w:tcPr>
                  <w:tcW w:w="820" w:type="dxa"/>
                  <w:tcBorders>
                    <w:tl2br w:val="nil"/>
                    <w:tr2bl w:val="nil"/>
                  </w:tcBorders>
                  <w:shd w:val="clear" w:color="auto" w:fill="auto"/>
                  <w:vAlign w:val="center"/>
                </w:tcPr>
                <w:p>
                  <w:pPr>
                    <w:keepNext w:val="0"/>
                    <w:keepLines w:val="0"/>
                    <w:pageBreakBefore w:val="0"/>
                    <w:kinsoku/>
                    <w:wordWrap/>
                    <w:overflowPunct/>
                    <w:topLinePunct w:val="0"/>
                    <w:bidi w:val="0"/>
                    <w:adjustRightInd w:val="0"/>
                    <w:snapToGrid w:val="0"/>
                    <w:ind w:right="0"/>
                    <w:jc w:val="center"/>
                    <w:rPr>
                      <w:rFonts w:hint="default" w:ascii="Times New Roman" w:hAnsi="Times New Roman" w:eastAsia="宋体" w:cs="Times New Roman"/>
                      <w:color w:val="000000"/>
                      <w:kern w:val="0"/>
                      <w:sz w:val="21"/>
                      <w:szCs w:val="21"/>
                      <w:lang w:val="en-US" w:eastAsia="zh-CN" w:bidi="ar-SA"/>
                    </w:rPr>
                  </w:pPr>
                  <w:r>
                    <w:rPr>
                      <w:rFonts w:hint="eastAsia" w:ascii="Times New Roman" w:hAnsi="Times New Roman" w:eastAsia="宋体" w:cs="Times New Roman"/>
                      <w:color w:val="000000"/>
                      <w:kern w:val="0"/>
                      <w:sz w:val="21"/>
                      <w:szCs w:val="21"/>
                      <w:lang w:val="en-US" w:eastAsia="zh-CN" w:bidi="ar-SA"/>
                    </w:rPr>
                    <w:t>-0.005</w:t>
                  </w:r>
                </w:p>
              </w:tc>
              <w:tc>
                <w:tcPr>
                  <w:tcW w:w="946"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bCs/>
                      <w:kern w:val="2"/>
                      <w:sz w:val="21"/>
                      <w:szCs w:val="21"/>
                      <w:lang w:val="en-US" w:eastAsia="zh-CN" w:bidi="ar-SA"/>
                    </w:rPr>
                  </w:pPr>
                  <w:r>
                    <w:rPr>
                      <w:rFonts w:hint="eastAsia" w:eastAsia="宋体" w:cs="Times New Roman"/>
                      <w:bCs/>
                      <w:kern w:val="2"/>
                      <w:sz w:val="21"/>
                      <w:szCs w:val="21"/>
                      <w:lang w:val="en-US" w:eastAsia="zh-CN" w:bidi="ar-SA"/>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746" w:hRule="atLeast"/>
                <w:jc w:val="center"/>
              </w:trPr>
              <w:tc>
                <w:tcPr>
                  <w:tcW w:w="59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无组织废气</w:t>
                  </w: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ascii="Times New Roman" w:hAnsi="Times New Roman" w:eastAsia="宋体" w:cs="Times New Roman"/>
                      <w:bCs/>
                      <w:kern w:val="2"/>
                      <w:sz w:val="21"/>
                      <w:szCs w:val="21"/>
                      <w:lang w:val="en-US" w:eastAsia="zh-CN" w:bidi="ar-SA"/>
                    </w:rPr>
                  </w:pPr>
                  <w:r>
                    <w:rPr>
                      <w:rFonts w:hint="eastAsia"/>
                      <w:bCs/>
                      <w:szCs w:val="21"/>
                      <w:lang w:eastAsia="zh-CN"/>
                    </w:rPr>
                    <w:t>非甲烷总烃</w:t>
                  </w:r>
                </w:p>
              </w:tc>
              <w:tc>
                <w:tcPr>
                  <w:tcW w:w="928" w:type="dxa"/>
                  <w:tcBorders>
                    <w:tl2br w:val="nil"/>
                    <w:tr2bl w:val="nil"/>
                  </w:tcBorders>
                  <w:vAlign w:val="center"/>
                </w:tcPr>
                <w:p>
                  <w:pPr>
                    <w:keepNext w:val="0"/>
                    <w:keepLines w:val="0"/>
                    <w:pageBreakBefore w:val="0"/>
                    <w:widowControl/>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0.007</w:t>
                  </w:r>
                </w:p>
              </w:tc>
              <w:tc>
                <w:tcPr>
                  <w:tcW w:w="683"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snapToGrid w:val="0"/>
                      <w:color w:val="000000"/>
                      <w:kern w:val="21"/>
                      <w:sz w:val="21"/>
                      <w:szCs w:val="21"/>
                      <w:lang w:val="en-US" w:eastAsia="zh-CN" w:bidi="ar-SA"/>
                    </w:rPr>
                  </w:pPr>
                  <w:r>
                    <w:rPr>
                      <w:rFonts w:hint="eastAsia" w:cs="Times New Roman"/>
                      <w:lang w:val="en-US" w:eastAsia="zh-CN"/>
                    </w:rPr>
                    <w:t>0.003</w:t>
                  </w:r>
                </w:p>
              </w:tc>
              <w:tc>
                <w:tcPr>
                  <w:tcW w:w="772"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w:t>
                  </w:r>
                </w:p>
              </w:tc>
              <w:tc>
                <w:tcPr>
                  <w:tcW w:w="695"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cs="Times New Roman"/>
                      <w:lang w:val="en-US" w:eastAsia="zh-CN"/>
                    </w:rPr>
                    <w:t>0.003</w:t>
                  </w:r>
                </w:p>
              </w:tc>
              <w:tc>
                <w:tcPr>
                  <w:tcW w:w="1009" w:type="dxa"/>
                  <w:tcBorders>
                    <w:tl2br w:val="nil"/>
                    <w:tr2bl w:val="nil"/>
                  </w:tcBorders>
                  <w:shd w:val="clear" w:color="auto" w:fill="auto"/>
                  <w:vAlign w:val="center"/>
                </w:tcPr>
                <w:p>
                  <w:pPr>
                    <w:keepNext w:val="0"/>
                    <w:keepLines w:val="0"/>
                    <w:pageBreakBefore w:val="0"/>
                    <w:widowControl/>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0.007</w:t>
                  </w:r>
                </w:p>
              </w:tc>
              <w:tc>
                <w:tcPr>
                  <w:tcW w:w="1137"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eastAsia="宋体"/>
                      <w:szCs w:val="21"/>
                      <w:lang w:val="en-US" w:eastAsia="zh-CN"/>
                    </w:rPr>
                  </w:pPr>
                  <w:r>
                    <w:rPr>
                      <w:rFonts w:hint="eastAsia" w:cs="Times New Roman"/>
                      <w:lang w:val="en-US" w:eastAsia="zh-CN"/>
                    </w:rPr>
                    <w:t>0.003</w:t>
                  </w:r>
                </w:p>
              </w:tc>
              <w:tc>
                <w:tcPr>
                  <w:tcW w:w="820"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eastAsia="宋体"/>
                      <w:szCs w:val="21"/>
                      <w:lang w:val="en-US" w:eastAsia="zh-CN"/>
                    </w:rPr>
                  </w:pPr>
                  <w:r>
                    <w:rPr>
                      <w:rFonts w:hint="eastAsia"/>
                      <w:szCs w:val="21"/>
                      <w:lang w:val="en-US" w:eastAsia="zh-CN"/>
                    </w:rPr>
                    <w:t>-0.004</w:t>
                  </w:r>
                </w:p>
              </w:tc>
              <w:tc>
                <w:tcPr>
                  <w:tcW w:w="946"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eastAsia="宋体"/>
                      <w:szCs w:val="21"/>
                      <w:lang w:val="en-US" w:eastAsia="zh-CN"/>
                    </w:rPr>
                  </w:pPr>
                  <w:r>
                    <w:rPr>
                      <w:rFonts w:hint="eastAsia" w:cs="Times New Roman"/>
                      <w:lang w:val="en-US" w:eastAsia="zh-CN"/>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eastAsia" w:eastAsia="宋体"/>
                      <w:szCs w:val="21"/>
                      <w:lang w:eastAsia="zh-CN"/>
                    </w:rPr>
                  </w:pPr>
                  <w:r>
                    <w:rPr>
                      <w:rFonts w:hint="eastAsia"/>
                      <w:szCs w:val="21"/>
                      <w:lang w:eastAsia="zh-CN"/>
                    </w:rPr>
                    <w:t>废水</w:t>
                  </w: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lang w:val="en-US" w:eastAsia="zh-CN"/>
                    </w:rPr>
                    <w:t>废水量</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eastAsia="宋体"/>
                      <w:szCs w:val="21"/>
                      <w:lang w:val="en-US" w:eastAsia="zh-CN"/>
                    </w:rPr>
                  </w:pPr>
                  <w:r>
                    <w:rPr>
                      <w:rFonts w:hint="eastAsia"/>
                      <w:szCs w:val="21"/>
                      <w:lang w:val="en-US" w:eastAsia="zh-CN"/>
                    </w:rPr>
                    <w:t>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7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69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宋体" w:eastAsia="宋体" w:cs="宋体"/>
                      <w:snapToGrid w:val="0"/>
                      <w:color w:val="000000"/>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1009" w:type="dxa"/>
                  <w:tcBorders>
                    <w:tl2br w:val="nil"/>
                    <w:tr2bl w:val="nil"/>
                  </w:tcBorders>
                  <w:vAlign w:val="center"/>
                </w:tcPr>
                <w:p>
                  <w:pPr>
                    <w:keepNext w:val="0"/>
                    <w:keepLines w:val="0"/>
                    <w:pageBreakBefore w:val="0"/>
                    <w:kinsoku/>
                    <w:wordWrap/>
                    <w:overflowPunct/>
                    <w:topLinePunct w:val="0"/>
                    <w:bidi w:val="0"/>
                    <w:adjustRightInd w:val="0"/>
                    <w:snapToGrid w:val="0"/>
                    <w:ind w:right="0"/>
                    <w:jc w:val="center"/>
                    <w:rPr>
                      <w:rFonts w:hint="eastAsia" w:eastAsia="宋体"/>
                      <w:szCs w:val="21"/>
                      <w:lang w:val="en-US" w:eastAsia="zh-CN"/>
                    </w:rPr>
                  </w:pPr>
                  <w:r>
                    <w:rPr>
                      <w:rFonts w:hint="eastAsia" w:cs="Times New Roman"/>
                      <w:kern w:val="2"/>
                      <w:sz w:val="21"/>
                      <w:szCs w:val="21"/>
                      <w:lang w:val="en-US" w:eastAsia="zh-CN" w:bidi="ar-SA"/>
                    </w:rPr>
                    <w:t>/</w:t>
                  </w:r>
                </w:p>
              </w:tc>
              <w:tc>
                <w:tcPr>
                  <w:tcW w:w="1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宋体" w:eastAsia="宋体" w:cs="宋体"/>
                      <w:snapToGrid w:val="0"/>
                      <w:color w:val="000000"/>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w:t>
                  </w:r>
                </w:p>
              </w:tc>
              <w:tc>
                <w:tcPr>
                  <w:tcW w:w="8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宋体" w:eastAsia="宋体" w:cs="宋体"/>
                      <w:snapToGrid w:val="0"/>
                      <w:color w:val="000000"/>
                      <w:kern w:val="21"/>
                      <w:sz w:val="21"/>
                      <w:szCs w:val="21"/>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240</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宋体" w:eastAsia="宋体" w:cs="宋体"/>
                      <w:snapToGrid w:val="0"/>
                      <w:color w:val="000000"/>
                      <w:kern w:val="21"/>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COD</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bCs/>
                      <w:kern w:val="2"/>
                      <w:sz w:val="21"/>
                      <w:szCs w:val="21"/>
                      <w:lang w:val="en-US" w:eastAsia="zh-CN" w:bidi="ar-SA"/>
                    </w:rPr>
                  </w:pPr>
                  <w:r>
                    <w:rPr>
                      <w:rFonts w:hint="eastAsia"/>
                      <w:szCs w:val="21"/>
                    </w:rPr>
                    <w:t>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0.082 </w:t>
                  </w:r>
                </w:p>
              </w:tc>
              <w:tc>
                <w:tcPr>
                  <w:tcW w:w="7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0.033 </w:t>
                  </w:r>
                </w:p>
              </w:tc>
              <w:tc>
                <w:tcPr>
                  <w:tcW w:w="6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0.049 </w:t>
                  </w:r>
                </w:p>
              </w:tc>
              <w:tc>
                <w:tcPr>
                  <w:tcW w:w="1009" w:type="dxa"/>
                  <w:tcBorders>
                    <w:tl2br w:val="nil"/>
                    <w:tr2bl w:val="nil"/>
                  </w:tcBorders>
                  <w:vAlign w:val="center"/>
                </w:tcPr>
                <w:p>
                  <w:pPr>
                    <w:keepNext w:val="0"/>
                    <w:keepLines w:val="0"/>
                    <w:pageBreakBefore w:val="0"/>
                    <w:widowControl/>
                    <w:kinsoku/>
                    <w:wordWrap/>
                    <w:overflowPunct/>
                    <w:topLinePunct w:val="0"/>
                    <w:bidi w:val="0"/>
                    <w:adjustRightInd w:val="0"/>
                    <w:snapToGrid w:val="0"/>
                    <w:ind w:right="0"/>
                    <w:jc w:val="center"/>
                    <w:rPr>
                      <w:rFonts w:hint="eastAsia" w:eastAsia="宋体"/>
                      <w:szCs w:val="21"/>
                      <w:lang w:val="en-US" w:eastAsia="zh-CN"/>
                    </w:rPr>
                  </w:pPr>
                  <w:r>
                    <w:rPr>
                      <w:rFonts w:hint="eastAsia" w:cs="Times New Roman"/>
                      <w:kern w:val="2"/>
                      <w:sz w:val="21"/>
                      <w:szCs w:val="21"/>
                      <w:lang w:val="en-US" w:eastAsia="zh-CN" w:bidi="ar-SA"/>
                    </w:rPr>
                    <w:t>/</w:t>
                  </w:r>
                </w:p>
              </w:tc>
              <w:tc>
                <w:tcPr>
                  <w:tcW w:w="1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0.049 </w:t>
                  </w:r>
                </w:p>
              </w:tc>
              <w:tc>
                <w:tcPr>
                  <w:tcW w:w="8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0.049 </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SS</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bCs/>
                      <w:kern w:val="2"/>
                      <w:sz w:val="21"/>
                      <w:szCs w:val="21"/>
                      <w:lang w:val="en-US" w:eastAsia="zh-CN" w:bidi="ar-SA"/>
                    </w:rPr>
                  </w:pPr>
                  <w:r>
                    <w:rPr>
                      <w:rFonts w:hint="eastAsia"/>
                      <w:szCs w:val="21"/>
                    </w:rPr>
                    <w:t>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0.036 </w:t>
                  </w:r>
                </w:p>
              </w:tc>
              <w:tc>
                <w:tcPr>
                  <w:tcW w:w="77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0.022 </w:t>
                  </w:r>
                </w:p>
              </w:tc>
              <w:tc>
                <w:tcPr>
                  <w:tcW w:w="6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 </w:t>
                  </w:r>
                </w:p>
              </w:tc>
              <w:tc>
                <w:tcPr>
                  <w:tcW w:w="1009" w:type="dxa"/>
                  <w:tcBorders>
                    <w:tl2br w:val="nil"/>
                    <w:tr2bl w:val="nil"/>
                  </w:tcBorders>
                  <w:vAlign w:val="center"/>
                </w:tcPr>
                <w:p>
                  <w:pPr>
                    <w:keepNext w:val="0"/>
                    <w:keepLines w:val="0"/>
                    <w:pageBreakBefore w:val="0"/>
                    <w:widowControl/>
                    <w:kinsoku/>
                    <w:wordWrap/>
                    <w:overflowPunct/>
                    <w:topLinePunct w:val="0"/>
                    <w:bidi w:val="0"/>
                    <w:adjustRightInd w:val="0"/>
                    <w:snapToGrid w:val="0"/>
                    <w:ind w:right="0"/>
                    <w:jc w:val="center"/>
                    <w:rPr>
                      <w:rFonts w:hint="eastAsia" w:eastAsia="宋体"/>
                      <w:szCs w:val="21"/>
                      <w:lang w:val="en-US" w:eastAsia="zh-CN"/>
                    </w:rPr>
                  </w:pPr>
                  <w:r>
                    <w:rPr>
                      <w:rFonts w:hint="eastAsia" w:cs="Times New Roman"/>
                      <w:kern w:val="2"/>
                      <w:sz w:val="21"/>
                      <w:szCs w:val="21"/>
                      <w:lang w:val="en-US" w:eastAsia="zh-CN" w:bidi="ar-SA"/>
                    </w:rPr>
                    <w:t>/</w:t>
                  </w:r>
                </w:p>
              </w:tc>
              <w:tc>
                <w:tcPr>
                  <w:tcW w:w="1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 </w:t>
                  </w:r>
                </w:p>
              </w:tc>
              <w:tc>
                <w:tcPr>
                  <w:tcW w:w="8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0.014 </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0.0024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ascii="Times New Roman" w:hAnsi="Times New Roman" w:eastAsia="宋体" w:cs="Times New Roman"/>
                      <w:kern w:val="2"/>
                      <w:sz w:val="21"/>
                      <w:szCs w:val="21"/>
                      <w:lang w:val="en-US" w:eastAsia="zh-CN" w:bidi="ar-SA"/>
                    </w:rPr>
                  </w:pPr>
                  <w:r>
                    <w:rPr>
                      <w:rFonts w:hint="eastAsia"/>
                      <w:szCs w:val="21"/>
                    </w:rPr>
                    <w:t>氨氮</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bCs/>
                      <w:kern w:val="2"/>
                      <w:sz w:val="21"/>
                      <w:szCs w:val="21"/>
                      <w:lang w:val="en-US" w:eastAsia="zh-CN" w:bidi="ar-SA"/>
                    </w:rPr>
                  </w:pPr>
                  <w:r>
                    <w:rPr>
                      <w:rFonts w:hint="eastAsia"/>
                      <w:szCs w:val="21"/>
                    </w:rPr>
                    <w:t>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7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cs="Times New Roman"/>
                      <w:i w:val="0"/>
                      <w:iCs w:val="0"/>
                      <w:color w:val="000000"/>
                      <w:kern w:val="0"/>
                      <w:sz w:val="21"/>
                      <w:szCs w:val="21"/>
                      <w:u w:val="none"/>
                      <w:lang w:val="en-US" w:eastAsia="zh-CN" w:bidi="ar"/>
                    </w:rPr>
                    <w:t>1</w:t>
                  </w: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6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1009" w:type="dxa"/>
                  <w:tcBorders>
                    <w:tl2br w:val="nil"/>
                    <w:tr2bl w:val="nil"/>
                  </w:tcBorders>
                  <w:vAlign w:val="center"/>
                </w:tcPr>
                <w:p>
                  <w:pPr>
                    <w:keepNext w:val="0"/>
                    <w:keepLines w:val="0"/>
                    <w:pageBreakBefore w:val="0"/>
                    <w:widowControl/>
                    <w:kinsoku/>
                    <w:wordWrap/>
                    <w:overflowPunct/>
                    <w:topLinePunct w:val="0"/>
                    <w:bidi w:val="0"/>
                    <w:adjustRightInd w:val="0"/>
                    <w:snapToGrid w:val="0"/>
                    <w:ind w:right="0"/>
                    <w:jc w:val="center"/>
                    <w:rPr>
                      <w:rFonts w:hint="eastAsia" w:eastAsia="宋体"/>
                      <w:szCs w:val="21"/>
                      <w:lang w:val="en-US" w:eastAsia="zh-CN"/>
                    </w:rPr>
                  </w:pPr>
                  <w:r>
                    <w:rPr>
                      <w:rFonts w:hint="eastAsia" w:cs="Times New Roman"/>
                      <w:kern w:val="2"/>
                      <w:sz w:val="21"/>
                      <w:szCs w:val="21"/>
                      <w:lang w:val="en-US" w:eastAsia="zh-CN" w:bidi="ar-SA"/>
                    </w:rPr>
                    <w:t>/</w:t>
                  </w:r>
                </w:p>
              </w:tc>
              <w:tc>
                <w:tcPr>
                  <w:tcW w:w="1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8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ascii="Times New Roman" w:hAnsi="Times New Roman" w:eastAsia="宋体" w:cs="Times New Roman"/>
                      <w:kern w:val="2"/>
                      <w:sz w:val="21"/>
                      <w:szCs w:val="21"/>
                      <w:lang w:val="en-US" w:eastAsia="zh-CN" w:bidi="ar-SA"/>
                    </w:rPr>
                  </w:pPr>
                  <w:r>
                    <w:rPr>
                      <w:rFonts w:hint="eastAsia"/>
                      <w:szCs w:val="21"/>
                    </w:rPr>
                    <w:t>总磷</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szCs w:val="21"/>
                    </w:rPr>
                    <w:t>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7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 </w:t>
                  </w:r>
                </w:p>
              </w:tc>
              <w:tc>
                <w:tcPr>
                  <w:tcW w:w="69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1009" w:type="dxa"/>
                  <w:tcBorders>
                    <w:tl2br w:val="nil"/>
                    <w:tr2bl w:val="nil"/>
                  </w:tcBorders>
                  <w:vAlign w:val="center"/>
                </w:tcPr>
                <w:p>
                  <w:pPr>
                    <w:keepNext w:val="0"/>
                    <w:keepLines w:val="0"/>
                    <w:pageBreakBefore w:val="0"/>
                    <w:widowControl/>
                    <w:kinsoku/>
                    <w:wordWrap/>
                    <w:overflowPunct/>
                    <w:topLinePunct w:val="0"/>
                    <w:bidi w:val="0"/>
                    <w:adjustRightInd w:val="0"/>
                    <w:snapToGrid w:val="0"/>
                    <w:ind w:right="0"/>
                    <w:jc w:val="center"/>
                    <w:rPr>
                      <w:rFonts w:hint="eastAsia" w:eastAsia="宋体"/>
                      <w:szCs w:val="21"/>
                      <w:lang w:val="en-US" w:eastAsia="zh-CN"/>
                    </w:rPr>
                  </w:pPr>
                  <w:r>
                    <w:rPr>
                      <w:rFonts w:hint="eastAsia" w:cs="Times New Roman"/>
                      <w:kern w:val="2"/>
                      <w:sz w:val="21"/>
                      <w:szCs w:val="21"/>
                      <w:lang w:val="en-US" w:eastAsia="zh-CN" w:bidi="ar-SA"/>
                    </w:rPr>
                    <w:t>/</w:t>
                  </w:r>
                </w:p>
              </w:tc>
              <w:tc>
                <w:tcPr>
                  <w:tcW w:w="1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ascii="Times New Roman" w:hAnsi="Times New Roman" w:eastAsia="宋体" w:cs="Times New Roman"/>
                      <w:kern w:val="2"/>
                      <w:sz w:val="21"/>
                      <w:szCs w:val="21"/>
                      <w:lang w:val="en-US" w:eastAsia="zh-CN" w:bidi="ar-SA"/>
                    </w:rPr>
                  </w:pPr>
                  <w:r>
                    <w:rPr>
                      <w:rFonts w:hint="eastAsia"/>
                      <w:szCs w:val="21"/>
                    </w:rPr>
                    <w:t>总氮</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rFonts w:hint="default" w:ascii="Times New Roman" w:hAnsi="Times New Roman" w:eastAsia="宋体" w:cs="Times New Roman"/>
                      <w:kern w:val="2"/>
                      <w:sz w:val="21"/>
                      <w:szCs w:val="21"/>
                      <w:lang w:val="en-US" w:eastAsia="zh-CN" w:bidi="ar-SA"/>
                    </w:rPr>
                  </w:pPr>
                  <w:r>
                    <w:rPr>
                      <w:rFonts w:hint="eastAsia"/>
                      <w:szCs w:val="21"/>
                    </w:rPr>
                    <w:t>0</w:t>
                  </w:r>
                </w:p>
              </w:tc>
              <w:tc>
                <w:tcPr>
                  <w:tcW w:w="6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c>
                <w:tcPr>
                  <w:tcW w:w="7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695" w:type="dxa"/>
                  <w:tcBorders>
                    <w:tl2br w:val="nil"/>
                    <w:tr2bl w:val="nil"/>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1009" w:type="dxa"/>
                  <w:tcBorders>
                    <w:tl2br w:val="nil"/>
                    <w:tr2bl w:val="nil"/>
                  </w:tcBorders>
                  <w:vAlign w:val="center"/>
                </w:tcPr>
                <w:p>
                  <w:pPr>
                    <w:keepNext w:val="0"/>
                    <w:keepLines w:val="0"/>
                    <w:pageBreakBefore w:val="0"/>
                    <w:widowControl/>
                    <w:kinsoku/>
                    <w:wordWrap/>
                    <w:overflowPunct/>
                    <w:topLinePunct w:val="0"/>
                    <w:bidi w:val="0"/>
                    <w:adjustRightInd w:val="0"/>
                    <w:snapToGrid w:val="0"/>
                    <w:ind w:right="0"/>
                    <w:jc w:val="center"/>
                    <w:rPr>
                      <w:szCs w:val="21"/>
                    </w:rPr>
                  </w:pPr>
                  <w:r>
                    <w:rPr>
                      <w:rFonts w:hint="eastAsia" w:cs="Times New Roman"/>
                      <w:kern w:val="2"/>
                      <w:sz w:val="21"/>
                      <w:szCs w:val="21"/>
                      <w:lang w:val="en-US" w:eastAsia="zh-CN" w:bidi="ar-SA"/>
                    </w:rPr>
                    <w:t>/</w:t>
                  </w:r>
                </w:p>
              </w:tc>
              <w:tc>
                <w:tcPr>
                  <w:tcW w:w="11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8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946" w:type="dxa"/>
                  <w:tcBorders>
                    <w:tl2br w:val="nil"/>
                    <w:tr2bl w:val="nil"/>
                  </w:tcBorders>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0.0036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restart"/>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szCs w:val="21"/>
                    </w:rPr>
                    <w:t>固废</w:t>
                  </w: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一般固废</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Cs/>
                      <w:szCs w:val="21"/>
                    </w:rPr>
                  </w:pPr>
                  <w:r>
                    <w:rPr>
                      <w:rFonts w:hint="eastAsia"/>
                      <w:szCs w:val="21"/>
                    </w:rPr>
                    <w:t>0</w:t>
                  </w:r>
                </w:p>
              </w:tc>
              <w:tc>
                <w:tcPr>
                  <w:tcW w:w="683" w:type="dxa"/>
                  <w:tcBorders>
                    <w:tl2br w:val="nil"/>
                    <w:tr2bl w:val="nil"/>
                  </w:tcBorders>
                  <w:shd w:val="clear" w:color="auto" w:fill="auto"/>
                  <w:vAlign w:val="center"/>
                </w:tcPr>
                <w:p>
                  <w:pPr>
                    <w:keepNext w:val="0"/>
                    <w:keepLines w:val="0"/>
                    <w:pageBreakBefore w:val="0"/>
                    <w:kinsoku/>
                    <w:wordWrap/>
                    <w:overflowPunct/>
                    <w:topLinePunct w:val="0"/>
                    <w:bidi w:val="0"/>
                    <w:adjustRightInd w:val="0"/>
                    <w:snapToGrid w:val="0"/>
                    <w:ind w:right="0"/>
                    <w:jc w:val="center"/>
                    <w:rPr>
                      <w:rFonts w:hint="default" w:ascii="Times New Roman" w:hAnsi="Times New Roman" w:eastAsia="宋体" w:cs="Times New Roman"/>
                      <w:kern w:val="2"/>
                      <w:sz w:val="21"/>
                      <w:szCs w:val="24"/>
                      <w:lang w:val="en-US" w:eastAsia="zh-CN" w:bidi="ar-SA"/>
                    </w:rPr>
                  </w:pPr>
                  <w:r>
                    <w:rPr>
                      <w:rFonts w:hint="eastAsia"/>
                      <w:lang w:val="en-US" w:eastAsia="zh-CN"/>
                    </w:rPr>
                    <w:t>5.5</w:t>
                  </w:r>
                </w:p>
              </w:tc>
              <w:tc>
                <w:tcPr>
                  <w:tcW w:w="772" w:type="dxa"/>
                  <w:tcBorders>
                    <w:tl2br w:val="nil"/>
                    <w:tr2bl w:val="nil"/>
                  </w:tcBorders>
                  <w:shd w:val="clear" w:color="auto" w:fill="auto"/>
                  <w:vAlign w:val="center"/>
                </w:tcPr>
                <w:p>
                  <w:pPr>
                    <w:keepNext w:val="0"/>
                    <w:keepLines w:val="0"/>
                    <w:pageBreakBefore w:val="0"/>
                    <w:kinsoku/>
                    <w:wordWrap/>
                    <w:overflowPunct/>
                    <w:topLinePunct w:val="0"/>
                    <w:bidi w:val="0"/>
                    <w:adjustRightInd w:val="0"/>
                    <w:snapToGrid w:val="0"/>
                    <w:ind w:right="0"/>
                    <w:jc w:val="center"/>
                    <w:rPr>
                      <w:rFonts w:hint="default" w:ascii="Times New Roman" w:hAnsi="Times New Roman" w:eastAsia="宋体" w:cs="Times New Roman"/>
                      <w:kern w:val="2"/>
                      <w:sz w:val="21"/>
                      <w:szCs w:val="24"/>
                      <w:lang w:val="en-US" w:eastAsia="zh-CN" w:bidi="ar-SA"/>
                    </w:rPr>
                  </w:pPr>
                  <w:r>
                    <w:rPr>
                      <w:rFonts w:hint="eastAsia"/>
                      <w:lang w:val="en-US" w:eastAsia="zh-CN"/>
                    </w:rPr>
                    <w:t>5.5</w:t>
                  </w:r>
                </w:p>
              </w:tc>
              <w:tc>
                <w:tcPr>
                  <w:tcW w:w="695"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ascii="Times New Roman" w:hAnsi="Times New Roman" w:eastAsia="宋体" w:cs="Times New Roman"/>
                      <w:bCs/>
                      <w:kern w:val="2"/>
                      <w:sz w:val="21"/>
                      <w:szCs w:val="21"/>
                      <w:lang w:val="en-US" w:eastAsia="zh-CN" w:bidi="ar-SA"/>
                    </w:rPr>
                  </w:pPr>
                  <w:r>
                    <w:rPr>
                      <w:rFonts w:hint="eastAsia"/>
                      <w:szCs w:val="21"/>
                    </w:rPr>
                    <w:t>0</w:t>
                  </w:r>
                </w:p>
              </w:tc>
              <w:tc>
                <w:tcPr>
                  <w:tcW w:w="1009" w:type="dxa"/>
                  <w:tcBorders>
                    <w:tl2br w:val="nil"/>
                    <w:tr2bl w:val="nil"/>
                  </w:tcBorders>
                  <w:vAlign w:val="center"/>
                </w:tcPr>
                <w:p>
                  <w:pPr>
                    <w:keepNext w:val="0"/>
                    <w:keepLines w:val="0"/>
                    <w:pageBreakBefore w:val="0"/>
                    <w:kinsoku/>
                    <w:wordWrap/>
                    <w:overflowPunct/>
                    <w:topLinePunct w:val="0"/>
                    <w:bidi w:val="0"/>
                    <w:adjustRightInd w:val="0"/>
                    <w:snapToGrid w:val="0"/>
                    <w:ind w:right="0"/>
                    <w:jc w:val="center"/>
                    <w:rPr>
                      <w:szCs w:val="21"/>
                    </w:rPr>
                  </w:pPr>
                  <w:r>
                    <w:rPr>
                      <w:rFonts w:hint="eastAsia" w:cs="Times New Roman"/>
                      <w:kern w:val="2"/>
                      <w:sz w:val="21"/>
                      <w:szCs w:val="21"/>
                      <w:lang w:val="en-US" w:eastAsia="zh-CN" w:bidi="ar-SA"/>
                    </w:rPr>
                    <w:t>/</w:t>
                  </w:r>
                </w:p>
              </w:tc>
              <w:tc>
                <w:tcPr>
                  <w:tcW w:w="1137"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0</w:t>
                  </w:r>
                </w:p>
              </w:tc>
              <w:tc>
                <w:tcPr>
                  <w:tcW w:w="820"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0</w:t>
                  </w:r>
                </w:p>
              </w:tc>
              <w:tc>
                <w:tcPr>
                  <w:tcW w:w="946"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594" w:type="dxa"/>
                  <w:vMerge w:val="continue"/>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p>
              </w:tc>
              <w:tc>
                <w:tcPr>
                  <w:tcW w:w="804"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危险固废</w:t>
                  </w:r>
                </w:p>
              </w:tc>
              <w:tc>
                <w:tcPr>
                  <w:tcW w:w="928"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bCs/>
                      <w:szCs w:val="21"/>
                    </w:rPr>
                  </w:pPr>
                  <w:r>
                    <w:rPr>
                      <w:rFonts w:hint="eastAsia"/>
                      <w:szCs w:val="21"/>
                    </w:rPr>
                    <w:t>0</w:t>
                  </w:r>
                </w:p>
              </w:tc>
              <w:tc>
                <w:tcPr>
                  <w:tcW w:w="683" w:type="dxa"/>
                  <w:tcBorders>
                    <w:tl2br w:val="nil"/>
                    <w:tr2bl w:val="nil"/>
                  </w:tcBorders>
                  <w:shd w:val="clear" w:color="auto" w:fill="auto"/>
                  <w:vAlign w:val="center"/>
                </w:tcPr>
                <w:p>
                  <w:pPr>
                    <w:keepNext w:val="0"/>
                    <w:keepLines w:val="0"/>
                    <w:pageBreakBefore w:val="0"/>
                    <w:kinsoku/>
                    <w:wordWrap/>
                    <w:overflowPunct/>
                    <w:topLinePunct w:val="0"/>
                    <w:bidi w:val="0"/>
                    <w:adjustRightInd w:val="0"/>
                    <w:snapToGrid w:val="0"/>
                    <w:ind w:right="0"/>
                    <w:jc w:val="center"/>
                    <w:rPr>
                      <w:rFonts w:hint="default" w:ascii="Times New Roman" w:hAnsi="Times New Roman" w:eastAsia="宋体" w:cs="Times New Roman"/>
                      <w:kern w:val="2"/>
                      <w:sz w:val="21"/>
                      <w:szCs w:val="24"/>
                      <w:lang w:val="en-US" w:eastAsia="zh-CN" w:bidi="ar-SA"/>
                    </w:rPr>
                  </w:pPr>
                  <w:r>
                    <w:rPr>
                      <w:rFonts w:hint="eastAsia"/>
                      <w:lang w:val="en-US" w:eastAsia="zh-CN"/>
                    </w:rPr>
                    <w:t>0.52</w:t>
                  </w:r>
                </w:p>
              </w:tc>
              <w:tc>
                <w:tcPr>
                  <w:tcW w:w="772" w:type="dxa"/>
                  <w:tcBorders>
                    <w:tl2br w:val="nil"/>
                    <w:tr2bl w:val="nil"/>
                  </w:tcBorders>
                  <w:shd w:val="clear" w:color="auto" w:fill="auto"/>
                  <w:vAlign w:val="center"/>
                </w:tcPr>
                <w:p>
                  <w:pPr>
                    <w:keepNext w:val="0"/>
                    <w:keepLines w:val="0"/>
                    <w:pageBreakBefore w:val="0"/>
                    <w:kinsoku/>
                    <w:wordWrap/>
                    <w:overflowPunct/>
                    <w:topLinePunct w:val="0"/>
                    <w:bidi w:val="0"/>
                    <w:adjustRightInd w:val="0"/>
                    <w:snapToGrid w:val="0"/>
                    <w:ind w:right="0"/>
                    <w:jc w:val="center"/>
                    <w:rPr>
                      <w:rFonts w:hint="default" w:ascii="Times New Roman" w:hAnsi="Times New Roman" w:eastAsia="宋体" w:cs="Times New Roman"/>
                      <w:kern w:val="2"/>
                      <w:sz w:val="21"/>
                      <w:szCs w:val="24"/>
                      <w:lang w:val="en-US" w:eastAsia="zh-CN" w:bidi="ar-SA"/>
                    </w:rPr>
                  </w:pPr>
                  <w:r>
                    <w:rPr>
                      <w:rFonts w:hint="eastAsia"/>
                      <w:lang w:val="en-US" w:eastAsia="zh-CN"/>
                    </w:rPr>
                    <w:t>0.52</w:t>
                  </w:r>
                </w:p>
              </w:tc>
              <w:tc>
                <w:tcPr>
                  <w:tcW w:w="695" w:type="dxa"/>
                  <w:tcBorders>
                    <w:tl2br w:val="nil"/>
                    <w:tr2bl w:val="nil"/>
                  </w:tcBorders>
                  <w:shd w:val="clear" w:color="auto" w:fill="auto"/>
                  <w:vAlign w:val="center"/>
                </w:tcPr>
                <w:p>
                  <w:pPr>
                    <w:keepNext w:val="0"/>
                    <w:keepLines w:val="0"/>
                    <w:pageBreakBefore w:val="0"/>
                    <w:tabs>
                      <w:tab w:val="left" w:pos="5142"/>
                    </w:tabs>
                    <w:kinsoku/>
                    <w:wordWrap/>
                    <w:overflowPunct/>
                    <w:topLinePunct w:val="0"/>
                    <w:bidi w:val="0"/>
                    <w:adjustRightInd w:val="0"/>
                    <w:snapToGrid w:val="0"/>
                    <w:ind w:right="0"/>
                    <w:jc w:val="center"/>
                    <w:rPr>
                      <w:rFonts w:ascii="Times New Roman" w:hAnsi="Times New Roman" w:eastAsia="宋体" w:cs="Times New Roman"/>
                      <w:bCs/>
                      <w:kern w:val="2"/>
                      <w:sz w:val="21"/>
                      <w:szCs w:val="21"/>
                      <w:lang w:val="en-US" w:eastAsia="zh-CN" w:bidi="ar-SA"/>
                    </w:rPr>
                  </w:pPr>
                  <w:r>
                    <w:rPr>
                      <w:rFonts w:hint="eastAsia"/>
                      <w:szCs w:val="21"/>
                    </w:rPr>
                    <w:t>0</w:t>
                  </w:r>
                </w:p>
              </w:tc>
              <w:tc>
                <w:tcPr>
                  <w:tcW w:w="1009" w:type="dxa"/>
                  <w:tcBorders>
                    <w:tl2br w:val="nil"/>
                    <w:tr2bl w:val="nil"/>
                  </w:tcBorders>
                  <w:vAlign w:val="center"/>
                </w:tcPr>
                <w:p>
                  <w:pPr>
                    <w:keepNext w:val="0"/>
                    <w:keepLines w:val="0"/>
                    <w:pageBreakBefore w:val="0"/>
                    <w:kinsoku/>
                    <w:wordWrap/>
                    <w:overflowPunct/>
                    <w:topLinePunct w:val="0"/>
                    <w:bidi w:val="0"/>
                    <w:adjustRightInd w:val="0"/>
                    <w:snapToGrid w:val="0"/>
                    <w:ind w:right="0"/>
                    <w:jc w:val="center"/>
                    <w:rPr>
                      <w:szCs w:val="21"/>
                    </w:rPr>
                  </w:pPr>
                  <w:r>
                    <w:rPr>
                      <w:rFonts w:hint="eastAsia" w:cs="Times New Roman"/>
                      <w:kern w:val="2"/>
                      <w:sz w:val="21"/>
                      <w:szCs w:val="21"/>
                      <w:lang w:val="en-US" w:eastAsia="zh-CN" w:bidi="ar-SA"/>
                    </w:rPr>
                    <w:t>/</w:t>
                  </w:r>
                </w:p>
              </w:tc>
              <w:tc>
                <w:tcPr>
                  <w:tcW w:w="1137"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0</w:t>
                  </w:r>
                </w:p>
              </w:tc>
              <w:tc>
                <w:tcPr>
                  <w:tcW w:w="820"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0</w:t>
                  </w:r>
                </w:p>
              </w:tc>
              <w:tc>
                <w:tcPr>
                  <w:tcW w:w="946" w:type="dxa"/>
                  <w:tcBorders>
                    <w:tl2br w:val="nil"/>
                    <w:tr2bl w:val="nil"/>
                  </w:tcBorders>
                  <w:vAlign w:val="center"/>
                </w:tcPr>
                <w:p>
                  <w:pPr>
                    <w:keepNext w:val="0"/>
                    <w:keepLines w:val="0"/>
                    <w:pageBreakBefore w:val="0"/>
                    <w:tabs>
                      <w:tab w:val="left" w:pos="5142"/>
                    </w:tabs>
                    <w:kinsoku/>
                    <w:wordWrap/>
                    <w:overflowPunct/>
                    <w:topLinePunct w:val="0"/>
                    <w:bidi w:val="0"/>
                    <w:adjustRightInd w:val="0"/>
                    <w:snapToGrid w:val="0"/>
                    <w:ind w:right="0"/>
                    <w:jc w:val="center"/>
                    <w:rPr>
                      <w:szCs w:val="21"/>
                    </w:rPr>
                  </w:pPr>
                  <w:r>
                    <w:rPr>
                      <w:rFonts w:hint="eastAsia"/>
                      <w:szCs w:val="21"/>
                    </w:rPr>
                    <w:t>0</w:t>
                  </w:r>
                </w:p>
              </w:tc>
            </w:tr>
          </w:tbl>
          <w:p>
            <w:pPr>
              <w:pStyle w:val="13"/>
              <w:keepNext w:val="0"/>
              <w:keepLines w:val="0"/>
              <w:pageBreakBefore w:val="0"/>
              <w:kinsoku/>
              <w:wordWrap/>
              <w:overflowPunct/>
              <w:topLinePunct w:val="0"/>
              <w:bidi w:val="0"/>
              <w:adjustRightInd w:val="0"/>
              <w:snapToGrid w:val="0"/>
              <w:spacing w:before="0" w:after="0" w:line="240" w:lineRule="auto"/>
              <w:ind w:right="0"/>
              <w:rPr>
                <w:rFonts w:hint="eastAsia"/>
              </w:rPr>
            </w:pPr>
          </w:p>
          <w:p>
            <w:pPr>
              <w:keepNext w:val="0"/>
              <w:keepLines w:val="0"/>
              <w:pageBreakBefore w:val="0"/>
              <w:kinsoku/>
              <w:wordWrap/>
              <w:overflowPunct/>
              <w:topLinePunct w:val="0"/>
              <w:bidi w:val="0"/>
              <w:adjustRightInd w:val="0"/>
              <w:snapToGrid w:val="0"/>
              <w:spacing w:line="360" w:lineRule="auto"/>
              <w:ind w:right="0" w:firstLine="65" w:firstLineChars="27"/>
              <w:rPr>
                <w:b/>
                <w:bCs/>
                <w:sz w:val="24"/>
                <w:szCs w:val="32"/>
              </w:rPr>
            </w:pPr>
            <w:r>
              <w:rPr>
                <w:rFonts w:hint="eastAsia"/>
                <w:b/>
                <w:bCs/>
                <w:sz w:val="24"/>
                <w:szCs w:val="32"/>
              </w:rPr>
              <w:t>本项目</w:t>
            </w:r>
            <w:r>
              <w:rPr>
                <w:b/>
                <w:bCs/>
                <w:sz w:val="24"/>
                <w:szCs w:val="32"/>
              </w:rPr>
              <w:t>废</w:t>
            </w:r>
            <w:r>
              <w:rPr>
                <w:rFonts w:hint="eastAsia"/>
                <w:b/>
                <w:bCs/>
                <w:sz w:val="24"/>
                <w:szCs w:val="32"/>
                <w:lang w:val="en-US" w:eastAsia="zh-CN"/>
              </w:rPr>
              <w:t>气</w:t>
            </w:r>
            <w:r>
              <w:rPr>
                <w:b/>
                <w:bCs/>
                <w:sz w:val="24"/>
                <w:szCs w:val="32"/>
              </w:rPr>
              <w:t>总量控制指标</w:t>
            </w:r>
            <w:r>
              <w:rPr>
                <w:rFonts w:hint="eastAsia"/>
                <w:b/>
                <w:bCs/>
                <w:sz w:val="24"/>
                <w:szCs w:val="32"/>
                <w:lang w:eastAsia="zh-CN"/>
              </w:rPr>
              <w:t>（</w:t>
            </w:r>
            <w:r>
              <w:rPr>
                <w:rFonts w:hint="eastAsia"/>
                <w:b/>
                <w:bCs/>
                <w:sz w:val="24"/>
                <w:szCs w:val="32"/>
                <w:lang w:val="en-US" w:eastAsia="zh-CN"/>
              </w:rPr>
              <w:t>有组织/无组织</w:t>
            </w:r>
            <w:r>
              <w:rPr>
                <w:rFonts w:hint="eastAsia"/>
                <w:b/>
                <w:bCs/>
                <w:sz w:val="24"/>
                <w:szCs w:val="32"/>
                <w:lang w:eastAsia="zh-CN"/>
              </w:rPr>
              <w:t>）</w:t>
            </w:r>
            <w:r>
              <w:rPr>
                <w:rFonts w:hint="eastAsia"/>
                <w:b/>
                <w:bCs/>
                <w:sz w:val="24"/>
                <w:szCs w:val="32"/>
              </w:rPr>
              <w:t>：</w:t>
            </w:r>
            <w:r>
              <w:rPr>
                <w:rFonts w:hint="eastAsia"/>
                <w:b w:val="0"/>
                <w:bCs w:val="0"/>
                <w:sz w:val="24"/>
                <w:szCs w:val="32"/>
                <w:lang w:val="en-US" w:eastAsia="zh-CN"/>
              </w:rPr>
              <w:t>非甲烷总烃</w:t>
            </w:r>
            <w:r>
              <w:rPr>
                <w:b w:val="0"/>
                <w:bCs w:val="0"/>
                <w:sz w:val="24"/>
                <w:szCs w:val="32"/>
              </w:rPr>
              <w:t>：</w:t>
            </w:r>
            <w:r>
              <w:rPr>
                <w:rFonts w:hint="default" w:ascii="Times New Roman" w:hAnsi="Times New Roman" w:eastAsia="宋体" w:cs="Times New Roman"/>
                <w:i w:val="0"/>
                <w:iCs w:val="0"/>
                <w:color w:val="000000"/>
                <w:kern w:val="0"/>
                <w:sz w:val="24"/>
                <w:szCs w:val="24"/>
                <w:u w:val="none"/>
                <w:lang w:val="en-US" w:eastAsia="zh-CN" w:bidi="ar"/>
              </w:rPr>
              <w:t>0</w:t>
            </w:r>
            <w:r>
              <w:rPr>
                <w:rFonts w:hint="eastAsia" w:cs="Times New Roman"/>
                <w:i w:val="0"/>
                <w:iCs w:val="0"/>
                <w:color w:val="000000"/>
                <w:kern w:val="0"/>
                <w:sz w:val="24"/>
                <w:szCs w:val="24"/>
                <w:u w:val="none"/>
                <w:lang w:val="en-US" w:eastAsia="zh-CN" w:bidi="ar"/>
              </w:rPr>
              <w:t>/</w:t>
            </w:r>
            <w:r>
              <w:rPr>
                <w:rFonts w:hint="eastAsia" w:cs="Times New Roman"/>
                <w:sz w:val="24"/>
                <w:szCs w:val="32"/>
                <w:lang w:val="en-US" w:eastAsia="zh-CN"/>
              </w:rPr>
              <w:t>0.003</w:t>
            </w:r>
            <w:r>
              <w:rPr>
                <w:sz w:val="24"/>
                <w:szCs w:val="32"/>
              </w:rPr>
              <w:t>t/a</w:t>
            </w:r>
            <w:r>
              <w:rPr>
                <w:rFonts w:hint="eastAsia"/>
                <w:sz w:val="24"/>
                <w:szCs w:val="32"/>
              </w:rPr>
              <w:t>；</w:t>
            </w:r>
          </w:p>
          <w:p>
            <w:pPr>
              <w:keepNext w:val="0"/>
              <w:keepLines w:val="0"/>
              <w:pageBreakBefore w:val="0"/>
              <w:kinsoku/>
              <w:wordWrap/>
              <w:overflowPunct/>
              <w:topLinePunct w:val="0"/>
              <w:bidi w:val="0"/>
              <w:adjustRightInd w:val="0"/>
              <w:snapToGrid w:val="0"/>
              <w:spacing w:line="360" w:lineRule="auto"/>
              <w:ind w:right="0" w:firstLine="65" w:firstLineChars="27"/>
              <w:rPr>
                <w:b/>
                <w:bCs/>
                <w:sz w:val="24"/>
                <w:szCs w:val="32"/>
              </w:rPr>
            </w:pPr>
            <w:r>
              <w:rPr>
                <w:rFonts w:hint="eastAsia"/>
                <w:b/>
                <w:bCs/>
                <w:sz w:val="24"/>
                <w:szCs w:val="32"/>
              </w:rPr>
              <w:t>本项目</w:t>
            </w:r>
            <w:r>
              <w:rPr>
                <w:b/>
                <w:bCs/>
                <w:sz w:val="24"/>
                <w:szCs w:val="32"/>
              </w:rPr>
              <w:t>废水总量控制指标</w:t>
            </w:r>
            <w:r>
              <w:rPr>
                <w:rFonts w:hint="eastAsia"/>
                <w:b/>
                <w:bCs/>
                <w:sz w:val="24"/>
                <w:szCs w:val="32"/>
                <w:lang w:eastAsia="zh-CN"/>
              </w:rPr>
              <w:t>（</w:t>
            </w:r>
            <w:r>
              <w:rPr>
                <w:rFonts w:hint="eastAsia"/>
                <w:b/>
                <w:bCs/>
                <w:sz w:val="24"/>
                <w:szCs w:val="32"/>
                <w:lang w:val="en-US" w:eastAsia="zh-CN"/>
              </w:rPr>
              <w:t>接管量/外排量</w:t>
            </w:r>
            <w:r>
              <w:rPr>
                <w:rFonts w:hint="eastAsia"/>
                <w:b/>
                <w:bCs/>
                <w:sz w:val="24"/>
                <w:szCs w:val="32"/>
                <w:lang w:eastAsia="zh-CN"/>
              </w:rPr>
              <w:t>）</w:t>
            </w:r>
            <w:r>
              <w:rPr>
                <w:rFonts w:hint="eastAsia"/>
                <w:b/>
                <w:bCs/>
                <w:sz w:val="24"/>
                <w:szCs w:val="32"/>
              </w:rPr>
              <w:t>：</w:t>
            </w:r>
            <w:r>
              <w:rPr>
                <w:sz w:val="24"/>
                <w:szCs w:val="32"/>
              </w:rPr>
              <w:t>废水量：</w:t>
            </w:r>
            <w:r>
              <w:rPr>
                <w:rFonts w:hint="eastAsia"/>
                <w:sz w:val="24"/>
                <w:szCs w:val="32"/>
                <w:lang w:val="en-US" w:eastAsia="zh-CN"/>
              </w:rPr>
              <w:t>240/240</w:t>
            </w:r>
            <w:r>
              <w:rPr>
                <w:sz w:val="24"/>
                <w:szCs w:val="32"/>
              </w:rPr>
              <w:t>t/a</w:t>
            </w:r>
            <w:r>
              <w:rPr>
                <w:rFonts w:hint="eastAsia"/>
                <w:sz w:val="24"/>
                <w:szCs w:val="32"/>
              </w:rPr>
              <w:t>；</w:t>
            </w:r>
            <w:r>
              <w:rPr>
                <w:sz w:val="24"/>
                <w:szCs w:val="32"/>
              </w:rPr>
              <w:t>COD：</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49/</w:t>
            </w:r>
            <w:r>
              <w:rPr>
                <w:rFonts w:hint="default" w:ascii="Times New Roman" w:hAnsi="Times New Roman" w:eastAsia="宋体" w:cs="Times New Roman"/>
                <w:i w:val="0"/>
                <w:iCs w:val="0"/>
                <w:color w:val="000000"/>
                <w:kern w:val="0"/>
                <w:sz w:val="24"/>
                <w:szCs w:val="24"/>
                <w:u w:val="none"/>
                <w:lang w:val="en-US" w:eastAsia="zh-CN" w:bidi="ar"/>
              </w:rPr>
              <w:t>0.012</w:t>
            </w:r>
            <w:r>
              <w:rPr>
                <w:rFonts w:hint="eastAsia" w:cs="Times New Roman"/>
                <w:i w:val="0"/>
                <w:iCs w:val="0"/>
                <w:color w:val="000000"/>
                <w:kern w:val="0"/>
                <w:sz w:val="24"/>
                <w:szCs w:val="24"/>
                <w:u w:val="none"/>
                <w:lang w:val="en-US" w:eastAsia="zh-CN" w:bidi="ar"/>
              </w:rPr>
              <w:t>0</w:t>
            </w:r>
            <w:r>
              <w:rPr>
                <w:sz w:val="24"/>
                <w:szCs w:val="32"/>
              </w:rPr>
              <w:t>t/a；SS：</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14/</w:t>
            </w:r>
            <w:r>
              <w:rPr>
                <w:rFonts w:hint="default" w:ascii="Times New Roman" w:hAnsi="Times New Roman" w:eastAsia="宋体" w:cs="Times New Roman"/>
                <w:i w:val="0"/>
                <w:iCs w:val="0"/>
                <w:color w:val="000000"/>
                <w:kern w:val="0"/>
                <w:sz w:val="24"/>
                <w:szCs w:val="24"/>
                <w:u w:val="none"/>
                <w:lang w:val="en-US" w:eastAsia="zh-CN" w:bidi="ar"/>
              </w:rPr>
              <w:t>0.002</w:t>
            </w:r>
            <w:r>
              <w:rPr>
                <w:rFonts w:hint="eastAsia" w:cs="Times New Roman"/>
                <w:i w:val="0"/>
                <w:iCs w:val="0"/>
                <w:color w:val="000000"/>
                <w:kern w:val="0"/>
                <w:sz w:val="24"/>
                <w:szCs w:val="24"/>
                <w:u w:val="none"/>
                <w:lang w:val="en-US" w:eastAsia="zh-CN" w:bidi="ar"/>
              </w:rPr>
              <w:t>4</w:t>
            </w:r>
            <w:r>
              <w:rPr>
                <w:sz w:val="24"/>
                <w:szCs w:val="32"/>
              </w:rPr>
              <w:t>t/a；NH</w:t>
            </w:r>
            <w:r>
              <w:rPr>
                <w:sz w:val="24"/>
                <w:szCs w:val="32"/>
                <w:vertAlign w:val="subscript"/>
              </w:rPr>
              <w:t>3</w:t>
            </w:r>
            <w:r>
              <w:rPr>
                <w:sz w:val="24"/>
                <w:szCs w:val="32"/>
              </w:rPr>
              <w:t>-N：</w:t>
            </w:r>
            <w:r>
              <w:rPr>
                <w:rFonts w:hint="default" w:ascii="Times New Roman" w:hAnsi="Times New Roman" w:eastAsia="宋体" w:cs="Times New Roman"/>
                <w:i w:val="0"/>
                <w:iCs w:val="0"/>
                <w:color w:val="000000"/>
                <w:kern w:val="0"/>
                <w:sz w:val="24"/>
                <w:szCs w:val="24"/>
                <w:u w:val="none"/>
                <w:lang w:val="en-US" w:eastAsia="zh-CN" w:bidi="ar"/>
              </w:rPr>
              <w:t>0.00</w:t>
            </w:r>
            <w:r>
              <w:rPr>
                <w:rFonts w:hint="eastAsia" w:cs="Times New Roman"/>
                <w:i w:val="0"/>
                <w:iCs w:val="0"/>
                <w:color w:val="000000"/>
                <w:kern w:val="0"/>
                <w:sz w:val="24"/>
                <w:szCs w:val="24"/>
                <w:u w:val="none"/>
                <w:lang w:val="en-US" w:eastAsia="zh-CN" w:bidi="ar"/>
              </w:rPr>
              <w:t>7/</w:t>
            </w:r>
            <w:r>
              <w:rPr>
                <w:rFonts w:hint="default" w:ascii="Times New Roman" w:hAnsi="Times New Roman" w:eastAsia="宋体" w:cs="Times New Roman"/>
                <w:i w:val="0"/>
                <w:iCs w:val="0"/>
                <w:color w:val="000000"/>
                <w:kern w:val="0"/>
                <w:sz w:val="24"/>
                <w:szCs w:val="24"/>
                <w:u w:val="none"/>
                <w:lang w:val="en-US" w:eastAsia="zh-CN" w:bidi="ar"/>
              </w:rPr>
              <w:t>0.001</w:t>
            </w:r>
            <w:r>
              <w:rPr>
                <w:rFonts w:hint="eastAsia" w:cs="Times New Roman"/>
                <w:i w:val="0"/>
                <w:iCs w:val="0"/>
                <w:color w:val="000000"/>
                <w:kern w:val="0"/>
                <w:sz w:val="24"/>
                <w:szCs w:val="24"/>
                <w:u w:val="none"/>
                <w:lang w:val="en-US" w:eastAsia="zh-CN" w:bidi="ar"/>
              </w:rPr>
              <w:t>2</w:t>
            </w:r>
            <w:r>
              <w:rPr>
                <w:sz w:val="24"/>
                <w:szCs w:val="32"/>
              </w:rPr>
              <w:t>t/a；TN：</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10/0.0036</w:t>
            </w:r>
            <w:r>
              <w:rPr>
                <w:sz w:val="24"/>
                <w:szCs w:val="32"/>
              </w:rPr>
              <w:t>t/a；TP：</w:t>
            </w:r>
            <w:r>
              <w:rPr>
                <w:rFonts w:hint="default" w:ascii="Times New Roman" w:hAnsi="Times New Roman" w:eastAsia="宋体" w:cs="Times New Roman"/>
                <w:i w:val="0"/>
                <w:iCs w:val="0"/>
                <w:color w:val="000000"/>
                <w:kern w:val="0"/>
                <w:sz w:val="24"/>
                <w:szCs w:val="24"/>
                <w:u w:val="none"/>
                <w:lang w:val="en-US" w:eastAsia="zh-CN" w:bidi="ar"/>
              </w:rPr>
              <w:t>0.0</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1</w:t>
            </w:r>
            <w:r>
              <w:rPr>
                <w:rFonts w:hint="eastAsia"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0.00</w:t>
            </w:r>
            <w:r>
              <w:rPr>
                <w:rFonts w:hint="eastAsia" w:cs="Times New Roman"/>
                <w:i w:val="0"/>
                <w:iCs w:val="0"/>
                <w:color w:val="000000"/>
                <w:kern w:val="0"/>
                <w:sz w:val="24"/>
                <w:szCs w:val="24"/>
                <w:u w:val="none"/>
                <w:lang w:val="en-US" w:eastAsia="zh-CN" w:bidi="ar"/>
              </w:rPr>
              <w:t>01</w:t>
            </w:r>
            <w:r>
              <w:rPr>
                <w:sz w:val="24"/>
                <w:szCs w:val="32"/>
              </w:rPr>
              <w:t>t/a</w:t>
            </w:r>
            <w:r>
              <w:rPr>
                <w:rFonts w:hint="eastAsia"/>
                <w:sz w:val="24"/>
                <w:szCs w:val="32"/>
              </w:rPr>
              <w:t>；</w:t>
            </w:r>
          </w:p>
          <w:p>
            <w:pPr>
              <w:keepNext w:val="0"/>
              <w:keepLines w:val="0"/>
              <w:pageBreakBefore w:val="0"/>
              <w:kinsoku/>
              <w:wordWrap/>
              <w:overflowPunct/>
              <w:topLinePunct w:val="0"/>
              <w:bidi w:val="0"/>
              <w:adjustRightInd w:val="0"/>
              <w:snapToGrid w:val="0"/>
              <w:spacing w:line="360" w:lineRule="auto"/>
              <w:ind w:right="0" w:firstLine="65" w:firstLineChars="27"/>
              <w:rPr>
                <w:b/>
                <w:bCs/>
                <w:sz w:val="24"/>
                <w:szCs w:val="32"/>
              </w:rPr>
            </w:pPr>
            <w:r>
              <w:rPr>
                <w:b/>
                <w:bCs/>
                <w:sz w:val="24"/>
                <w:szCs w:val="32"/>
              </w:rPr>
              <w:t>固体废物总量控制指标为零。</w:t>
            </w:r>
          </w:p>
          <w:p>
            <w:pPr>
              <w:keepNext w:val="0"/>
              <w:keepLines w:val="0"/>
              <w:pageBreakBefore w:val="0"/>
              <w:kinsoku/>
              <w:wordWrap/>
              <w:overflowPunct/>
              <w:topLinePunct w:val="0"/>
              <w:bidi w:val="0"/>
              <w:adjustRightInd w:val="0"/>
              <w:snapToGrid w:val="0"/>
              <w:spacing w:line="240" w:lineRule="auto"/>
              <w:ind w:right="0"/>
              <w:rPr>
                <w:rFonts w:hint="eastAsia"/>
                <w:b/>
                <w:bCs/>
                <w:sz w:val="21"/>
                <w:szCs w:val="24"/>
              </w:rPr>
            </w:pPr>
          </w:p>
          <w:p>
            <w:pPr>
              <w:keepNext w:val="0"/>
              <w:keepLines w:val="0"/>
              <w:pageBreakBefore w:val="0"/>
              <w:kinsoku/>
              <w:wordWrap/>
              <w:overflowPunct/>
              <w:topLinePunct w:val="0"/>
              <w:bidi w:val="0"/>
              <w:adjustRightInd w:val="0"/>
              <w:snapToGrid w:val="0"/>
              <w:spacing w:line="360" w:lineRule="auto"/>
              <w:ind w:right="0"/>
              <w:rPr>
                <w:b/>
                <w:bCs/>
                <w:sz w:val="24"/>
                <w:szCs w:val="32"/>
              </w:rPr>
            </w:pPr>
            <w:r>
              <w:rPr>
                <w:rFonts w:hint="eastAsia"/>
                <w:b/>
                <w:bCs/>
                <w:sz w:val="24"/>
                <w:szCs w:val="32"/>
              </w:rPr>
              <w:t>排污许可证制度：</w:t>
            </w:r>
          </w:p>
          <w:p>
            <w:pPr>
              <w:keepNext w:val="0"/>
              <w:keepLines w:val="0"/>
              <w:pageBreakBefore w:val="0"/>
              <w:kinsoku/>
              <w:wordWrap/>
              <w:overflowPunct/>
              <w:topLinePunct w:val="0"/>
              <w:bidi w:val="0"/>
              <w:adjustRightInd w:val="0"/>
              <w:snapToGrid w:val="0"/>
              <w:spacing w:line="360" w:lineRule="auto"/>
              <w:ind w:right="0" w:firstLine="480"/>
              <w:rPr>
                <w:sz w:val="24"/>
                <w:szCs w:val="32"/>
              </w:rPr>
            </w:pPr>
            <w:r>
              <w:rPr>
                <w:sz w:val="24"/>
                <w:szCs w:val="32"/>
              </w:rPr>
              <w:t>根据《国民经济行业分类》，本项目属于</w:t>
            </w:r>
            <w:r>
              <w:rPr>
                <w:rFonts w:hint="eastAsia" w:cs="Times New Roman"/>
                <w:color w:val="auto"/>
                <w:sz w:val="24"/>
                <w:szCs w:val="24"/>
                <w:lang w:val="en-US" w:eastAsia="zh-CN"/>
              </w:rPr>
              <w:t>C2924 泡沫塑料制造</w:t>
            </w:r>
            <w:r>
              <w:rPr>
                <w:sz w:val="24"/>
                <w:szCs w:val="32"/>
              </w:rPr>
              <w:t>，对照《固定污染源排污许可分类管理名录》属于</w:t>
            </w:r>
            <w:r>
              <w:rPr>
                <w:rFonts w:hint="eastAsia"/>
                <w:sz w:val="24"/>
                <w:szCs w:val="32"/>
                <w:u w:val="single"/>
              </w:rPr>
              <w:t>“</w:t>
            </w:r>
            <w:r>
              <w:rPr>
                <w:rFonts w:hint="eastAsia"/>
                <w:sz w:val="24"/>
                <w:szCs w:val="32"/>
                <w:u w:val="single"/>
                <w:lang w:val="en-US" w:eastAsia="zh-CN"/>
              </w:rPr>
              <w:t>二十四</w:t>
            </w:r>
            <w:r>
              <w:rPr>
                <w:rFonts w:hint="eastAsia"/>
                <w:sz w:val="24"/>
                <w:szCs w:val="32"/>
                <w:u w:val="single"/>
              </w:rPr>
              <w:t>、</w:t>
            </w:r>
            <w:r>
              <w:rPr>
                <w:rFonts w:hint="eastAsia"/>
                <w:sz w:val="24"/>
                <w:szCs w:val="32"/>
                <w:u w:val="single"/>
                <w:lang w:val="en-US" w:eastAsia="zh-CN"/>
              </w:rPr>
              <w:t>橡胶和塑料制品业</w:t>
            </w:r>
            <w:r>
              <w:rPr>
                <w:rFonts w:hint="eastAsia"/>
                <w:sz w:val="24"/>
                <w:szCs w:val="32"/>
                <w:u w:val="single"/>
              </w:rPr>
              <w:t xml:space="preserve"> </w:t>
            </w:r>
            <w:r>
              <w:rPr>
                <w:rFonts w:hint="eastAsia"/>
                <w:sz w:val="24"/>
                <w:szCs w:val="32"/>
                <w:u w:val="single"/>
                <w:lang w:val="en-US" w:eastAsia="zh-CN"/>
              </w:rPr>
              <w:t>29</w:t>
            </w:r>
            <w:r>
              <w:rPr>
                <w:rFonts w:hint="eastAsia"/>
                <w:sz w:val="24"/>
                <w:szCs w:val="32"/>
                <w:u w:val="single"/>
              </w:rPr>
              <w:t>-</w:t>
            </w:r>
            <w:r>
              <w:rPr>
                <w:rFonts w:hint="eastAsia"/>
                <w:sz w:val="24"/>
                <w:szCs w:val="32"/>
                <w:u w:val="single"/>
                <w:lang w:val="en-US" w:eastAsia="zh-CN"/>
              </w:rPr>
              <w:t>62</w:t>
            </w:r>
            <w:r>
              <w:rPr>
                <w:rFonts w:hint="eastAsia"/>
                <w:sz w:val="24"/>
                <w:szCs w:val="32"/>
                <w:u w:val="single"/>
              </w:rPr>
              <w:t>、</w:t>
            </w:r>
            <w:r>
              <w:rPr>
                <w:rFonts w:hint="eastAsia"/>
                <w:sz w:val="24"/>
                <w:szCs w:val="32"/>
                <w:u w:val="single"/>
                <w:lang w:val="en-US" w:eastAsia="zh-CN"/>
              </w:rPr>
              <w:t>塑料制品业29</w:t>
            </w:r>
            <w:r>
              <w:rPr>
                <w:rFonts w:hint="eastAsia"/>
                <w:sz w:val="24"/>
                <w:szCs w:val="32"/>
                <w:u w:val="single"/>
              </w:rPr>
              <w:t>2</w:t>
            </w:r>
            <w:r>
              <w:rPr>
                <w:rFonts w:hint="eastAsia"/>
                <w:sz w:val="24"/>
                <w:szCs w:val="32"/>
                <w:u w:val="single"/>
                <w:lang w:val="en-US" w:eastAsia="zh-CN"/>
              </w:rPr>
              <w:t>-其他</w:t>
            </w:r>
            <w:r>
              <w:rPr>
                <w:rFonts w:hint="eastAsia"/>
                <w:sz w:val="24"/>
                <w:szCs w:val="32"/>
                <w:u w:val="single"/>
              </w:rPr>
              <w:t>”，实行</w:t>
            </w:r>
            <w:r>
              <w:rPr>
                <w:rFonts w:hint="eastAsia"/>
                <w:sz w:val="24"/>
                <w:szCs w:val="32"/>
                <w:u w:val="single"/>
                <w:lang w:val="en-US" w:eastAsia="zh-CN"/>
              </w:rPr>
              <w:t>登记</w:t>
            </w:r>
            <w:r>
              <w:rPr>
                <w:rFonts w:hint="eastAsia"/>
                <w:sz w:val="24"/>
                <w:szCs w:val="32"/>
                <w:u w:val="single"/>
              </w:rPr>
              <w:t>管理</w:t>
            </w:r>
            <w:r>
              <w:rPr>
                <w:rFonts w:hint="eastAsia"/>
                <w:sz w:val="24"/>
                <w:szCs w:val="32"/>
              </w:rPr>
              <w:t>。</w:t>
            </w:r>
          </w:p>
          <w:p>
            <w:pPr>
              <w:keepNext w:val="0"/>
              <w:keepLines w:val="0"/>
              <w:pageBreakBefore w:val="0"/>
              <w:kinsoku/>
              <w:wordWrap/>
              <w:overflowPunct/>
              <w:topLinePunct w:val="0"/>
              <w:bidi w:val="0"/>
              <w:adjustRightInd w:val="0"/>
              <w:snapToGrid w:val="0"/>
              <w:spacing w:line="240" w:lineRule="auto"/>
              <w:ind w:right="0"/>
              <w:rPr>
                <w:b/>
                <w:bCs/>
                <w:kern w:val="0"/>
                <w:sz w:val="21"/>
                <w:szCs w:val="24"/>
              </w:rPr>
            </w:pPr>
          </w:p>
          <w:p>
            <w:pPr>
              <w:keepNext w:val="0"/>
              <w:keepLines w:val="0"/>
              <w:pageBreakBefore w:val="0"/>
              <w:kinsoku/>
              <w:wordWrap/>
              <w:overflowPunct/>
              <w:topLinePunct w:val="0"/>
              <w:bidi w:val="0"/>
              <w:adjustRightInd w:val="0"/>
              <w:snapToGrid w:val="0"/>
              <w:spacing w:line="360" w:lineRule="auto"/>
              <w:ind w:right="0"/>
              <w:rPr>
                <w:rFonts w:hint="eastAsia"/>
                <w:sz w:val="24"/>
                <w:szCs w:val="32"/>
              </w:rPr>
            </w:pPr>
            <w:r>
              <w:rPr>
                <w:b/>
                <w:bCs/>
                <w:kern w:val="0"/>
                <w:sz w:val="24"/>
                <w:szCs w:val="32"/>
              </w:rPr>
              <w:t>平衡方案：</w:t>
            </w:r>
          </w:p>
          <w:p>
            <w:pPr>
              <w:keepNext w:val="0"/>
              <w:keepLines w:val="0"/>
              <w:pageBreakBefore w:val="0"/>
              <w:kinsoku/>
              <w:wordWrap/>
              <w:overflowPunct/>
              <w:topLinePunct w:val="0"/>
              <w:bidi w:val="0"/>
              <w:adjustRightInd w:val="0"/>
              <w:snapToGrid w:val="0"/>
              <w:spacing w:line="360" w:lineRule="auto"/>
              <w:ind w:right="0" w:firstLine="480"/>
              <w:rPr>
                <w:rFonts w:ascii="宋体" w:hAnsi="宋体" w:cs="宋体"/>
                <w:kern w:val="0"/>
                <w:szCs w:val="21"/>
              </w:rPr>
            </w:pPr>
            <w:r>
              <w:rPr>
                <w:rFonts w:hint="eastAsia"/>
                <w:sz w:val="24"/>
                <w:szCs w:val="32"/>
              </w:rPr>
              <w:t>对照《关于进一步优化建设项目排污总量指标管理提升环评审批效能的意见（试行）》（通环办[2023]132号），根据“《固定污染源排污许可分类管理名录》（2019版），对实施登记管理的建设项目不再实施总量平衡”。因此本项目无需实施总量平衡。</w:t>
            </w:r>
          </w:p>
        </w:tc>
      </w:tr>
    </w:tbl>
    <w:p>
      <w:pPr>
        <w:pStyle w:val="26"/>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30"/>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5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90" w:hRule="atLeast"/>
          <w:jc w:val="center"/>
        </w:trPr>
        <w:tc>
          <w:tcPr>
            <w:tcW w:w="473" w:type="dxa"/>
            <w:tcMar>
              <w:left w:w="28" w:type="dxa"/>
              <w:right w:w="28" w:type="dxa"/>
            </w:tcMar>
            <w:vAlign w:val="center"/>
          </w:tcPr>
          <w:p>
            <w:pPr>
              <w:pStyle w:val="26"/>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施工</w:t>
            </w:r>
          </w:p>
          <w:p>
            <w:pPr>
              <w:pStyle w:val="26"/>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期环</w:t>
            </w:r>
          </w:p>
          <w:p>
            <w:pPr>
              <w:pStyle w:val="26"/>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境保</w:t>
            </w:r>
          </w:p>
          <w:p>
            <w:pPr>
              <w:pStyle w:val="26"/>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护措</w:t>
            </w:r>
          </w:p>
          <w:p>
            <w:pPr>
              <w:pStyle w:val="26"/>
              <w:adjustRightInd w:val="0"/>
              <w:snapToGrid w:val="0"/>
              <w:spacing w:before="0" w:beforeAutospacing="0" w:after="0" w:afterAutospacing="0"/>
              <w:jc w:val="center"/>
              <w:rPr>
                <w:rFonts w:cs="宋体"/>
                <w:b/>
                <w:bCs/>
                <w:kern w:val="2"/>
                <w:sz w:val="24"/>
                <w:szCs w:val="24"/>
              </w:rPr>
            </w:pPr>
            <w:r>
              <w:rPr>
                <w:rFonts w:hint="eastAsia" w:cs="宋体"/>
                <w:b/>
                <w:bCs/>
                <w:kern w:val="2"/>
                <w:sz w:val="24"/>
                <w:szCs w:val="24"/>
              </w:rPr>
              <w:t>施</w:t>
            </w:r>
          </w:p>
        </w:tc>
        <w:tc>
          <w:tcPr>
            <w:tcW w:w="8508" w:type="dxa"/>
            <w:vAlign w:val="center"/>
          </w:tcPr>
          <w:p>
            <w:pPr>
              <w:adjustRightInd w:val="0"/>
              <w:snapToGrid w:val="0"/>
              <w:spacing w:line="360" w:lineRule="auto"/>
              <w:ind w:firstLine="440" w:firstLineChars="200"/>
              <w:rPr>
                <w:rFonts w:ascii="宋体" w:hAnsi="宋体" w:cs="宋体"/>
                <w:bCs/>
                <w:spacing w:val="-10"/>
                <w:sz w:val="24"/>
                <w:szCs w:val="24"/>
              </w:rPr>
            </w:pPr>
            <w:r>
              <w:rPr>
                <w:rFonts w:hint="eastAsia" w:ascii="宋体" w:hAnsi="宋体" w:cs="宋体"/>
                <w:bCs/>
                <w:spacing w:val="-10"/>
                <w:sz w:val="24"/>
                <w:szCs w:val="24"/>
              </w:rPr>
              <w:t>本项目利用现有已建厂房进行生产，施工期主要为设备调整安装，无土建工程，施工期环境影响较小。因此，本报告不再阐述施工期环境影响。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73" w:type="dxa"/>
            <w:tcMar>
              <w:left w:w="28" w:type="dxa"/>
              <w:right w:w="28" w:type="dxa"/>
            </w:tcMar>
            <w:vAlign w:val="center"/>
          </w:tcPr>
          <w:p>
            <w:pPr>
              <w:adjustRightInd w:val="0"/>
              <w:snapToGrid w:val="0"/>
              <w:jc w:val="center"/>
              <w:rPr>
                <w:rFonts w:ascii="宋体" w:hAnsi="宋体" w:cs="宋体"/>
                <w:b/>
                <w:bCs/>
                <w:sz w:val="24"/>
                <w:szCs w:val="24"/>
              </w:rPr>
            </w:pPr>
            <w:r>
              <w:rPr>
                <w:rFonts w:hint="eastAsia" w:ascii="宋体" w:hAnsi="宋体" w:cs="宋体"/>
                <w:b/>
                <w:bCs/>
                <w:sz w:val="24"/>
                <w:szCs w:val="24"/>
              </w:rPr>
              <w:t>运营</w:t>
            </w:r>
          </w:p>
          <w:p>
            <w:pPr>
              <w:adjustRightInd w:val="0"/>
              <w:snapToGrid w:val="0"/>
              <w:jc w:val="center"/>
              <w:rPr>
                <w:rFonts w:ascii="宋体" w:hAnsi="宋体" w:cs="宋体"/>
                <w:b/>
                <w:bCs/>
                <w:sz w:val="24"/>
                <w:szCs w:val="24"/>
              </w:rPr>
            </w:pPr>
            <w:r>
              <w:rPr>
                <w:rFonts w:hint="eastAsia" w:ascii="宋体" w:hAnsi="宋体" w:cs="宋体"/>
                <w:b/>
                <w:bCs/>
                <w:sz w:val="24"/>
                <w:szCs w:val="24"/>
              </w:rPr>
              <w:t>期环</w:t>
            </w:r>
          </w:p>
          <w:p>
            <w:pPr>
              <w:adjustRightInd w:val="0"/>
              <w:snapToGrid w:val="0"/>
              <w:jc w:val="center"/>
              <w:rPr>
                <w:rFonts w:ascii="宋体" w:hAnsi="宋体" w:cs="宋体"/>
                <w:b/>
                <w:bCs/>
                <w:sz w:val="24"/>
                <w:szCs w:val="24"/>
              </w:rPr>
            </w:pPr>
            <w:r>
              <w:rPr>
                <w:rFonts w:hint="eastAsia" w:ascii="宋体" w:hAnsi="宋体" w:cs="宋体"/>
                <w:b/>
                <w:bCs/>
                <w:sz w:val="24"/>
                <w:szCs w:val="24"/>
              </w:rPr>
              <w:t>境影</w:t>
            </w:r>
          </w:p>
          <w:p>
            <w:pPr>
              <w:adjustRightInd w:val="0"/>
              <w:snapToGrid w:val="0"/>
              <w:jc w:val="center"/>
              <w:rPr>
                <w:rFonts w:ascii="宋体" w:hAnsi="宋体" w:cs="宋体"/>
                <w:b/>
                <w:bCs/>
                <w:sz w:val="24"/>
                <w:szCs w:val="24"/>
              </w:rPr>
            </w:pPr>
            <w:r>
              <w:rPr>
                <w:rFonts w:hint="eastAsia" w:ascii="宋体" w:hAnsi="宋体" w:cs="宋体"/>
                <w:b/>
                <w:bCs/>
                <w:sz w:val="24"/>
                <w:szCs w:val="24"/>
              </w:rPr>
              <w:t>响和</w:t>
            </w:r>
          </w:p>
          <w:p>
            <w:pPr>
              <w:adjustRightInd w:val="0"/>
              <w:snapToGrid w:val="0"/>
              <w:jc w:val="center"/>
              <w:rPr>
                <w:rFonts w:ascii="宋体" w:hAnsi="宋体" w:cs="宋体"/>
                <w:b/>
                <w:bCs/>
                <w:sz w:val="24"/>
                <w:szCs w:val="24"/>
              </w:rPr>
            </w:pPr>
            <w:r>
              <w:rPr>
                <w:rFonts w:hint="eastAsia" w:ascii="宋体" w:hAnsi="宋体" w:cs="宋体"/>
                <w:b/>
                <w:bCs/>
                <w:sz w:val="24"/>
                <w:szCs w:val="24"/>
              </w:rPr>
              <w:t>保护</w:t>
            </w:r>
          </w:p>
          <w:p>
            <w:pPr>
              <w:adjustRightInd w:val="0"/>
              <w:snapToGrid w:val="0"/>
              <w:jc w:val="center"/>
              <w:rPr>
                <w:rFonts w:ascii="宋体" w:hAnsi="宋体" w:cs="宋体"/>
                <w:b/>
                <w:bCs/>
                <w:szCs w:val="21"/>
              </w:rPr>
            </w:pPr>
            <w:r>
              <w:rPr>
                <w:rFonts w:hint="eastAsia" w:ascii="宋体" w:hAnsi="宋体" w:cs="宋体"/>
                <w:b/>
                <w:bCs/>
                <w:sz w:val="24"/>
                <w:szCs w:val="24"/>
              </w:rPr>
              <w:t>措施</w:t>
            </w:r>
          </w:p>
        </w:tc>
        <w:tc>
          <w:tcPr>
            <w:tcW w:w="8508" w:type="dxa"/>
            <w:vAlign w:val="center"/>
          </w:tcPr>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废气</w:t>
            </w:r>
          </w:p>
          <w:p>
            <w:pPr>
              <w:widowControl/>
              <w:adjustRightInd w:val="0"/>
              <w:snapToGrid w:val="0"/>
              <w:spacing w:line="360" w:lineRule="auto"/>
              <w:ind w:firstLine="482" w:firstLineChars="200"/>
              <w:jc w:val="left"/>
              <w:rPr>
                <w:rFonts w:hint="eastAsia"/>
                <w:b/>
                <w:bCs/>
                <w:sz w:val="24"/>
                <w:szCs w:val="32"/>
                <w:lang w:val="en-US" w:eastAsia="zh-CN"/>
              </w:rPr>
            </w:pPr>
            <w:r>
              <w:rPr>
                <w:rFonts w:hint="eastAsia"/>
                <w:b/>
                <w:bCs/>
                <w:color w:val="000000"/>
                <w:sz w:val="24"/>
                <w:szCs w:val="24"/>
                <w:lang w:val="en-US" w:eastAsia="zh-CN"/>
              </w:rPr>
              <w:t>1.</w:t>
            </w:r>
            <w:r>
              <w:rPr>
                <w:rFonts w:hint="eastAsia"/>
                <w:b/>
                <w:bCs/>
                <w:sz w:val="24"/>
                <w:szCs w:val="24"/>
              </w:rPr>
              <w:t>废气产排污信息及排放口情况</w:t>
            </w:r>
          </w:p>
          <w:p>
            <w:pPr>
              <w:adjustRightInd w:val="0"/>
              <w:snapToGrid w:val="0"/>
              <w:spacing w:line="360" w:lineRule="auto"/>
              <w:ind w:firstLine="480"/>
              <w:rPr>
                <w:rFonts w:hint="eastAsia" w:ascii="Times New Roman" w:hAnsi="Times New Roman" w:eastAsia="宋体" w:cs="Times New Roman"/>
                <w:b w:val="0"/>
                <w:bCs w:val="0"/>
                <w:sz w:val="24"/>
                <w:szCs w:val="32"/>
              </w:rPr>
            </w:pPr>
            <w:r>
              <w:rPr>
                <w:rFonts w:hint="eastAsia"/>
                <w:b w:val="0"/>
                <w:bCs w:val="0"/>
                <w:sz w:val="24"/>
                <w:szCs w:val="32"/>
                <w:lang w:val="en-US" w:eastAsia="zh-CN"/>
              </w:rPr>
              <w:t>（1）</w:t>
            </w:r>
            <w:r>
              <w:rPr>
                <w:rFonts w:hint="eastAsia" w:ascii="Times New Roman" w:hAnsi="Times New Roman" w:eastAsia="宋体" w:cs="Times New Roman"/>
                <w:b w:val="0"/>
                <w:bCs w:val="0"/>
                <w:sz w:val="24"/>
                <w:szCs w:val="32"/>
                <w:lang w:val="en-US" w:eastAsia="zh-CN"/>
              </w:rPr>
              <w:t>加热定型</w:t>
            </w:r>
            <w:r>
              <w:rPr>
                <w:rFonts w:hint="eastAsia" w:ascii="Times New Roman" w:hAnsi="Times New Roman" w:eastAsia="宋体" w:cs="Times New Roman"/>
                <w:b w:val="0"/>
                <w:bCs w:val="0"/>
                <w:sz w:val="24"/>
                <w:szCs w:val="32"/>
              </w:rPr>
              <w:t>废气</w:t>
            </w:r>
          </w:p>
          <w:p>
            <w:pPr>
              <w:adjustRightInd w:val="0"/>
              <w:snapToGrid w:val="0"/>
              <w:spacing w:line="360" w:lineRule="auto"/>
              <w:ind w:firstLine="480"/>
              <w:rPr>
                <w:b/>
                <w:bCs/>
                <w:sz w:val="24"/>
                <w:szCs w:val="32"/>
              </w:rPr>
            </w:pPr>
            <w:r>
              <w:rPr>
                <w:rFonts w:hint="eastAsia" w:ascii="Times New Roman" w:hAnsi="Times New Roman" w:cs="Times New Roman"/>
                <w:sz w:val="24"/>
                <w:szCs w:val="32"/>
              </w:rPr>
              <w:t>加热定型工序在密闭容器内进行，且原料为已发泡好的EPP(可发性聚丙烯)，EPP是一种性能卓越的高结晶型聚合物/气体复合材料，可以100%的回收利用，与其他泡沫材料相比，EPP是一种纯粹的碳</w:t>
            </w:r>
            <w:r>
              <w:rPr>
                <w:rFonts w:hint="eastAsia" w:cs="Times New Roman"/>
                <w:sz w:val="24"/>
                <w:szCs w:val="32"/>
                <w:lang w:val="en-US" w:eastAsia="zh-CN"/>
              </w:rPr>
              <w:t>氢</w:t>
            </w:r>
            <w:r>
              <w:rPr>
                <w:rFonts w:hint="eastAsia" w:ascii="Times New Roman" w:hAnsi="Times New Roman" w:cs="Times New Roman"/>
                <w:sz w:val="24"/>
                <w:szCs w:val="32"/>
              </w:rPr>
              <w:t>化合物，不含增塑剂或发泡剂等其它任何不利于再循环的化学物质，</w:t>
            </w:r>
            <w:r>
              <w:rPr>
                <w:rFonts w:hint="default" w:ascii="Times New Roman" w:hAnsi="Times New Roman" w:cs="Times New Roman"/>
                <w:sz w:val="24"/>
                <w:szCs w:val="32"/>
              </w:rPr>
              <w:t>自燃温度357℃</w:t>
            </w:r>
            <w:r>
              <w:rPr>
                <w:rFonts w:hint="eastAsia" w:cs="Times New Roman"/>
                <w:sz w:val="24"/>
                <w:szCs w:val="32"/>
                <w:lang w:eastAsia="zh-CN"/>
              </w:rPr>
              <w:t>，</w:t>
            </w:r>
            <w:r>
              <w:rPr>
                <w:rFonts w:hint="eastAsia" w:cs="Times New Roman"/>
                <w:sz w:val="24"/>
                <w:szCs w:val="32"/>
                <w:lang w:val="en-US" w:eastAsia="zh-CN"/>
              </w:rPr>
              <w:t>燃烧产物仅碳氧化物</w:t>
            </w:r>
            <w:r>
              <w:rPr>
                <w:rFonts w:hint="eastAsia" w:ascii="Times New Roman" w:hAnsi="Times New Roman" w:cs="Times New Roman"/>
                <w:sz w:val="24"/>
                <w:szCs w:val="32"/>
              </w:rPr>
              <w:t>。项目加热定型温度控制在160℃左右</w:t>
            </w:r>
            <w:r>
              <w:rPr>
                <w:rFonts w:hint="eastAsia" w:cs="Times New Roman"/>
                <w:sz w:val="24"/>
                <w:szCs w:val="32"/>
                <w:lang w:eastAsia="zh-CN"/>
              </w:rPr>
              <w:t>，</w:t>
            </w:r>
            <w:r>
              <w:rPr>
                <w:rFonts w:hint="eastAsia" w:ascii="Times New Roman" w:hAnsi="Times New Roman" w:cs="Times New Roman"/>
                <w:sz w:val="24"/>
                <w:szCs w:val="32"/>
              </w:rPr>
              <w:t>能够使EPP软化，并且不会导致EPP分解，</w:t>
            </w:r>
            <w:r>
              <w:rPr>
                <w:rFonts w:hint="eastAsia" w:cs="Times New Roman"/>
                <w:sz w:val="24"/>
                <w:szCs w:val="32"/>
                <w:lang w:val="en-US" w:eastAsia="zh-CN"/>
              </w:rPr>
              <w:t>因为</w:t>
            </w:r>
            <w:r>
              <w:rPr>
                <w:rFonts w:hint="eastAsia" w:ascii="Times New Roman" w:hAnsi="Times New Roman" w:cs="Times New Roman"/>
                <w:sz w:val="24"/>
                <w:szCs w:val="32"/>
              </w:rPr>
              <w:t>密闭容器无法收集，</w:t>
            </w:r>
            <w:r>
              <w:rPr>
                <w:rFonts w:hint="eastAsia" w:cs="Times New Roman"/>
                <w:sz w:val="24"/>
                <w:szCs w:val="32"/>
                <w:lang w:val="en-US" w:eastAsia="zh-CN"/>
              </w:rPr>
              <w:t>且厂房布局限制，</w:t>
            </w:r>
            <w:r>
              <w:rPr>
                <w:rFonts w:hint="eastAsia" w:ascii="Times New Roman" w:hAnsi="Times New Roman" w:cs="Times New Roman"/>
                <w:sz w:val="24"/>
                <w:szCs w:val="32"/>
              </w:rPr>
              <w:t>因此不设置废气收集装置及排气</w:t>
            </w:r>
            <w:r>
              <w:rPr>
                <w:rFonts w:hint="eastAsia" w:cs="Times New Roman"/>
                <w:sz w:val="24"/>
                <w:szCs w:val="32"/>
                <w:lang w:val="en-US" w:eastAsia="zh-CN"/>
              </w:rPr>
              <w:t>筒</w:t>
            </w:r>
            <w:r>
              <w:rPr>
                <w:rFonts w:hint="eastAsia" w:ascii="Times New Roman" w:hAnsi="Times New Roman" w:cs="Times New Roman"/>
                <w:sz w:val="24"/>
                <w:szCs w:val="32"/>
              </w:rPr>
              <w:t>，材料加热过程逸出的极少量未聚合单体(以非甲烷总烃计)在车间内无组织排放。根据</w:t>
            </w:r>
            <w:r>
              <w:rPr>
                <w:rFonts w:hint="eastAsia" w:cs="Times New Roman"/>
                <w:sz w:val="24"/>
                <w:szCs w:val="32"/>
                <w:lang w:val="en-US" w:eastAsia="zh-CN"/>
              </w:rPr>
              <w:t>企业提供发泡聚丙烯材料检测报告</w:t>
            </w:r>
            <w:r>
              <w:rPr>
                <w:rFonts w:hint="eastAsia" w:ascii="Times New Roman" w:hAnsi="Times New Roman" w:cs="Times New Roman"/>
                <w:sz w:val="24"/>
                <w:szCs w:val="32"/>
              </w:rPr>
              <w:t>，</w:t>
            </w:r>
            <w:r>
              <w:rPr>
                <w:rFonts w:hint="eastAsia" w:cs="Times New Roman"/>
                <w:sz w:val="24"/>
                <w:szCs w:val="32"/>
                <w:lang w:val="en-US" w:eastAsia="zh-CN"/>
              </w:rPr>
              <w:t>TVOC未检出，按检出限5μ</w:t>
            </w:r>
            <w:r>
              <w:rPr>
                <w:rFonts w:hint="eastAsia" w:ascii="Times New Roman" w:hAnsi="Times New Roman" w:cs="Times New Roman"/>
                <w:sz w:val="24"/>
                <w:szCs w:val="32"/>
              </w:rPr>
              <w:t>g</w:t>
            </w:r>
            <w:r>
              <w:rPr>
                <w:rFonts w:hint="eastAsia" w:cs="Times New Roman"/>
                <w:sz w:val="24"/>
                <w:szCs w:val="32"/>
                <w:lang w:val="en-US" w:eastAsia="zh-CN"/>
              </w:rPr>
              <w:t>C</w:t>
            </w:r>
            <w:r>
              <w:rPr>
                <w:rFonts w:hint="eastAsia" w:ascii="Times New Roman" w:hAnsi="Times New Roman" w:cs="Times New Roman"/>
                <w:sz w:val="24"/>
                <w:szCs w:val="32"/>
              </w:rPr>
              <w:t>/</w:t>
            </w:r>
            <w:r>
              <w:rPr>
                <w:rFonts w:hint="eastAsia" w:cs="Times New Roman"/>
                <w:sz w:val="24"/>
                <w:szCs w:val="32"/>
                <w:lang w:val="en-US" w:eastAsia="zh-CN"/>
              </w:rPr>
              <w:t>g计</w:t>
            </w:r>
            <w:r>
              <w:rPr>
                <w:rFonts w:hint="eastAsia" w:ascii="Times New Roman" w:hAnsi="Times New Roman" w:cs="Times New Roman"/>
                <w:sz w:val="24"/>
                <w:szCs w:val="32"/>
              </w:rPr>
              <w:t>。</w:t>
            </w:r>
            <w:r>
              <w:rPr>
                <w:rFonts w:hint="eastAsia" w:cs="Times New Roman"/>
                <w:sz w:val="24"/>
                <w:szCs w:val="32"/>
                <w:lang w:val="en-US" w:eastAsia="zh-CN"/>
              </w:rPr>
              <w:t>搬迁后全厂</w:t>
            </w:r>
            <w:r>
              <w:rPr>
                <w:rFonts w:hint="eastAsia" w:ascii="Times New Roman" w:hAnsi="Times New Roman" w:cs="Times New Roman"/>
                <w:sz w:val="24"/>
                <w:szCs w:val="32"/>
              </w:rPr>
              <w:t>年使用EPP（已发泡）</w:t>
            </w:r>
            <w:r>
              <w:rPr>
                <w:rFonts w:hint="eastAsia" w:cs="Times New Roman"/>
                <w:sz w:val="24"/>
                <w:szCs w:val="32"/>
                <w:lang w:val="en-US" w:eastAsia="zh-CN"/>
              </w:rPr>
              <w:t>505</w:t>
            </w:r>
            <w:r>
              <w:rPr>
                <w:rFonts w:hint="eastAsia" w:ascii="Times New Roman" w:hAnsi="Times New Roman" w:cs="Times New Roman"/>
                <w:sz w:val="24"/>
                <w:szCs w:val="32"/>
              </w:rPr>
              <w:t>t，则</w:t>
            </w:r>
            <w:r>
              <w:rPr>
                <w:rFonts w:hint="eastAsia" w:cs="Times New Roman"/>
                <w:sz w:val="24"/>
                <w:szCs w:val="32"/>
                <w:lang w:val="en-US" w:eastAsia="zh-CN"/>
              </w:rPr>
              <w:t>非甲烷总烃</w:t>
            </w:r>
            <w:r>
              <w:rPr>
                <w:rFonts w:hint="eastAsia" w:ascii="Times New Roman" w:hAnsi="Times New Roman" w:cs="Times New Roman"/>
                <w:sz w:val="24"/>
                <w:szCs w:val="32"/>
              </w:rPr>
              <w:t>产生量约为</w:t>
            </w:r>
            <w:r>
              <w:rPr>
                <w:rFonts w:hint="eastAsia" w:cs="Times New Roman"/>
                <w:sz w:val="24"/>
                <w:szCs w:val="32"/>
                <w:lang w:val="en-US" w:eastAsia="zh-CN"/>
              </w:rPr>
              <w:t>0.003</w:t>
            </w:r>
            <w:r>
              <w:rPr>
                <w:rFonts w:hint="eastAsia" w:ascii="Times New Roman" w:hAnsi="Times New Roman" w:cs="Times New Roman"/>
                <w:sz w:val="24"/>
                <w:szCs w:val="32"/>
              </w:rPr>
              <w:t>t/a，</w:t>
            </w:r>
            <w:r>
              <w:rPr>
                <w:rFonts w:hint="eastAsia" w:ascii="Times New Roman" w:hAnsi="Times New Roman" w:eastAsia="宋体" w:cs="Times New Roman"/>
                <w:sz w:val="24"/>
                <w:szCs w:val="32"/>
                <w:lang w:val="en-US" w:eastAsia="zh-CN"/>
              </w:rPr>
              <w:t>年运行时间</w:t>
            </w:r>
            <w:r>
              <w:rPr>
                <w:rFonts w:hint="eastAsia" w:cs="Times New Roman"/>
                <w:sz w:val="24"/>
                <w:szCs w:val="32"/>
                <w:lang w:val="en-US" w:eastAsia="zh-CN"/>
              </w:rPr>
              <w:t>8</w:t>
            </w:r>
            <w:r>
              <w:rPr>
                <w:rFonts w:hint="eastAsia" w:ascii="Times New Roman" w:hAnsi="Times New Roman" w:eastAsia="宋体" w:cs="Times New Roman"/>
                <w:sz w:val="24"/>
                <w:szCs w:val="32"/>
                <w:lang w:val="en-US" w:eastAsia="zh-CN"/>
              </w:rPr>
              <w:t>00h，则</w:t>
            </w:r>
            <w:r>
              <w:rPr>
                <w:rFonts w:hint="eastAsia"/>
                <w:sz w:val="24"/>
                <w:szCs w:val="32"/>
                <w:lang w:val="en-US" w:eastAsia="zh-CN"/>
              </w:rPr>
              <w:t>非甲烷总烃</w:t>
            </w:r>
            <w:r>
              <w:rPr>
                <w:rFonts w:hint="eastAsia" w:ascii="Times New Roman" w:hAnsi="Times New Roman" w:eastAsia="宋体" w:cs="Times New Roman"/>
                <w:sz w:val="24"/>
                <w:szCs w:val="32"/>
                <w:lang w:val="en-US" w:eastAsia="zh-CN"/>
              </w:rPr>
              <w:t>无组织排放量</w:t>
            </w:r>
            <w:r>
              <w:rPr>
                <w:rFonts w:hint="eastAsia" w:cs="Times New Roman"/>
                <w:sz w:val="24"/>
                <w:szCs w:val="32"/>
                <w:lang w:val="en-US" w:eastAsia="zh-CN"/>
              </w:rPr>
              <w:t>0.003</w:t>
            </w:r>
            <w:r>
              <w:rPr>
                <w:rFonts w:hint="eastAsia" w:ascii="Times New Roman" w:hAnsi="Times New Roman" w:eastAsia="宋体" w:cs="Times New Roman"/>
                <w:sz w:val="24"/>
                <w:szCs w:val="32"/>
                <w:lang w:val="en-US" w:eastAsia="zh-CN"/>
              </w:rPr>
              <w:t>t/a，排放速率0.</w:t>
            </w:r>
            <w:r>
              <w:rPr>
                <w:rFonts w:hint="eastAsia" w:cs="Times New Roman"/>
                <w:sz w:val="24"/>
                <w:szCs w:val="32"/>
                <w:lang w:val="en-US" w:eastAsia="zh-CN"/>
              </w:rPr>
              <w:t>0038</w:t>
            </w:r>
            <w:r>
              <w:rPr>
                <w:rFonts w:hint="eastAsia" w:ascii="Times New Roman" w:hAnsi="Times New Roman" w:eastAsia="宋体" w:cs="Times New Roman"/>
                <w:sz w:val="24"/>
                <w:szCs w:val="32"/>
                <w:lang w:val="en-US" w:eastAsia="zh-CN"/>
              </w:rPr>
              <w:t>kg/h</w:t>
            </w:r>
            <w:r>
              <w:rPr>
                <w:rFonts w:hint="eastAsia"/>
                <w:sz w:val="24"/>
                <w:szCs w:val="32"/>
              </w:rPr>
              <w:t>。</w:t>
            </w:r>
          </w:p>
          <w:p>
            <w:pPr>
              <w:autoSpaceDE w:val="0"/>
              <w:autoSpaceDN w:val="0"/>
              <w:adjustRightInd w:val="0"/>
              <w:snapToGrid w:val="0"/>
              <w:spacing w:line="360" w:lineRule="auto"/>
              <w:jc w:val="center"/>
              <w:rPr>
                <w:b/>
                <w:bCs/>
                <w:sz w:val="24"/>
                <w:szCs w:val="32"/>
              </w:rPr>
            </w:pPr>
            <w:r>
              <w:rPr>
                <w:b/>
                <w:bCs/>
                <w:sz w:val="24"/>
                <w:szCs w:val="32"/>
              </w:rPr>
              <w:t>表4-</w:t>
            </w:r>
            <w:r>
              <w:rPr>
                <w:rFonts w:hint="eastAsia"/>
                <w:b/>
                <w:bCs/>
                <w:sz w:val="24"/>
                <w:szCs w:val="32"/>
                <w:lang w:val="en-US" w:eastAsia="zh-CN"/>
              </w:rPr>
              <w:t xml:space="preserve">1 </w:t>
            </w:r>
            <w:r>
              <w:rPr>
                <w:rFonts w:hint="eastAsia"/>
                <w:b/>
                <w:bCs/>
                <w:sz w:val="24"/>
                <w:szCs w:val="32"/>
              </w:rPr>
              <w:t>本项目</w:t>
            </w:r>
            <w:r>
              <w:rPr>
                <w:rFonts w:hint="eastAsia"/>
                <w:b/>
                <w:bCs/>
                <w:sz w:val="24"/>
                <w:szCs w:val="32"/>
                <w:lang w:val="en-US" w:eastAsia="zh-CN"/>
              </w:rPr>
              <w:t>无组织</w:t>
            </w:r>
            <w:r>
              <w:rPr>
                <w:b/>
                <w:bCs/>
                <w:sz w:val="24"/>
                <w:szCs w:val="32"/>
              </w:rPr>
              <w:t>废气产排污情况表</w:t>
            </w:r>
          </w:p>
          <w:tbl>
            <w:tblPr>
              <w:tblStyle w:val="30"/>
              <w:tblW w:w="82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0"/>
              <w:gridCol w:w="708"/>
              <w:gridCol w:w="871"/>
              <w:gridCol w:w="1093"/>
              <w:gridCol w:w="913"/>
              <w:gridCol w:w="1175"/>
              <w:gridCol w:w="816"/>
              <w:gridCol w:w="1171"/>
              <w:gridCol w:w="8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noWrap w:val="0"/>
                  <w:vAlign w:val="center"/>
                </w:tcPr>
                <w:p>
                  <w:pPr>
                    <w:pStyle w:val="72"/>
                    <w:pBdr>
                      <w:bottom w:val="none" w:color="auto" w:sz="0" w:space="0"/>
                      <w:right w:val="none" w:color="auto" w:sz="0" w:space="0"/>
                    </w:pBdr>
                    <w:spacing w:before="0" w:beforeAutospacing="0" w:after="0" w:afterAutospacing="0"/>
                    <w:rPr>
                      <w:b/>
                      <w:bCs/>
                      <w:lang w:eastAsia="zh-CN"/>
                    </w:rPr>
                  </w:pPr>
                  <w:r>
                    <w:rPr>
                      <w:b/>
                      <w:bCs/>
                      <w:lang w:eastAsia="zh-CN"/>
                    </w:rPr>
                    <w:t>排放源</w:t>
                  </w:r>
                </w:p>
              </w:tc>
              <w:tc>
                <w:tcPr>
                  <w:tcW w:w="708" w:type="dxa"/>
                  <w:noWrap w:val="0"/>
                  <w:vAlign w:val="center"/>
                </w:tcPr>
                <w:p>
                  <w:pPr>
                    <w:pStyle w:val="72"/>
                    <w:pBdr>
                      <w:bottom w:val="none" w:color="auto" w:sz="0" w:space="0"/>
                      <w:right w:val="none" w:color="auto" w:sz="0" w:space="0"/>
                    </w:pBdr>
                    <w:spacing w:before="0" w:beforeAutospacing="0" w:after="0" w:afterAutospacing="0"/>
                    <w:rPr>
                      <w:b/>
                      <w:bCs/>
                      <w:lang w:eastAsia="zh-CN"/>
                    </w:rPr>
                  </w:pPr>
                  <w:r>
                    <w:rPr>
                      <w:b/>
                      <w:bCs/>
                      <w:lang w:eastAsia="zh-CN"/>
                    </w:rPr>
                    <w:t>污染物</w:t>
                  </w:r>
                </w:p>
              </w:tc>
              <w:tc>
                <w:tcPr>
                  <w:tcW w:w="871" w:type="dxa"/>
                  <w:noWrap w:val="0"/>
                  <w:vAlign w:val="center"/>
                </w:tcPr>
                <w:p>
                  <w:pPr>
                    <w:adjustRightInd w:val="0"/>
                    <w:snapToGrid w:val="0"/>
                    <w:jc w:val="center"/>
                    <w:rPr>
                      <w:b/>
                      <w:bCs/>
                      <w:kern w:val="0"/>
                    </w:rPr>
                  </w:pPr>
                  <w:r>
                    <w:rPr>
                      <w:rFonts w:hint="eastAsia"/>
                      <w:b/>
                      <w:bCs/>
                      <w:kern w:val="0"/>
                    </w:rPr>
                    <w:t>产生</w:t>
                  </w:r>
                  <w:r>
                    <w:rPr>
                      <w:b/>
                      <w:bCs/>
                      <w:kern w:val="0"/>
                    </w:rPr>
                    <w:t>量（t/a）</w:t>
                  </w:r>
                </w:p>
              </w:tc>
              <w:tc>
                <w:tcPr>
                  <w:tcW w:w="1093" w:type="dxa"/>
                  <w:noWrap w:val="0"/>
                  <w:vAlign w:val="center"/>
                </w:tcPr>
                <w:p>
                  <w:pPr>
                    <w:adjustRightInd w:val="0"/>
                    <w:snapToGrid w:val="0"/>
                    <w:jc w:val="center"/>
                    <w:rPr>
                      <w:b/>
                      <w:bCs/>
                      <w:kern w:val="0"/>
                    </w:rPr>
                  </w:pPr>
                  <w:r>
                    <w:rPr>
                      <w:rFonts w:hint="eastAsia"/>
                      <w:b/>
                      <w:bCs/>
                      <w:kern w:val="0"/>
                    </w:rPr>
                    <w:t>产生</w:t>
                  </w:r>
                  <w:r>
                    <w:rPr>
                      <w:b/>
                      <w:bCs/>
                      <w:kern w:val="0"/>
                    </w:rPr>
                    <w:t>速率（kg/h）</w:t>
                  </w:r>
                </w:p>
              </w:tc>
              <w:tc>
                <w:tcPr>
                  <w:tcW w:w="913" w:type="dxa"/>
                  <w:noWrap w:val="0"/>
                  <w:vAlign w:val="center"/>
                </w:tcPr>
                <w:p>
                  <w:pPr>
                    <w:adjustRightInd w:val="0"/>
                    <w:snapToGrid w:val="0"/>
                    <w:jc w:val="center"/>
                    <w:rPr>
                      <w:b/>
                      <w:bCs/>
                      <w:kern w:val="0"/>
                    </w:rPr>
                  </w:pPr>
                  <w:r>
                    <w:rPr>
                      <w:b/>
                      <w:bCs/>
                      <w:kern w:val="0"/>
                    </w:rPr>
                    <w:t>排放量（t/a）</w:t>
                  </w:r>
                </w:p>
              </w:tc>
              <w:tc>
                <w:tcPr>
                  <w:tcW w:w="1175" w:type="dxa"/>
                  <w:noWrap w:val="0"/>
                  <w:vAlign w:val="center"/>
                </w:tcPr>
                <w:p>
                  <w:pPr>
                    <w:adjustRightInd w:val="0"/>
                    <w:snapToGrid w:val="0"/>
                    <w:jc w:val="center"/>
                    <w:rPr>
                      <w:b/>
                      <w:bCs/>
                      <w:kern w:val="0"/>
                    </w:rPr>
                  </w:pPr>
                  <w:r>
                    <w:rPr>
                      <w:b/>
                      <w:bCs/>
                      <w:kern w:val="0"/>
                    </w:rPr>
                    <w:t>排放速率（kg/h）</w:t>
                  </w:r>
                </w:p>
              </w:tc>
              <w:tc>
                <w:tcPr>
                  <w:tcW w:w="816" w:type="dxa"/>
                  <w:noWrap w:val="0"/>
                  <w:vAlign w:val="center"/>
                </w:tcPr>
                <w:p>
                  <w:pPr>
                    <w:adjustRightInd w:val="0"/>
                    <w:snapToGrid w:val="0"/>
                    <w:jc w:val="center"/>
                    <w:rPr>
                      <w:b/>
                      <w:bCs/>
                      <w:kern w:val="0"/>
                    </w:rPr>
                  </w:pPr>
                  <w:r>
                    <w:rPr>
                      <w:rFonts w:hint="eastAsia"/>
                      <w:b/>
                      <w:bCs/>
                      <w:kern w:val="0"/>
                    </w:rPr>
                    <w:t>排放时间h</w:t>
                  </w:r>
                </w:p>
              </w:tc>
              <w:tc>
                <w:tcPr>
                  <w:tcW w:w="1171" w:type="dxa"/>
                  <w:noWrap w:val="0"/>
                  <w:vAlign w:val="center"/>
                </w:tcPr>
                <w:p>
                  <w:pPr>
                    <w:adjustRightInd w:val="0"/>
                    <w:snapToGrid w:val="0"/>
                    <w:jc w:val="center"/>
                    <w:rPr>
                      <w:b/>
                      <w:bCs/>
                      <w:kern w:val="0"/>
                    </w:rPr>
                  </w:pPr>
                  <w:r>
                    <w:rPr>
                      <w:b/>
                      <w:bCs/>
                      <w:kern w:val="0"/>
                    </w:rPr>
                    <w:t>面源面积（m×m）</w:t>
                  </w:r>
                </w:p>
              </w:tc>
              <w:tc>
                <w:tcPr>
                  <w:tcW w:w="875" w:type="dxa"/>
                  <w:noWrap w:val="0"/>
                  <w:vAlign w:val="center"/>
                </w:tcPr>
                <w:p>
                  <w:pPr>
                    <w:adjustRightInd w:val="0"/>
                    <w:snapToGrid w:val="0"/>
                    <w:jc w:val="center"/>
                    <w:rPr>
                      <w:b/>
                      <w:bCs/>
                      <w:kern w:val="0"/>
                    </w:rPr>
                  </w:pPr>
                  <w:r>
                    <w:rPr>
                      <w:b/>
                      <w:bCs/>
                      <w:kern w:val="0"/>
                    </w:rPr>
                    <w:t>高度（m）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670" w:type="dxa"/>
                  <w:noWrap w:val="0"/>
                  <w:vAlign w:val="center"/>
                </w:tcPr>
                <w:p>
                  <w:pPr>
                    <w:pStyle w:val="71"/>
                    <w:adjustRightInd w:val="0"/>
                    <w:snapToGrid w:val="0"/>
                    <w:spacing w:line="240" w:lineRule="auto"/>
                    <w:jc w:val="center"/>
                    <w:rPr>
                      <w:rFonts w:hint="eastAsia" w:ascii="Times New Roman" w:hAnsi="Times New Roman" w:eastAsia="宋体" w:cs="Times New Roman"/>
                      <w:bCs/>
                      <w:kern w:val="0"/>
                      <w:sz w:val="21"/>
                      <w:szCs w:val="24"/>
                      <w:lang w:val="en-US" w:eastAsia="zh-CN" w:bidi="ar-SA"/>
                    </w:rPr>
                  </w:pPr>
                  <w:r>
                    <w:rPr>
                      <w:rFonts w:hint="eastAsia" w:eastAsia="宋体"/>
                      <w:lang w:val="en-US" w:eastAsia="zh-CN"/>
                    </w:rPr>
                    <w:t>加热定型</w:t>
                  </w:r>
                </w:p>
              </w:tc>
              <w:tc>
                <w:tcPr>
                  <w:tcW w:w="708"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非甲烷总烃</w:t>
                  </w:r>
                </w:p>
              </w:tc>
              <w:tc>
                <w:tcPr>
                  <w:tcW w:w="871"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0.</w:t>
                  </w:r>
                  <w:r>
                    <w:rPr>
                      <w:rFonts w:hint="eastAsia" w:cs="Times New Roman"/>
                      <w:kern w:val="0"/>
                      <w:sz w:val="21"/>
                      <w:szCs w:val="24"/>
                      <w:lang w:val="en-US" w:eastAsia="zh-CN" w:bidi="ar-SA"/>
                    </w:rPr>
                    <w:t>003</w:t>
                  </w:r>
                </w:p>
              </w:tc>
              <w:tc>
                <w:tcPr>
                  <w:tcW w:w="1093"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0.</w:t>
                  </w:r>
                  <w:r>
                    <w:rPr>
                      <w:rFonts w:hint="eastAsia" w:cs="Times New Roman"/>
                      <w:kern w:val="0"/>
                      <w:sz w:val="21"/>
                      <w:szCs w:val="24"/>
                      <w:lang w:val="en-US" w:eastAsia="zh-CN" w:bidi="ar-SA"/>
                    </w:rPr>
                    <w:t>0038</w:t>
                  </w:r>
                </w:p>
              </w:tc>
              <w:tc>
                <w:tcPr>
                  <w:tcW w:w="913"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0.</w:t>
                  </w:r>
                  <w:r>
                    <w:rPr>
                      <w:rFonts w:hint="eastAsia" w:cs="Times New Roman"/>
                      <w:kern w:val="0"/>
                      <w:sz w:val="21"/>
                      <w:szCs w:val="24"/>
                      <w:lang w:val="en-US" w:eastAsia="zh-CN" w:bidi="ar-SA"/>
                    </w:rPr>
                    <w:t>003</w:t>
                  </w:r>
                </w:p>
              </w:tc>
              <w:tc>
                <w:tcPr>
                  <w:tcW w:w="1175" w:type="dxa"/>
                  <w:shd w:val="clear" w:color="auto" w:fill="auto"/>
                  <w:noWrap w:val="0"/>
                  <w:vAlign w:val="center"/>
                </w:tcPr>
                <w:p>
                  <w:pPr>
                    <w:adjustRightInd w:val="0"/>
                    <w:snapToGrid w:val="0"/>
                    <w:jc w:val="center"/>
                    <w:rPr>
                      <w:rFonts w:hint="default" w:ascii="Times New Roman" w:hAnsi="Times New Roman" w:eastAsia="宋体" w:cs="Times New Roman"/>
                      <w:kern w:val="0"/>
                      <w:sz w:val="21"/>
                      <w:szCs w:val="24"/>
                      <w:lang w:val="en-US" w:eastAsia="zh-CN" w:bidi="ar-SA"/>
                    </w:rPr>
                  </w:pPr>
                  <w:r>
                    <w:rPr>
                      <w:rFonts w:hint="eastAsia" w:ascii="Times New Roman" w:hAnsi="Times New Roman" w:cs="Times New Roman"/>
                      <w:kern w:val="0"/>
                      <w:sz w:val="21"/>
                      <w:szCs w:val="24"/>
                      <w:lang w:val="en-US" w:eastAsia="zh-CN" w:bidi="ar-SA"/>
                    </w:rPr>
                    <w:t>0.</w:t>
                  </w:r>
                  <w:r>
                    <w:rPr>
                      <w:rFonts w:hint="eastAsia" w:cs="Times New Roman"/>
                      <w:kern w:val="0"/>
                      <w:sz w:val="21"/>
                      <w:szCs w:val="24"/>
                      <w:lang w:val="en-US" w:eastAsia="zh-CN" w:bidi="ar-SA"/>
                    </w:rPr>
                    <w:t>0038</w:t>
                  </w:r>
                </w:p>
              </w:tc>
              <w:tc>
                <w:tcPr>
                  <w:tcW w:w="816" w:type="dxa"/>
                  <w:noWrap w:val="0"/>
                  <w:vAlign w:val="center"/>
                </w:tcPr>
                <w:p>
                  <w:pPr>
                    <w:adjustRightInd w:val="0"/>
                    <w:snapToGrid w:val="0"/>
                    <w:jc w:val="center"/>
                    <w:rPr>
                      <w:rFonts w:hint="eastAsia" w:eastAsia="宋体"/>
                      <w:kern w:val="0"/>
                      <w:lang w:val="en-US" w:eastAsia="zh-CN"/>
                    </w:rPr>
                  </w:pPr>
                  <w:r>
                    <w:rPr>
                      <w:rFonts w:hint="eastAsia"/>
                      <w:kern w:val="0"/>
                      <w:lang w:val="en-US" w:eastAsia="zh-CN"/>
                    </w:rPr>
                    <w:t>8</w:t>
                  </w:r>
                  <w:r>
                    <w:rPr>
                      <w:rFonts w:hint="eastAsia"/>
                      <w:kern w:val="0"/>
                    </w:rPr>
                    <w:t>0</w:t>
                  </w:r>
                  <w:r>
                    <w:rPr>
                      <w:rFonts w:hint="eastAsia"/>
                      <w:kern w:val="0"/>
                      <w:lang w:val="en-US" w:eastAsia="zh-CN"/>
                    </w:rPr>
                    <w:t>0</w:t>
                  </w:r>
                </w:p>
              </w:tc>
              <w:tc>
                <w:tcPr>
                  <w:tcW w:w="1171" w:type="dxa"/>
                  <w:noWrap w:val="0"/>
                  <w:vAlign w:val="center"/>
                </w:tcPr>
                <w:p>
                  <w:pPr>
                    <w:adjustRightInd w:val="0"/>
                    <w:snapToGrid w:val="0"/>
                    <w:jc w:val="center"/>
                    <w:rPr>
                      <w:rFonts w:hint="default" w:eastAsia="宋体"/>
                      <w:kern w:val="0"/>
                      <w:lang w:val="en-US" w:eastAsia="zh-CN"/>
                    </w:rPr>
                  </w:pPr>
                  <w:r>
                    <w:rPr>
                      <w:rFonts w:hint="eastAsia"/>
                      <w:kern w:val="0"/>
                      <w:lang w:val="en-US" w:eastAsia="zh-CN"/>
                    </w:rPr>
                    <w:t>1200</w:t>
                  </w:r>
                </w:p>
              </w:tc>
              <w:tc>
                <w:tcPr>
                  <w:tcW w:w="875" w:type="dxa"/>
                  <w:noWrap w:val="0"/>
                  <w:vAlign w:val="center"/>
                </w:tcPr>
                <w:p>
                  <w:pPr>
                    <w:adjustRightInd w:val="0"/>
                    <w:snapToGrid w:val="0"/>
                    <w:jc w:val="center"/>
                    <w:rPr>
                      <w:kern w:val="0"/>
                    </w:rPr>
                  </w:pPr>
                  <w:r>
                    <w:rPr>
                      <w:rFonts w:hint="eastAsia"/>
                      <w:kern w:val="0"/>
                    </w:rPr>
                    <w:t>3</w:t>
                  </w:r>
                </w:p>
              </w:tc>
            </w:tr>
          </w:tbl>
          <w:p>
            <w:pPr>
              <w:numPr>
                <w:ilvl w:val="0"/>
                <w:numId w:val="0"/>
              </w:numPr>
              <w:spacing w:line="240" w:lineRule="auto"/>
              <w:rPr>
                <w:rFonts w:ascii="Times New Roman" w:hAnsi="Times New Roman" w:eastAsia="宋体" w:cs="Times New Roman"/>
                <w:color w:val="000000"/>
                <w:kern w:val="2"/>
                <w:sz w:val="21"/>
                <w:szCs w:val="21"/>
                <w:lang w:val="en-US" w:eastAsia="zh-CN" w:bidi="ar-SA"/>
              </w:rPr>
            </w:pPr>
          </w:p>
          <w:p>
            <w:pPr>
              <w:pStyle w:val="54"/>
              <w:spacing w:line="360" w:lineRule="auto"/>
              <w:ind w:firstLine="480"/>
              <w:rPr>
                <w:b/>
                <w:bCs/>
                <w:sz w:val="24"/>
                <w:szCs w:val="21"/>
              </w:rPr>
            </w:pPr>
            <w:r>
              <w:rPr>
                <w:rFonts w:hint="eastAsia" w:cs="Times New Roman"/>
                <w:b/>
                <w:bCs/>
                <w:color w:val="000000"/>
                <w:sz w:val="24"/>
                <w:szCs w:val="24"/>
                <w:lang w:val="en-US" w:eastAsia="zh-CN"/>
              </w:rPr>
              <w:t>2.</w:t>
            </w:r>
            <w:r>
              <w:rPr>
                <w:rFonts w:hint="eastAsia"/>
                <w:b/>
                <w:bCs/>
                <w:sz w:val="24"/>
                <w:szCs w:val="21"/>
              </w:rPr>
              <w:t>达标排放情况</w:t>
            </w:r>
          </w:p>
          <w:p>
            <w:pPr>
              <w:pStyle w:val="54"/>
              <w:spacing w:line="360" w:lineRule="auto"/>
              <w:ind w:firstLine="480"/>
              <w:rPr>
                <w:rFonts w:hint="eastAsia"/>
                <w:sz w:val="24"/>
                <w:szCs w:val="21"/>
              </w:rPr>
            </w:pPr>
            <w:r>
              <w:rPr>
                <w:rFonts w:hint="eastAsia"/>
                <w:sz w:val="24"/>
                <w:szCs w:val="21"/>
              </w:rPr>
              <w:t>无组织废气：本项目废气主要为加热定型</w:t>
            </w:r>
            <w:r>
              <w:rPr>
                <w:rFonts w:hint="eastAsia"/>
                <w:sz w:val="24"/>
                <w:szCs w:val="21"/>
                <w:lang w:val="en-US" w:eastAsia="zh-CN"/>
              </w:rPr>
              <w:t>废气</w:t>
            </w:r>
            <w:r>
              <w:rPr>
                <w:rFonts w:hint="eastAsia"/>
                <w:sz w:val="24"/>
                <w:szCs w:val="21"/>
              </w:rPr>
              <w:t>，本项目无组织废气通过加强通风，加强管理，符合</w:t>
            </w:r>
            <w:r>
              <w:rPr>
                <w:rFonts w:hint="eastAsia"/>
                <w:kern w:val="0"/>
                <w:sz w:val="24"/>
                <w:szCs w:val="24"/>
              </w:rPr>
              <w:t>《合成树脂工业污染物排放标准》（GB 31572-2015，含2024年修改单）</w:t>
            </w:r>
            <w:r>
              <w:rPr>
                <w:rFonts w:hint="eastAsia"/>
                <w:kern w:val="0"/>
                <w:sz w:val="24"/>
                <w:szCs w:val="24"/>
                <w:lang w:val="en-US" w:eastAsia="zh-CN"/>
              </w:rPr>
              <w:t>及</w:t>
            </w:r>
            <w:r>
              <w:rPr>
                <w:rFonts w:hint="eastAsia"/>
                <w:sz w:val="24"/>
                <w:szCs w:val="21"/>
              </w:rPr>
              <w:t>《大气污染物综合排放标准》（DB32/4041-2021）排放监控浓度限值。</w:t>
            </w:r>
          </w:p>
          <w:p>
            <w:pPr>
              <w:pStyle w:val="54"/>
              <w:spacing w:line="360" w:lineRule="auto"/>
              <w:ind w:firstLine="480"/>
              <w:rPr>
                <w:rFonts w:hint="eastAsia"/>
                <w:sz w:val="24"/>
                <w:szCs w:val="21"/>
              </w:rPr>
            </w:pPr>
            <w:r>
              <w:rPr>
                <w:rFonts w:hint="eastAsia"/>
                <w:sz w:val="24"/>
                <w:szCs w:val="21"/>
              </w:rPr>
              <w:t>无组织废气处理措施：</w:t>
            </w:r>
          </w:p>
          <w:p>
            <w:pPr>
              <w:pStyle w:val="54"/>
              <w:spacing w:line="360" w:lineRule="auto"/>
              <w:ind w:firstLine="480"/>
              <w:rPr>
                <w:rFonts w:hint="eastAsia"/>
                <w:sz w:val="24"/>
                <w:szCs w:val="21"/>
              </w:rPr>
            </w:pPr>
            <w:r>
              <w:rPr>
                <w:rFonts w:hint="eastAsia"/>
                <w:sz w:val="24"/>
                <w:szCs w:val="21"/>
                <w:lang w:eastAsia="zh-CN"/>
              </w:rPr>
              <w:t>（</w:t>
            </w:r>
            <w:r>
              <w:rPr>
                <w:rFonts w:hint="eastAsia"/>
                <w:sz w:val="24"/>
                <w:szCs w:val="21"/>
                <w:lang w:val="en-US" w:eastAsia="zh-CN"/>
              </w:rPr>
              <w:t>1</w:t>
            </w:r>
            <w:r>
              <w:rPr>
                <w:rFonts w:hint="eastAsia"/>
                <w:sz w:val="24"/>
                <w:szCs w:val="21"/>
                <w:lang w:eastAsia="zh-CN"/>
              </w:rPr>
              <w:t>）</w:t>
            </w:r>
            <w:r>
              <w:rPr>
                <w:rFonts w:hint="eastAsia"/>
                <w:sz w:val="24"/>
                <w:szCs w:val="21"/>
                <w:lang w:val="en-US" w:eastAsia="zh-CN"/>
              </w:rPr>
              <w:t>按</w:t>
            </w:r>
            <w:r>
              <w:rPr>
                <w:rFonts w:hint="eastAsia"/>
                <w:sz w:val="24"/>
                <w:szCs w:val="21"/>
                <w:lang w:eastAsia="zh-CN"/>
              </w:rPr>
              <w:t>《挥发性有机物无组织排放控制标准》（GB 37822-2019）</w:t>
            </w:r>
            <w:r>
              <w:rPr>
                <w:rFonts w:hint="eastAsia"/>
                <w:sz w:val="24"/>
                <w:szCs w:val="21"/>
                <w:lang w:val="en-US" w:eastAsia="zh-CN"/>
              </w:rPr>
              <w:t>要求，</w:t>
            </w:r>
            <w:r>
              <w:rPr>
                <w:rFonts w:hint="eastAsia" w:ascii="Times New Roman" w:hAnsi="Times New Roman" w:eastAsia="宋体" w:cs="Times New Roman"/>
                <w:color w:val="auto"/>
                <w:sz w:val="24"/>
                <w:szCs w:val="24"/>
              </w:rPr>
              <w:t>原辅料储存</w:t>
            </w:r>
            <w:r>
              <w:rPr>
                <w:rFonts w:hint="eastAsia" w:cs="Times New Roman"/>
                <w:color w:val="auto"/>
                <w:sz w:val="24"/>
                <w:szCs w:val="24"/>
                <w:lang w:val="en-US" w:eastAsia="zh-CN"/>
              </w:rPr>
              <w:t>运输</w:t>
            </w:r>
            <w:r>
              <w:rPr>
                <w:rFonts w:hint="eastAsia" w:ascii="Times New Roman" w:hAnsi="Times New Roman" w:eastAsia="宋体" w:cs="Times New Roman"/>
                <w:color w:val="auto"/>
                <w:sz w:val="24"/>
                <w:szCs w:val="24"/>
              </w:rPr>
              <w:t>过程中密封保存</w:t>
            </w:r>
            <w:r>
              <w:rPr>
                <w:rFonts w:hint="eastAsia" w:cs="Times New Roman"/>
                <w:color w:val="auto"/>
                <w:sz w:val="24"/>
                <w:szCs w:val="24"/>
                <w:lang w:eastAsia="zh-CN"/>
              </w:rPr>
              <w:t>，</w:t>
            </w:r>
            <w:r>
              <w:rPr>
                <w:rFonts w:hint="eastAsia"/>
                <w:sz w:val="24"/>
                <w:szCs w:val="21"/>
              </w:rPr>
              <w:t>加强生产管理，规范操作，使设备设施处于正常工作状态，减少生产、控制、输送等过程中的废气散发；</w:t>
            </w:r>
          </w:p>
          <w:p>
            <w:pPr>
              <w:pStyle w:val="54"/>
              <w:spacing w:line="360" w:lineRule="auto"/>
              <w:ind w:firstLine="480"/>
              <w:rPr>
                <w:rFonts w:hint="eastAsia"/>
                <w:sz w:val="24"/>
                <w:szCs w:val="21"/>
              </w:rPr>
            </w:pPr>
            <w:r>
              <w:rPr>
                <w:rFonts w:hint="eastAsia"/>
                <w:sz w:val="24"/>
                <w:szCs w:val="21"/>
                <w:lang w:eastAsia="zh-CN"/>
              </w:rPr>
              <w:t>（</w:t>
            </w:r>
            <w:r>
              <w:rPr>
                <w:rFonts w:hint="eastAsia"/>
                <w:sz w:val="24"/>
                <w:szCs w:val="21"/>
                <w:lang w:val="en-US" w:eastAsia="zh-CN"/>
              </w:rPr>
              <w:t>2</w:t>
            </w:r>
            <w:r>
              <w:rPr>
                <w:rFonts w:hint="eastAsia"/>
                <w:sz w:val="24"/>
                <w:szCs w:val="21"/>
                <w:lang w:eastAsia="zh-CN"/>
              </w:rPr>
              <w:t>）</w:t>
            </w:r>
            <w:r>
              <w:rPr>
                <w:rFonts w:hint="eastAsia"/>
                <w:sz w:val="24"/>
                <w:szCs w:val="21"/>
              </w:rPr>
              <w:t>要求企业加强操作工人的自我防范、配备必要的劳保用品（口罩、眼镜等）以及按照规范操作等措施，减少对车间操作工人的影响；</w:t>
            </w:r>
          </w:p>
          <w:p>
            <w:pPr>
              <w:pStyle w:val="54"/>
              <w:spacing w:line="360" w:lineRule="auto"/>
              <w:ind w:firstLine="480"/>
              <w:rPr>
                <w:rFonts w:hint="eastAsia" w:eastAsia="宋体"/>
                <w:sz w:val="24"/>
                <w:szCs w:val="21"/>
                <w:lang w:eastAsia="zh-CN"/>
              </w:rPr>
            </w:pPr>
            <w:r>
              <w:rPr>
                <w:rFonts w:hint="eastAsia"/>
                <w:sz w:val="24"/>
                <w:szCs w:val="21"/>
              </w:rPr>
              <w:t>在采取上述措施的情况建设项目无组织排放颗粒物满足环境控制要求，对周围大气环境影响较小</w:t>
            </w:r>
            <w:r>
              <w:rPr>
                <w:rFonts w:hint="eastAsia"/>
                <w:sz w:val="24"/>
                <w:szCs w:val="21"/>
                <w:lang w:eastAsia="zh-CN"/>
              </w:rPr>
              <w:t>。</w:t>
            </w:r>
          </w:p>
          <w:p>
            <w:pPr>
              <w:pStyle w:val="54"/>
              <w:spacing w:line="360" w:lineRule="auto"/>
              <w:ind w:firstLine="480"/>
              <w:rPr>
                <w:b/>
                <w:bCs/>
                <w:sz w:val="24"/>
                <w:szCs w:val="21"/>
              </w:rPr>
            </w:pPr>
            <w:r>
              <w:rPr>
                <w:rFonts w:hint="eastAsia"/>
                <w:b/>
                <w:bCs/>
                <w:sz w:val="24"/>
                <w:szCs w:val="21"/>
                <w:lang w:val="en-US" w:eastAsia="zh-CN"/>
              </w:rPr>
              <w:t>3.</w:t>
            </w:r>
            <w:r>
              <w:rPr>
                <w:b/>
                <w:bCs/>
                <w:sz w:val="24"/>
                <w:szCs w:val="21"/>
              </w:rPr>
              <w:t>非正常情况分析</w:t>
            </w:r>
          </w:p>
          <w:p>
            <w:pPr>
              <w:widowControl/>
              <w:adjustRightInd w:val="0"/>
              <w:snapToGrid w:val="0"/>
              <w:spacing w:line="360" w:lineRule="auto"/>
              <w:ind w:firstLine="480" w:firstLineChars="200"/>
              <w:jc w:val="left"/>
              <w:rPr>
                <w:rFonts w:hint="eastAsia"/>
                <w:sz w:val="24"/>
                <w:szCs w:val="21"/>
                <w:lang w:val="en-US" w:eastAsia="zh-CN"/>
              </w:rPr>
            </w:pPr>
            <w:r>
              <w:rPr>
                <w:rFonts w:hint="default" w:ascii="Times New Roman" w:hAnsi="Times New Roman" w:eastAsia="宋体" w:cs="Times New Roman"/>
                <w:bCs/>
                <w:caps w:val="0"/>
                <w:smallCaps w:val="0"/>
                <w:color w:val="auto"/>
                <w:kern w:val="0"/>
                <w:sz w:val="24"/>
                <w:szCs w:val="24"/>
                <w:highlight w:val="none"/>
              </w:rPr>
              <w:t>事故状况下</w:t>
            </w:r>
            <w:r>
              <w:rPr>
                <w:rFonts w:hint="eastAsia"/>
                <w:sz w:val="24"/>
                <w:szCs w:val="21"/>
              </w:rPr>
              <w:t>产生废气较少</w:t>
            </w:r>
            <w:r>
              <w:rPr>
                <w:sz w:val="24"/>
                <w:szCs w:val="21"/>
              </w:rPr>
              <w:t>，对环境影响较小</w:t>
            </w:r>
            <w:r>
              <w:rPr>
                <w:rFonts w:hint="default" w:ascii="Times New Roman" w:hAnsi="Times New Roman" w:eastAsia="宋体" w:cs="Times New Roman"/>
                <w:bCs/>
                <w:caps w:val="0"/>
                <w:smallCaps w:val="0"/>
                <w:color w:val="auto"/>
                <w:kern w:val="0"/>
                <w:sz w:val="24"/>
                <w:szCs w:val="24"/>
                <w:highlight w:val="none"/>
              </w:rPr>
              <w:t>，一旦发现有事故发生，应立刻停止生产，切断排放源，并组织检修，待事故解除后方可投入生产</w:t>
            </w:r>
            <w:r>
              <w:rPr>
                <w:rFonts w:hint="eastAsia"/>
                <w:sz w:val="24"/>
                <w:szCs w:val="21"/>
                <w:lang w:val="en-US" w:eastAsia="zh-CN"/>
              </w:rPr>
              <w:t>。</w:t>
            </w:r>
          </w:p>
          <w:p>
            <w:pPr>
              <w:widowControl/>
              <w:adjustRightInd w:val="0"/>
              <w:snapToGrid w:val="0"/>
              <w:spacing w:line="360" w:lineRule="auto"/>
              <w:ind w:firstLine="482" w:firstLineChars="200"/>
              <w:jc w:val="left"/>
              <w:rPr>
                <w:rFonts w:hint="eastAsia" w:ascii="Times New Roman" w:hAnsi="Times New Roman" w:eastAsia="宋体" w:cs="Times New Roman"/>
                <w:b/>
                <w:bCs/>
                <w:color w:val="000000"/>
                <w:sz w:val="24"/>
                <w:szCs w:val="24"/>
              </w:rPr>
            </w:pPr>
            <w:r>
              <w:rPr>
                <w:rFonts w:hint="eastAsia"/>
                <w:b/>
                <w:bCs/>
                <w:sz w:val="24"/>
                <w:szCs w:val="21"/>
                <w:lang w:val="en-US" w:eastAsia="zh-CN"/>
              </w:rPr>
              <w:t>4.</w:t>
            </w:r>
            <w:r>
              <w:rPr>
                <w:rFonts w:hint="eastAsia" w:ascii="Times New Roman" w:hAnsi="Times New Roman" w:eastAsia="宋体" w:cs="Times New Roman"/>
                <w:b/>
                <w:bCs/>
                <w:color w:val="000000"/>
                <w:sz w:val="24"/>
                <w:szCs w:val="24"/>
              </w:rPr>
              <w:t>大气环境防护距离计算</w:t>
            </w:r>
          </w:p>
          <w:p>
            <w:pPr>
              <w:widowControl/>
              <w:adjustRightInd w:val="0"/>
              <w:snapToGrid w:val="0"/>
              <w:spacing w:line="360" w:lineRule="auto"/>
              <w:ind w:firstLine="480" w:firstLineChars="200"/>
              <w:jc w:val="left"/>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根据《环境影响评价技术导则 大气环境》（HJ2.2-2018）中推荐的大气环境防护距离计算软件的计算得出建设项目无组织排放的废气均无超标点，即废气可满足厂界达标排放，不需要设置大气环境防护距离。</w:t>
            </w:r>
          </w:p>
          <w:p>
            <w:pPr>
              <w:widowControl/>
              <w:adjustRightInd w:val="0"/>
              <w:snapToGrid w:val="0"/>
              <w:spacing w:line="360" w:lineRule="auto"/>
              <w:ind w:firstLine="482" w:firstLineChars="200"/>
              <w:jc w:val="left"/>
              <w:rPr>
                <w:rFonts w:hint="eastAsia" w:ascii="Times New Roman" w:hAnsi="Times New Roman" w:eastAsia="宋体" w:cs="Times New Roman"/>
                <w:b/>
                <w:bCs/>
                <w:color w:val="000000"/>
                <w:sz w:val="24"/>
                <w:szCs w:val="24"/>
              </w:rPr>
            </w:pPr>
            <w:r>
              <w:rPr>
                <w:rFonts w:hint="eastAsia" w:cs="Times New Roman"/>
                <w:b/>
                <w:bCs/>
                <w:color w:val="000000"/>
                <w:sz w:val="24"/>
                <w:szCs w:val="24"/>
                <w:lang w:val="en-US" w:eastAsia="zh-CN"/>
              </w:rPr>
              <w:t>5.</w:t>
            </w:r>
            <w:r>
              <w:rPr>
                <w:rFonts w:hint="eastAsia" w:ascii="Times New Roman" w:hAnsi="Times New Roman" w:eastAsia="宋体" w:cs="Times New Roman"/>
                <w:b/>
                <w:bCs/>
                <w:color w:val="000000"/>
                <w:sz w:val="24"/>
                <w:szCs w:val="24"/>
              </w:rPr>
              <w:t>卫生防护距离确定</w:t>
            </w:r>
          </w:p>
          <w:p>
            <w:pPr>
              <w:widowControl/>
              <w:adjustRightInd w:val="0"/>
              <w:snapToGrid w:val="0"/>
              <w:spacing w:line="360" w:lineRule="auto"/>
              <w:ind w:firstLine="480" w:firstLineChars="200"/>
              <w:jc w:val="left"/>
              <w:rPr>
                <w:rFonts w:hint="eastAsia"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根据《大气有害物质无组织排放卫生防护距离推导技术导则》（GB/T39499-2020）核算卫生防护距离。</w:t>
            </w:r>
          </w:p>
          <w:p>
            <w:pPr>
              <w:widowControl/>
              <w:adjustRightInd w:val="0"/>
              <w:snapToGrid w:val="0"/>
              <w:spacing w:line="360" w:lineRule="auto"/>
              <w:ind w:firstLine="480" w:firstLineChars="200"/>
              <w:jc w:val="left"/>
              <w:rPr>
                <w:rFonts w:hint="eastAsia" w:ascii="Times New Roman" w:hAnsi="Times New Roman" w:eastAsia="宋体" w:cs="Times New Roman"/>
                <w:color w:val="000000"/>
                <w:sz w:val="24"/>
                <w:szCs w:val="24"/>
              </w:rPr>
            </w:pPr>
            <w:r>
              <w:rPr>
                <w:rFonts w:hint="eastAsia" w:cs="Times New Roman"/>
                <w:color w:val="000000"/>
                <w:sz w:val="24"/>
                <w:szCs w:val="24"/>
                <w:lang w:eastAsia="zh-CN"/>
              </w:rPr>
              <w:t>（</w:t>
            </w:r>
            <w:r>
              <w:rPr>
                <w:rFonts w:hint="eastAsia" w:cs="Times New Roman"/>
                <w:color w:val="000000"/>
                <w:sz w:val="24"/>
                <w:szCs w:val="24"/>
                <w:lang w:val="en-US" w:eastAsia="zh-CN"/>
              </w:rPr>
              <w:t>1</w:t>
            </w:r>
            <w:r>
              <w:rPr>
                <w:rFonts w:hint="eastAsia" w:cs="Times New Roman"/>
                <w:color w:val="000000"/>
                <w:sz w:val="24"/>
                <w:szCs w:val="24"/>
                <w:lang w:eastAsia="zh-CN"/>
              </w:rPr>
              <w:t>）</w:t>
            </w:r>
            <w:r>
              <w:rPr>
                <w:rFonts w:hint="eastAsia" w:ascii="Times New Roman" w:hAnsi="Times New Roman" w:eastAsia="宋体" w:cs="Times New Roman"/>
                <w:color w:val="000000"/>
                <w:sz w:val="24"/>
                <w:szCs w:val="24"/>
              </w:rPr>
              <w:t>卫生防护距离初值计算公式</w:t>
            </w:r>
          </w:p>
          <w:p>
            <w:pPr>
              <w:widowControl/>
              <w:adjustRightInd w:val="0"/>
              <w:snapToGrid w:val="0"/>
              <w:spacing w:line="360" w:lineRule="auto"/>
              <w:ind w:firstLine="480" w:firstLineChars="200"/>
              <w:jc w:val="left"/>
              <w:rPr>
                <w:color w:val="auto"/>
                <w:sz w:val="24"/>
                <w:szCs w:val="32"/>
              </w:rPr>
            </w:pPr>
            <w:r>
              <w:rPr>
                <w:rFonts w:hint="eastAsia" w:ascii="Times New Roman" w:hAnsi="Times New Roman" w:eastAsia="宋体" w:cs="Times New Roman"/>
                <w:color w:val="000000"/>
                <w:sz w:val="24"/>
                <w:szCs w:val="24"/>
              </w:rPr>
              <w:t>采用GB/T3840-1991中7.4推荐的估算方法进行计算，具体公式如下：</w:t>
            </w:r>
          </w:p>
          <w:p>
            <w:pPr>
              <w:pStyle w:val="73"/>
              <w:jc w:val="center"/>
              <w:rPr>
                <w:color w:val="auto"/>
                <w:sz w:val="24"/>
                <w:szCs w:val="24"/>
              </w:rPr>
            </w:pPr>
            <w:r>
              <w:rPr>
                <w:color w:val="auto"/>
                <w:sz w:val="24"/>
                <w:szCs w:val="32"/>
              </w:rPr>
              <w:object>
                <v:shape id="_x0000_i1027" o:spt="75" type="#_x0000_t75" style="height:35.25pt;width:141.75pt;" o:ole="t" filled="f" o:preferrelative="t" stroked="f" coordsize="21600,21600">
                  <v:path/>
                  <v:fill on="f" focussize="0,0"/>
                  <v:stroke on="f"/>
                  <v:imagedata r:id="rId12" o:title=""/>
                  <o:lock v:ext="edit" aspectratio="t"/>
                  <w10:wrap type="none"/>
                  <w10:anchorlock/>
                </v:shape>
                <o:OLEObject Type="Embed" ProgID="Equation.3" ShapeID="_x0000_i1027" DrawAspect="Content" ObjectID="_1468075727" r:id="rId11">
                  <o:LockedField>false</o:LockedField>
                </o:OLEObject>
              </w:object>
            </w:r>
          </w:p>
          <w:p>
            <w:pPr>
              <w:pStyle w:val="73"/>
              <w:rPr>
                <w:color w:val="auto"/>
                <w:sz w:val="24"/>
                <w:szCs w:val="24"/>
              </w:rPr>
            </w:pPr>
            <w:r>
              <w:rPr>
                <w:color w:val="auto"/>
                <w:sz w:val="24"/>
                <w:szCs w:val="24"/>
              </w:rPr>
              <w:t>式中：Qc—大气有害物质的无组织排放量，单位kg/h。</w:t>
            </w:r>
          </w:p>
          <w:p>
            <w:pPr>
              <w:pStyle w:val="73"/>
              <w:rPr>
                <w:color w:val="auto"/>
                <w:sz w:val="24"/>
                <w:szCs w:val="24"/>
              </w:rPr>
            </w:pPr>
            <w:r>
              <w:rPr>
                <w:color w:val="auto"/>
                <w:sz w:val="24"/>
                <w:szCs w:val="24"/>
              </w:rPr>
              <w:t>Cm—大气有害物质环境空气质量的标准限值，单位mg/Nm</w:t>
            </w:r>
            <w:r>
              <w:rPr>
                <w:color w:val="auto"/>
                <w:sz w:val="24"/>
                <w:szCs w:val="24"/>
                <w:vertAlign w:val="superscript"/>
              </w:rPr>
              <w:t>3</w:t>
            </w:r>
            <w:r>
              <w:rPr>
                <w:color w:val="auto"/>
                <w:sz w:val="24"/>
                <w:szCs w:val="24"/>
              </w:rPr>
              <w:t>；</w:t>
            </w:r>
          </w:p>
          <w:p>
            <w:pPr>
              <w:pStyle w:val="73"/>
              <w:rPr>
                <w:color w:val="auto"/>
                <w:sz w:val="24"/>
                <w:szCs w:val="24"/>
              </w:rPr>
            </w:pPr>
            <w:r>
              <w:rPr>
                <w:color w:val="auto"/>
                <w:sz w:val="24"/>
                <w:szCs w:val="24"/>
              </w:rPr>
              <w:t>L—大气有害物质卫生防护距离初值，单位，m；</w:t>
            </w:r>
          </w:p>
          <w:p>
            <w:pPr>
              <w:pStyle w:val="73"/>
              <w:rPr>
                <w:color w:val="auto"/>
                <w:sz w:val="24"/>
                <w:szCs w:val="24"/>
              </w:rPr>
            </w:pPr>
            <w:r>
              <w:rPr>
                <w:color w:val="auto"/>
                <w:sz w:val="24"/>
                <w:szCs w:val="24"/>
              </w:rPr>
              <w:t>γ—大气有害物质无组织排放源所在生产单元的等效半径；</w:t>
            </w:r>
          </w:p>
          <w:p>
            <w:pPr>
              <w:pStyle w:val="73"/>
              <w:rPr>
                <w:rFonts w:hint="eastAsia"/>
                <w:color w:val="auto"/>
                <w:sz w:val="24"/>
                <w:szCs w:val="24"/>
              </w:rPr>
            </w:pPr>
            <w:r>
              <w:rPr>
                <w:color w:val="auto"/>
                <w:sz w:val="24"/>
                <w:szCs w:val="24"/>
              </w:rPr>
              <w:t>A、B、C、D—卫生防护距离计算系数，无因次；具体见表</w:t>
            </w:r>
            <w:r>
              <w:rPr>
                <w:rFonts w:hint="eastAsia"/>
                <w:color w:val="auto"/>
                <w:sz w:val="24"/>
                <w:szCs w:val="24"/>
              </w:rPr>
              <w:t>4-</w:t>
            </w:r>
            <w:r>
              <w:rPr>
                <w:rFonts w:hint="eastAsia"/>
                <w:color w:val="auto"/>
                <w:sz w:val="24"/>
                <w:szCs w:val="24"/>
                <w:lang w:val="en-US" w:eastAsia="zh-CN"/>
              </w:rPr>
              <w:t>3</w:t>
            </w:r>
            <w:r>
              <w:rPr>
                <w:rFonts w:hint="eastAsia"/>
                <w:color w:val="auto"/>
                <w:sz w:val="24"/>
                <w:szCs w:val="24"/>
              </w:rPr>
              <w:t>。</w:t>
            </w:r>
          </w:p>
          <w:p>
            <w:pPr>
              <w:pStyle w:val="73"/>
              <w:rPr>
                <w:rFonts w:hint="eastAsia"/>
                <w:color w:val="auto"/>
                <w:sz w:val="24"/>
                <w:szCs w:val="24"/>
              </w:rPr>
            </w:pPr>
            <w:r>
              <w:rPr>
                <w:rFonts w:hint="eastAsia"/>
                <w:color w:val="auto"/>
                <w:sz w:val="24"/>
                <w:szCs w:val="24"/>
              </w:rPr>
              <w:t>本项目位于南通市，南通市近五年平均风速为3.3m/s。</w:t>
            </w:r>
          </w:p>
          <w:p>
            <w:pPr>
              <w:pStyle w:val="74"/>
              <w:spacing w:before="24" w:after="24"/>
              <w:rPr>
                <w:b/>
                <w:bCs w:val="0"/>
                <w:color w:val="auto"/>
                <w:sz w:val="24"/>
                <w:szCs w:val="24"/>
              </w:rPr>
            </w:pPr>
            <w:r>
              <w:rPr>
                <w:b/>
                <w:bCs w:val="0"/>
                <w:color w:val="auto"/>
                <w:sz w:val="24"/>
                <w:szCs w:val="24"/>
              </w:rPr>
              <w:t>表</w:t>
            </w:r>
            <w:r>
              <w:rPr>
                <w:rFonts w:hint="eastAsia"/>
                <w:b/>
                <w:bCs w:val="0"/>
                <w:color w:val="auto"/>
                <w:sz w:val="24"/>
                <w:szCs w:val="24"/>
              </w:rPr>
              <w:t>4-</w:t>
            </w:r>
            <w:r>
              <w:rPr>
                <w:rFonts w:hint="eastAsia"/>
                <w:b/>
                <w:bCs w:val="0"/>
                <w:color w:val="auto"/>
                <w:sz w:val="24"/>
                <w:szCs w:val="24"/>
                <w:lang w:val="en-US" w:eastAsia="zh-CN"/>
              </w:rPr>
              <w:t>2</w:t>
            </w:r>
            <w:r>
              <w:rPr>
                <w:b/>
                <w:bCs w:val="0"/>
                <w:color w:val="auto"/>
                <w:sz w:val="24"/>
                <w:szCs w:val="24"/>
              </w:rPr>
              <w:t xml:space="preserve">  卫生防护距离初值计算系数</w:t>
            </w:r>
          </w:p>
          <w:tbl>
            <w:tblPr>
              <w:tblStyle w:val="30"/>
              <w:tblW w:w="829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6"/>
              <w:gridCol w:w="887"/>
              <w:gridCol w:w="751"/>
              <w:gridCol w:w="901"/>
              <w:gridCol w:w="753"/>
              <w:gridCol w:w="751"/>
              <w:gridCol w:w="751"/>
              <w:gridCol w:w="753"/>
              <w:gridCol w:w="751"/>
              <w:gridCol w:w="751"/>
              <w:gridCol w:w="7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restart"/>
                  <w:noWrap w:val="0"/>
                  <w:vAlign w:val="center"/>
                </w:tcPr>
                <w:p>
                  <w:pPr>
                    <w:pStyle w:val="66"/>
                    <w:rPr>
                      <w:color w:val="auto"/>
                    </w:rPr>
                  </w:pPr>
                  <w:r>
                    <w:rPr>
                      <w:color w:val="auto"/>
                    </w:rPr>
                    <w:t>计算系数</w:t>
                  </w:r>
                </w:p>
              </w:tc>
              <w:tc>
                <w:tcPr>
                  <w:tcW w:w="887" w:type="dxa"/>
                  <w:vMerge w:val="restart"/>
                  <w:noWrap w:val="0"/>
                  <w:vAlign w:val="center"/>
                </w:tcPr>
                <w:p>
                  <w:pPr>
                    <w:pStyle w:val="66"/>
                    <w:rPr>
                      <w:color w:val="auto"/>
                    </w:rPr>
                  </w:pPr>
                  <w:r>
                    <w:rPr>
                      <w:color w:val="auto"/>
                    </w:rPr>
                    <w:t>年平均风速m/s</w:t>
                  </w:r>
                </w:p>
              </w:tc>
              <w:tc>
                <w:tcPr>
                  <w:tcW w:w="6919" w:type="dxa"/>
                  <w:gridSpan w:val="9"/>
                  <w:noWrap w:val="0"/>
                  <w:vAlign w:val="center"/>
                </w:tcPr>
                <w:p>
                  <w:pPr>
                    <w:pStyle w:val="66"/>
                    <w:rPr>
                      <w:color w:val="auto"/>
                    </w:rPr>
                  </w:pPr>
                  <w:r>
                    <w:rPr>
                      <w:color w:val="auto"/>
                    </w:rPr>
                    <w:t>卫生防护距离L</w:t>
                  </w:r>
                  <w:r>
                    <w:rPr>
                      <w:rFonts w:hint="eastAsia"/>
                      <w:color w:val="auto"/>
                    </w:rPr>
                    <w:t>/</w:t>
                  </w:r>
                  <w:r>
                    <w:rPr>
                      <w:color w:val="auto"/>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vMerge w:val="continue"/>
                  <w:noWrap w:val="0"/>
                  <w:vAlign w:val="center"/>
                </w:tcPr>
                <w:p>
                  <w:pPr>
                    <w:pStyle w:val="66"/>
                    <w:rPr>
                      <w:color w:val="auto"/>
                    </w:rPr>
                  </w:pPr>
                </w:p>
              </w:tc>
              <w:tc>
                <w:tcPr>
                  <w:tcW w:w="2405" w:type="dxa"/>
                  <w:gridSpan w:val="3"/>
                  <w:noWrap w:val="0"/>
                  <w:vAlign w:val="center"/>
                </w:tcPr>
                <w:p>
                  <w:pPr>
                    <w:pStyle w:val="66"/>
                    <w:rPr>
                      <w:color w:val="auto"/>
                    </w:rPr>
                  </w:pPr>
                  <w:r>
                    <w:rPr>
                      <w:color w:val="auto"/>
                    </w:rPr>
                    <w:t>L≤1000</w:t>
                  </w:r>
                </w:p>
              </w:tc>
              <w:tc>
                <w:tcPr>
                  <w:tcW w:w="2255" w:type="dxa"/>
                  <w:gridSpan w:val="3"/>
                  <w:noWrap w:val="0"/>
                  <w:vAlign w:val="center"/>
                </w:tcPr>
                <w:p>
                  <w:pPr>
                    <w:pStyle w:val="66"/>
                    <w:rPr>
                      <w:color w:val="auto"/>
                    </w:rPr>
                  </w:pPr>
                  <w:r>
                    <w:rPr>
                      <w:color w:val="auto"/>
                    </w:rPr>
                    <w:t>1000＜L≤2000</w:t>
                  </w:r>
                </w:p>
              </w:tc>
              <w:tc>
                <w:tcPr>
                  <w:tcW w:w="2259" w:type="dxa"/>
                  <w:gridSpan w:val="3"/>
                  <w:noWrap w:val="0"/>
                  <w:vAlign w:val="center"/>
                </w:tcPr>
                <w:p>
                  <w:pPr>
                    <w:pStyle w:val="66"/>
                    <w:rPr>
                      <w:color w:val="auto"/>
                    </w:rPr>
                  </w:pPr>
                  <w:r>
                    <w:rPr>
                      <w:color w:val="auto"/>
                    </w:rPr>
                    <w:t>L＞2000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vMerge w:val="continue"/>
                  <w:noWrap w:val="0"/>
                  <w:vAlign w:val="center"/>
                </w:tcPr>
                <w:p>
                  <w:pPr>
                    <w:pStyle w:val="66"/>
                    <w:rPr>
                      <w:color w:val="auto"/>
                    </w:rPr>
                  </w:pPr>
                </w:p>
              </w:tc>
              <w:tc>
                <w:tcPr>
                  <w:tcW w:w="6919" w:type="dxa"/>
                  <w:gridSpan w:val="9"/>
                  <w:noWrap w:val="0"/>
                  <w:vAlign w:val="center"/>
                </w:tcPr>
                <w:p>
                  <w:pPr>
                    <w:pStyle w:val="66"/>
                    <w:rPr>
                      <w:color w:val="auto"/>
                    </w:rPr>
                  </w:pPr>
                  <w:r>
                    <w:rPr>
                      <w:color w:val="auto"/>
                    </w:rPr>
                    <w:t>工业</w:t>
                  </w:r>
                  <w:r>
                    <w:rPr>
                      <w:rFonts w:hint="eastAsia"/>
                      <w:color w:val="auto"/>
                    </w:rPr>
                    <w:t>企业</w:t>
                  </w:r>
                  <w:r>
                    <w:rPr>
                      <w:color w:val="auto"/>
                    </w:rPr>
                    <w:t>大气污染源构成类别</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vMerge w:val="continue"/>
                  <w:noWrap w:val="0"/>
                  <w:vAlign w:val="center"/>
                </w:tcPr>
                <w:p>
                  <w:pPr>
                    <w:pStyle w:val="66"/>
                    <w:rPr>
                      <w:color w:val="auto"/>
                    </w:rPr>
                  </w:pPr>
                </w:p>
              </w:tc>
              <w:tc>
                <w:tcPr>
                  <w:tcW w:w="751" w:type="dxa"/>
                  <w:noWrap w:val="0"/>
                  <w:vAlign w:val="center"/>
                </w:tcPr>
                <w:p>
                  <w:pPr>
                    <w:pStyle w:val="66"/>
                    <w:rPr>
                      <w:color w:val="auto"/>
                    </w:rPr>
                  </w:pPr>
                  <w:r>
                    <w:rPr>
                      <w:color w:val="auto"/>
                    </w:rPr>
                    <w:t>Ⅰ</w:t>
                  </w:r>
                </w:p>
              </w:tc>
              <w:tc>
                <w:tcPr>
                  <w:tcW w:w="901" w:type="dxa"/>
                  <w:noWrap w:val="0"/>
                  <w:vAlign w:val="center"/>
                </w:tcPr>
                <w:p>
                  <w:pPr>
                    <w:pStyle w:val="66"/>
                    <w:rPr>
                      <w:color w:val="auto"/>
                    </w:rPr>
                  </w:pPr>
                  <w:r>
                    <w:rPr>
                      <w:color w:val="auto"/>
                    </w:rPr>
                    <w:t>Ⅱ</w:t>
                  </w:r>
                </w:p>
              </w:tc>
              <w:tc>
                <w:tcPr>
                  <w:tcW w:w="753" w:type="dxa"/>
                  <w:noWrap w:val="0"/>
                  <w:vAlign w:val="center"/>
                </w:tcPr>
                <w:p>
                  <w:pPr>
                    <w:pStyle w:val="66"/>
                    <w:rPr>
                      <w:color w:val="auto"/>
                    </w:rPr>
                  </w:pPr>
                  <w:r>
                    <w:rPr>
                      <w:color w:val="auto"/>
                    </w:rPr>
                    <w:t>Ⅲ</w:t>
                  </w:r>
                </w:p>
              </w:tc>
              <w:tc>
                <w:tcPr>
                  <w:tcW w:w="751" w:type="dxa"/>
                  <w:noWrap w:val="0"/>
                  <w:vAlign w:val="center"/>
                </w:tcPr>
                <w:p>
                  <w:pPr>
                    <w:pStyle w:val="66"/>
                    <w:rPr>
                      <w:color w:val="auto"/>
                    </w:rPr>
                  </w:pPr>
                  <w:r>
                    <w:rPr>
                      <w:color w:val="auto"/>
                    </w:rPr>
                    <w:t>Ⅰ</w:t>
                  </w:r>
                </w:p>
              </w:tc>
              <w:tc>
                <w:tcPr>
                  <w:tcW w:w="751" w:type="dxa"/>
                  <w:noWrap w:val="0"/>
                  <w:vAlign w:val="center"/>
                </w:tcPr>
                <w:p>
                  <w:pPr>
                    <w:pStyle w:val="66"/>
                    <w:rPr>
                      <w:color w:val="auto"/>
                    </w:rPr>
                  </w:pPr>
                  <w:r>
                    <w:rPr>
                      <w:color w:val="auto"/>
                    </w:rPr>
                    <w:t>Ⅱ</w:t>
                  </w:r>
                </w:p>
              </w:tc>
              <w:tc>
                <w:tcPr>
                  <w:tcW w:w="753" w:type="dxa"/>
                  <w:noWrap w:val="0"/>
                  <w:vAlign w:val="center"/>
                </w:tcPr>
                <w:p>
                  <w:pPr>
                    <w:pStyle w:val="66"/>
                    <w:rPr>
                      <w:color w:val="auto"/>
                    </w:rPr>
                  </w:pPr>
                  <w:r>
                    <w:rPr>
                      <w:color w:val="auto"/>
                    </w:rPr>
                    <w:t>Ⅲ</w:t>
                  </w:r>
                </w:p>
              </w:tc>
              <w:tc>
                <w:tcPr>
                  <w:tcW w:w="751" w:type="dxa"/>
                  <w:noWrap w:val="0"/>
                  <w:vAlign w:val="center"/>
                </w:tcPr>
                <w:p>
                  <w:pPr>
                    <w:pStyle w:val="66"/>
                    <w:rPr>
                      <w:color w:val="auto"/>
                    </w:rPr>
                  </w:pPr>
                  <w:r>
                    <w:rPr>
                      <w:color w:val="auto"/>
                    </w:rPr>
                    <w:t>Ⅰ</w:t>
                  </w:r>
                </w:p>
              </w:tc>
              <w:tc>
                <w:tcPr>
                  <w:tcW w:w="751" w:type="dxa"/>
                  <w:noWrap w:val="0"/>
                  <w:vAlign w:val="center"/>
                </w:tcPr>
                <w:p>
                  <w:pPr>
                    <w:pStyle w:val="66"/>
                    <w:rPr>
                      <w:color w:val="auto"/>
                    </w:rPr>
                  </w:pPr>
                  <w:r>
                    <w:rPr>
                      <w:color w:val="auto"/>
                    </w:rPr>
                    <w:t>Ⅱ</w:t>
                  </w:r>
                </w:p>
              </w:tc>
              <w:tc>
                <w:tcPr>
                  <w:tcW w:w="757" w:type="dxa"/>
                  <w:noWrap w:val="0"/>
                  <w:vAlign w:val="center"/>
                </w:tcPr>
                <w:p>
                  <w:pPr>
                    <w:pStyle w:val="66"/>
                    <w:rPr>
                      <w:color w:val="auto"/>
                    </w:rPr>
                  </w:pPr>
                  <w:r>
                    <w:rPr>
                      <w:color w:val="auto"/>
                    </w:rPr>
                    <w:t>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restart"/>
                  <w:noWrap w:val="0"/>
                  <w:vAlign w:val="center"/>
                </w:tcPr>
                <w:p>
                  <w:pPr>
                    <w:pStyle w:val="66"/>
                    <w:rPr>
                      <w:color w:val="auto"/>
                    </w:rPr>
                  </w:pPr>
                  <w:r>
                    <w:rPr>
                      <w:color w:val="auto"/>
                    </w:rPr>
                    <w:t>A</w:t>
                  </w:r>
                </w:p>
              </w:tc>
              <w:tc>
                <w:tcPr>
                  <w:tcW w:w="887" w:type="dxa"/>
                  <w:noWrap w:val="0"/>
                  <w:vAlign w:val="center"/>
                </w:tcPr>
                <w:p>
                  <w:pPr>
                    <w:pStyle w:val="66"/>
                    <w:rPr>
                      <w:color w:val="auto"/>
                    </w:rPr>
                  </w:pPr>
                  <w:r>
                    <w:rPr>
                      <w:color w:val="auto"/>
                    </w:rPr>
                    <w:t>＜2</w:t>
                  </w:r>
                </w:p>
              </w:tc>
              <w:tc>
                <w:tcPr>
                  <w:tcW w:w="751" w:type="dxa"/>
                  <w:noWrap w:val="0"/>
                  <w:vAlign w:val="center"/>
                </w:tcPr>
                <w:p>
                  <w:pPr>
                    <w:pStyle w:val="66"/>
                    <w:rPr>
                      <w:color w:val="auto"/>
                    </w:rPr>
                  </w:pPr>
                  <w:r>
                    <w:rPr>
                      <w:color w:val="auto"/>
                    </w:rPr>
                    <w:t>400</w:t>
                  </w:r>
                </w:p>
              </w:tc>
              <w:tc>
                <w:tcPr>
                  <w:tcW w:w="901" w:type="dxa"/>
                  <w:noWrap w:val="0"/>
                  <w:vAlign w:val="center"/>
                </w:tcPr>
                <w:p>
                  <w:pPr>
                    <w:pStyle w:val="66"/>
                    <w:rPr>
                      <w:color w:val="auto"/>
                    </w:rPr>
                  </w:pPr>
                  <w:r>
                    <w:rPr>
                      <w:color w:val="auto"/>
                    </w:rPr>
                    <w:t>400</w:t>
                  </w:r>
                </w:p>
              </w:tc>
              <w:tc>
                <w:tcPr>
                  <w:tcW w:w="753" w:type="dxa"/>
                  <w:noWrap w:val="0"/>
                  <w:vAlign w:val="center"/>
                </w:tcPr>
                <w:p>
                  <w:pPr>
                    <w:pStyle w:val="66"/>
                    <w:rPr>
                      <w:color w:val="auto"/>
                    </w:rPr>
                  </w:pPr>
                  <w:r>
                    <w:rPr>
                      <w:color w:val="auto"/>
                    </w:rPr>
                    <w:t>400</w:t>
                  </w:r>
                </w:p>
              </w:tc>
              <w:tc>
                <w:tcPr>
                  <w:tcW w:w="751" w:type="dxa"/>
                  <w:noWrap w:val="0"/>
                  <w:vAlign w:val="center"/>
                </w:tcPr>
                <w:p>
                  <w:pPr>
                    <w:pStyle w:val="66"/>
                    <w:rPr>
                      <w:color w:val="auto"/>
                    </w:rPr>
                  </w:pPr>
                  <w:r>
                    <w:rPr>
                      <w:color w:val="auto"/>
                    </w:rPr>
                    <w:t>400</w:t>
                  </w:r>
                </w:p>
              </w:tc>
              <w:tc>
                <w:tcPr>
                  <w:tcW w:w="751" w:type="dxa"/>
                  <w:noWrap w:val="0"/>
                  <w:vAlign w:val="center"/>
                </w:tcPr>
                <w:p>
                  <w:pPr>
                    <w:pStyle w:val="66"/>
                    <w:rPr>
                      <w:color w:val="auto"/>
                    </w:rPr>
                  </w:pPr>
                  <w:r>
                    <w:rPr>
                      <w:color w:val="auto"/>
                    </w:rPr>
                    <w:t>400</w:t>
                  </w:r>
                </w:p>
              </w:tc>
              <w:tc>
                <w:tcPr>
                  <w:tcW w:w="753" w:type="dxa"/>
                  <w:noWrap w:val="0"/>
                  <w:vAlign w:val="center"/>
                </w:tcPr>
                <w:p>
                  <w:pPr>
                    <w:pStyle w:val="66"/>
                    <w:rPr>
                      <w:color w:val="auto"/>
                    </w:rPr>
                  </w:pPr>
                  <w:r>
                    <w:rPr>
                      <w:color w:val="auto"/>
                    </w:rPr>
                    <w:t>400</w:t>
                  </w:r>
                </w:p>
              </w:tc>
              <w:tc>
                <w:tcPr>
                  <w:tcW w:w="751" w:type="dxa"/>
                  <w:noWrap w:val="0"/>
                  <w:vAlign w:val="center"/>
                </w:tcPr>
                <w:p>
                  <w:pPr>
                    <w:pStyle w:val="66"/>
                    <w:rPr>
                      <w:color w:val="auto"/>
                    </w:rPr>
                  </w:pPr>
                  <w:r>
                    <w:rPr>
                      <w:color w:val="auto"/>
                    </w:rPr>
                    <w:t>80</w:t>
                  </w:r>
                </w:p>
              </w:tc>
              <w:tc>
                <w:tcPr>
                  <w:tcW w:w="751" w:type="dxa"/>
                  <w:noWrap w:val="0"/>
                  <w:vAlign w:val="center"/>
                </w:tcPr>
                <w:p>
                  <w:pPr>
                    <w:pStyle w:val="66"/>
                    <w:rPr>
                      <w:color w:val="auto"/>
                    </w:rPr>
                  </w:pPr>
                  <w:r>
                    <w:rPr>
                      <w:color w:val="auto"/>
                    </w:rPr>
                    <w:t>80</w:t>
                  </w:r>
                </w:p>
              </w:tc>
              <w:tc>
                <w:tcPr>
                  <w:tcW w:w="757" w:type="dxa"/>
                  <w:noWrap w:val="0"/>
                  <w:vAlign w:val="center"/>
                </w:tcPr>
                <w:p>
                  <w:pPr>
                    <w:pStyle w:val="66"/>
                    <w:rPr>
                      <w:color w:val="auto"/>
                    </w:rPr>
                  </w:pPr>
                  <w:r>
                    <w:rPr>
                      <w:color w:val="auto"/>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noWrap w:val="0"/>
                  <w:vAlign w:val="center"/>
                </w:tcPr>
                <w:p>
                  <w:pPr>
                    <w:pStyle w:val="66"/>
                    <w:rPr>
                      <w:color w:val="auto"/>
                    </w:rPr>
                  </w:pPr>
                  <w:r>
                    <w:rPr>
                      <w:color w:val="auto"/>
                    </w:rPr>
                    <w:t>2～4</w:t>
                  </w:r>
                </w:p>
              </w:tc>
              <w:tc>
                <w:tcPr>
                  <w:tcW w:w="751" w:type="dxa"/>
                  <w:noWrap w:val="0"/>
                  <w:vAlign w:val="center"/>
                </w:tcPr>
                <w:p>
                  <w:pPr>
                    <w:pStyle w:val="66"/>
                    <w:rPr>
                      <w:color w:val="auto"/>
                    </w:rPr>
                  </w:pPr>
                  <w:r>
                    <w:rPr>
                      <w:color w:val="auto"/>
                    </w:rPr>
                    <w:t>700</w:t>
                  </w:r>
                </w:p>
              </w:tc>
              <w:tc>
                <w:tcPr>
                  <w:tcW w:w="901" w:type="dxa"/>
                  <w:noWrap w:val="0"/>
                  <w:vAlign w:val="center"/>
                </w:tcPr>
                <w:p>
                  <w:pPr>
                    <w:pStyle w:val="66"/>
                    <w:rPr>
                      <w:color w:val="auto"/>
                    </w:rPr>
                  </w:pPr>
                  <w:r>
                    <w:rPr>
                      <w:color w:val="auto"/>
                    </w:rPr>
                    <w:t>470</w:t>
                  </w:r>
                </w:p>
              </w:tc>
              <w:tc>
                <w:tcPr>
                  <w:tcW w:w="753" w:type="dxa"/>
                  <w:noWrap w:val="0"/>
                  <w:vAlign w:val="center"/>
                </w:tcPr>
                <w:p>
                  <w:pPr>
                    <w:pStyle w:val="66"/>
                    <w:rPr>
                      <w:color w:val="auto"/>
                    </w:rPr>
                  </w:pPr>
                  <w:r>
                    <w:rPr>
                      <w:color w:val="auto"/>
                    </w:rPr>
                    <w:t>350</w:t>
                  </w:r>
                </w:p>
              </w:tc>
              <w:tc>
                <w:tcPr>
                  <w:tcW w:w="751" w:type="dxa"/>
                  <w:noWrap w:val="0"/>
                  <w:vAlign w:val="center"/>
                </w:tcPr>
                <w:p>
                  <w:pPr>
                    <w:pStyle w:val="66"/>
                    <w:rPr>
                      <w:color w:val="auto"/>
                    </w:rPr>
                  </w:pPr>
                  <w:r>
                    <w:rPr>
                      <w:color w:val="auto"/>
                    </w:rPr>
                    <w:t>700</w:t>
                  </w:r>
                </w:p>
              </w:tc>
              <w:tc>
                <w:tcPr>
                  <w:tcW w:w="751" w:type="dxa"/>
                  <w:noWrap w:val="0"/>
                  <w:vAlign w:val="center"/>
                </w:tcPr>
                <w:p>
                  <w:pPr>
                    <w:pStyle w:val="66"/>
                    <w:rPr>
                      <w:color w:val="auto"/>
                    </w:rPr>
                  </w:pPr>
                  <w:r>
                    <w:rPr>
                      <w:color w:val="auto"/>
                    </w:rPr>
                    <w:t>470</w:t>
                  </w:r>
                </w:p>
              </w:tc>
              <w:tc>
                <w:tcPr>
                  <w:tcW w:w="753" w:type="dxa"/>
                  <w:noWrap w:val="0"/>
                  <w:vAlign w:val="center"/>
                </w:tcPr>
                <w:p>
                  <w:pPr>
                    <w:pStyle w:val="66"/>
                    <w:rPr>
                      <w:color w:val="auto"/>
                    </w:rPr>
                  </w:pPr>
                  <w:r>
                    <w:rPr>
                      <w:color w:val="auto"/>
                    </w:rPr>
                    <w:t>350</w:t>
                  </w:r>
                </w:p>
              </w:tc>
              <w:tc>
                <w:tcPr>
                  <w:tcW w:w="751" w:type="dxa"/>
                  <w:noWrap w:val="0"/>
                  <w:vAlign w:val="center"/>
                </w:tcPr>
                <w:p>
                  <w:pPr>
                    <w:pStyle w:val="66"/>
                    <w:rPr>
                      <w:color w:val="auto"/>
                    </w:rPr>
                  </w:pPr>
                  <w:r>
                    <w:rPr>
                      <w:color w:val="auto"/>
                    </w:rPr>
                    <w:t>380</w:t>
                  </w:r>
                </w:p>
              </w:tc>
              <w:tc>
                <w:tcPr>
                  <w:tcW w:w="751" w:type="dxa"/>
                  <w:noWrap w:val="0"/>
                  <w:vAlign w:val="center"/>
                </w:tcPr>
                <w:p>
                  <w:pPr>
                    <w:pStyle w:val="66"/>
                    <w:rPr>
                      <w:color w:val="auto"/>
                    </w:rPr>
                  </w:pPr>
                  <w:r>
                    <w:rPr>
                      <w:color w:val="auto"/>
                    </w:rPr>
                    <w:t>250</w:t>
                  </w:r>
                </w:p>
              </w:tc>
              <w:tc>
                <w:tcPr>
                  <w:tcW w:w="757" w:type="dxa"/>
                  <w:noWrap w:val="0"/>
                  <w:vAlign w:val="center"/>
                </w:tcPr>
                <w:p>
                  <w:pPr>
                    <w:pStyle w:val="66"/>
                    <w:rPr>
                      <w:color w:val="auto"/>
                    </w:rPr>
                  </w:pPr>
                  <w:r>
                    <w:rPr>
                      <w:color w:val="auto"/>
                    </w:rPr>
                    <w:t>190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noWrap w:val="0"/>
                  <w:vAlign w:val="center"/>
                </w:tcPr>
                <w:p>
                  <w:pPr>
                    <w:pStyle w:val="66"/>
                    <w:rPr>
                      <w:color w:val="auto"/>
                    </w:rPr>
                  </w:pPr>
                  <w:r>
                    <w:rPr>
                      <w:color w:val="auto"/>
                    </w:rPr>
                    <w:t>＞4</w:t>
                  </w:r>
                </w:p>
              </w:tc>
              <w:tc>
                <w:tcPr>
                  <w:tcW w:w="751" w:type="dxa"/>
                  <w:noWrap w:val="0"/>
                  <w:vAlign w:val="center"/>
                </w:tcPr>
                <w:p>
                  <w:pPr>
                    <w:pStyle w:val="66"/>
                    <w:rPr>
                      <w:color w:val="auto"/>
                    </w:rPr>
                  </w:pPr>
                  <w:r>
                    <w:rPr>
                      <w:color w:val="auto"/>
                    </w:rPr>
                    <w:t>530</w:t>
                  </w:r>
                </w:p>
              </w:tc>
              <w:tc>
                <w:tcPr>
                  <w:tcW w:w="901" w:type="dxa"/>
                  <w:noWrap w:val="0"/>
                  <w:vAlign w:val="center"/>
                </w:tcPr>
                <w:p>
                  <w:pPr>
                    <w:pStyle w:val="66"/>
                    <w:rPr>
                      <w:color w:val="auto"/>
                    </w:rPr>
                  </w:pPr>
                  <w:r>
                    <w:rPr>
                      <w:color w:val="auto"/>
                    </w:rPr>
                    <w:t>350</w:t>
                  </w:r>
                </w:p>
              </w:tc>
              <w:tc>
                <w:tcPr>
                  <w:tcW w:w="753" w:type="dxa"/>
                  <w:noWrap w:val="0"/>
                  <w:vAlign w:val="center"/>
                </w:tcPr>
                <w:p>
                  <w:pPr>
                    <w:pStyle w:val="66"/>
                    <w:rPr>
                      <w:color w:val="auto"/>
                    </w:rPr>
                  </w:pPr>
                  <w:r>
                    <w:rPr>
                      <w:color w:val="auto"/>
                    </w:rPr>
                    <w:t>260</w:t>
                  </w:r>
                </w:p>
              </w:tc>
              <w:tc>
                <w:tcPr>
                  <w:tcW w:w="751" w:type="dxa"/>
                  <w:noWrap w:val="0"/>
                  <w:vAlign w:val="center"/>
                </w:tcPr>
                <w:p>
                  <w:pPr>
                    <w:pStyle w:val="66"/>
                    <w:rPr>
                      <w:color w:val="auto"/>
                    </w:rPr>
                  </w:pPr>
                  <w:r>
                    <w:rPr>
                      <w:color w:val="auto"/>
                    </w:rPr>
                    <w:t>530</w:t>
                  </w:r>
                </w:p>
              </w:tc>
              <w:tc>
                <w:tcPr>
                  <w:tcW w:w="751" w:type="dxa"/>
                  <w:noWrap w:val="0"/>
                  <w:vAlign w:val="center"/>
                </w:tcPr>
                <w:p>
                  <w:pPr>
                    <w:pStyle w:val="66"/>
                    <w:rPr>
                      <w:color w:val="auto"/>
                    </w:rPr>
                  </w:pPr>
                  <w:r>
                    <w:rPr>
                      <w:color w:val="auto"/>
                    </w:rPr>
                    <w:t>350</w:t>
                  </w:r>
                </w:p>
              </w:tc>
              <w:tc>
                <w:tcPr>
                  <w:tcW w:w="753" w:type="dxa"/>
                  <w:noWrap w:val="0"/>
                  <w:vAlign w:val="center"/>
                </w:tcPr>
                <w:p>
                  <w:pPr>
                    <w:pStyle w:val="66"/>
                    <w:rPr>
                      <w:color w:val="auto"/>
                    </w:rPr>
                  </w:pPr>
                  <w:r>
                    <w:rPr>
                      <w:color w:val="auto"/>
                    </w:rPr>
                    <w:t>260</w:t>
                  </w:r>
                </w:p>
              </w:tc>
              <w:tc>
                <w:tcPr>
                  <w:tcW w:w="751" w:type="dxa"/>
                  <w:noWrap w:val="0"/>
                  <w:vAlign w:val="center"/>
                </w:tcPr>
                <w:p>
                  <w:pPr>
                    <w:pStyle w:val="66"/>
                    <w:rPr>
                      <w:color w:val="auto"/>
                    </w:rPr>
                  </w:pPr>
                  <w:r>
                    <w:rPr>
                      <w:color w:val="auto"/>
                    </w:rPr>
                    <w:t>290</w:t>
                  </w:r>
                </w:p>
              </w:tc>
              <w:tc>
                <w:tcPr>
                  <w:tcW w:w="751" w:type="dxa"/>
                  <w:noWrap w:val="0"/>
                  <w:vAlign w:val="center"/>
                </w:tcPr>
                <w:p>
                  <w:pPr>
                    <w:pStyle w:val="66"/>
                    <w:rPr>
                      <w:color w:val="auto"/>
                    </w:rPr>
                  </w:pPr>
                  <w:r>
                    <w:rPr>
                      <w:color w:val="auto"/>
                    </w:rPr>
                    <w:t>190</w:t>
                  </w:r>
                </w:p>
              </w:tc>
              <w:tc>
                <w:tcPr>
                  <w:tcW w:w="757" w:type="dxa"/>
                  <w:noWrap w:val="0"/>
                  <w:vAlign w:val="center"/>
                </w:tcPr>
                <w:p>
                  <w:pPr>
                    <w:pStyle w:val="66"/>
                    <w:rPr>
                      <w:color w:val="auto"/>
                    </w:rPr>
                  </w:pPr>
                  <w:r>
                    <w:rPr>
                      <w:color w:val="auto"/>
                    </w:rPr>
                    <w:t>140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restart"/>
                  <w:noWrap w:val="0"/>
                  <w:vAlign w:val="center"/>
                </w:tcPr>
                <w:p>
                  <w:pPr>
                    <w:pStyle w:val="66"/>
                    <w:rPr>
                      <w:color w:val="auto"/>
                    </w:rPr>
                  </w:pPr>
                  <w:r>
                    <w:rPr>
                      <w:color w:val="auto"/>
                    </w:rPr>
                    <w:t>B</w:t>
                  </w:r>
                </w:p>
              </w:tc>
              <w:tc>
                <w:tcPr>
                  <w:tcW w:w="887" w:type="dxa"/>
                  <w:noWrap w:val="0"/>
                  <w:vAlign w:val="center"/>
                </w:tcPr>
                <w:p>
                  <w:pPr>
                    <w:pStyle w:val="66"/>
                    <w:rPr>
                      <w:color w:val="auto"/>
                    </w:rPr>
                  </w:pPr>
                  <w:r>
                    <w:rPr>
                      <w:color w:val="auto"/>
                    </w:rPr>
                    <w:t>＜2</w:t>
                  </w:r>
                </w:p>
              </w:tc>
              <w:tc>
                <w:tcPr>
                  <w:tcW w:w="2405" w:type="dxa"/>
                  <w:gridSpan w:val="3"/>
                  <w:noWrap w:val="0"/>
                  <w:vAlign w:val="center"/>
                </w:tcPr>
                <w:p>
                  <w:pPr>
                    <w:pStyle w:val="66"/>
                    <w:rPr>
                      <w:color w:val="auto"/>
                    </w:rPr>
                  </w:pPr>
                  <w:r>
                    <w:rPr>
                      <w:color w:val="auto"/>
                    </w:rPr>
                    <w:t>0.01</w:t>
                  </w:r>
                </w:p>
              </w:tc>
              <w:tc>
                <w:tcPr>
                  <w:tcW w:w="2255" w:type="dxa"/>
                  <w:gridSpan w:val="3"/>
                  <w:noWrap w:val="0"/>
                  <w:vAlign w:val="center"/>
                </w:tcPr>
                <w:p>
                  <w:pPr>
                    <w:pStyle w:val="66"/>
                    <w:rPr>
                      <w:color w:val="auto"/>
                    </w:rPr>
                  </w:pPr>
                  <w:r>
                    <w:rPr>
                      <w:color w:val="auto"/>
                    </w:rPr>
                    <w:t>0.015</w:t>
                  </w:r>
                </w:p>
              </w:tc>
              <w:tc>
                <w:tcPr>
                  <w:tcW w:w="2259" w:type="dxa"/>
                  <w:gridSpan w:val="3"/>
                  <w:noWrap w:val="0"/>
                  <w:vAlign w:val="center"/>
                </w:tcPr>
                <w:p>
                  <w:pPr>
                    <w:pStyle w:val="66"/>
                    <w:rPr>
                      <w:color w:val="auto"/>
                    </w:rPr>
                  </w:pPr>
                  <w:r>
                    <w:rPr>
                      <w:color w:val="auto"/>
                    </w:rPr>
                    <w:t>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noWrap w:val="0"/>
                  <w:vAlign w:val="center"/>
                </w:tcPr>
                <w:p>
                  <w:pPr>
                    <w:pStyle w:val="66"/>
                    <w:rPr>
                      <w:color w:val="auto"/>
                    </w:rPr>
                  </w:pPr>
                  <w:r>
                    <w:rPr>
                      <w:color w:val="auto"/>
                    </w:rPr>
                    <w:t>＞2</w:t>
                  </w:r>
                </w:p>
              </w:tc>
              <w:tc>
                <w:tcPr>
                  <w:tcW w:w="2405" w:type="dxa"/>
                  <w:gridSpan w:val="3"/>
                  <w:noWrap w:val="0"/>
                  <w:vAlign w:val="center"/>
                </w:tcPr>
                <w:p>
                  <w:pPr>
                    <w:pStyle w:val="66"/>
                    <w:rPr>
                      <w:color w:val="auto"/>
                    </w:rPr>
                  </w:pPr>
                  <w:r>
                    <w:rPr>
                      <w:color w:val="auto"/>
                    </w:rPr>
                    <w:t>0.021</w:t>
                  </w:r>
                </w:p>
              </w:tc>
              <w:tc>
                <w:tcPr>
                  <w:tcW w:w="2255" w:type="dxa"/>
                  <w:gridSpan w:val="3"/>
                  <w:noWrap w:val="0"/>
                  <w:vAlign w:val="center"/>
                </w:tcPr>
                <w:p>
                  <w:pPr>
                    <w:pStyle w:val="66"/>
                    <w:rPr>
                      <w:color w:val="auto"/>
                    </w:rPr>
                  </w:pPr>
                  <w:r>
                    <w:rPr>
                      <w:color w:val="auto"/>
                    </w:rPr>
                    <w:t>0.036</w:t>
                  </w:r>
                </w:p>
              </w:tc>
              <w:tc>
                <w:tcPr>
                  <w:tcW w:w="2259" w:type="dxa"/>
                  <w:gridSpan w:val="3"/>
                  <w:noWrap w:val="0"/>
                  <w:vAlign w:val="center"/>
                </w:tcPr>
                <w:p>
                  <w:pPr>
                    <w:pStyle w:val="66"/>
                    <w:rPr>
                      <w:color w:val="auto"/>
                    </w:rPr>
                  </w:pPr>
                  <w:r>
                    <w:rPr>
                      <w:color w:val="auto"/>
                    </w:rPr>
                    <w:t>0.036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restart"/>
                  <w:noWrap w:val="0"/>
                  <w:vAlign w:val="center"/>
                </w:tcPr>
                <w:p>
                  <w:pPr>
                    <w:pStyle w:val="66"/>
                    <w:rPr>
                      <w:color w:val="auto"/>
                    </w:rPr>
                  </w:pPr>
                  <w:r>
                    <w:rPr>
                      <w:color w:val="auto"/>
                    </w:rPr>
                    <w:t>C</w:t>
                  </w:r>
                </w:p>
              </w:tc>
              <w:tc>
                <w:tcPr>
                  <w:tcW w:w="887" w:type="dxa"/>
                  <w:noWrap w:val="0"/>
                  <w:vAlign w:val="center"/>
                </w:tcPr>
                <w:p>
                  <w:pPr>
                    <w:pStyle w:val="66"/>
                    <w:rPr>
                      <w:color w:val="auto"/>
                    </w:rPr>
                  </w:pPr>
                  <w:r>
                    <w:rPr>
                      <w:color w:val="auto"/>
                    </w:rPr>
                    <w:t>＜2</w:t>
                  </w:r>
                </w:p>
              </w:tc>
              <w:tc>
                <w:tcPr>
                  <w:tcW w:w="2405" w:type="dxa"/>
                  <w:gridSpan w:val="3"/>
                  <w:noWrap w:val="0"/>
                  <w:vAlign w:val="center"/>
                </w:tcPr>
                <w:p>
                  <w:pPr>
                    <w:pStyle w:val="66"/>
                    <w:rPr>
                      <w:color w:val="auto"/>
                    </w:rPr>
                  </w:pPr>
                  <w:r>
                    <w:rPr>
                      <w:color w:val="auto"/>
                    </w:rPr>
                    <w:t>1.85</w:t>
                  </w:r>
                </w:p>
              </w:tc>
              <w:tc>
                <w:tcPr>
                  <w:tcW w:w="2255" w:type="dxa"/>
                  <w:gridSpan w:val="3"/>
                  <w:noWrap w:val="0"/>
                  <w:vAlign w:val="center"/>
                </w:tcPr>
                <w:p>
                  <w:pPr>
                    <w:pStyle w:val="66"/>
                    <w:rPr>
                      <w:color w:val="auto"/>
                    </w:rPr>
                  </w:pPr>
                  <w:r>
                    <w:rPr>
                      <w:color w:val="auto"/>
                    </w:rPr>
                    <w:t>1.79</w:t>
                  </w:r>
                </w:p>
              </w:tc>
              <w:tc>
                <w:tcPr>
                  <w:tcW w:w="2259" w:type="dxa"/>
                  <w:gridSpan w:val="3"/>
                  <w:noWrap w:val="0"/>
                  <w:vAlign w:val="center"/>
                </w:tcPr>
                <w:p>
                  <w:pPr>
                    <w:pStyle w:val="66"/>
                    <w:rPr>
                      <w:color w:val="auto"/>
                    </w:rPr>
                  </w:pPr>
                  <w:r>
                    <w:rPr>
                      <w:color w:val="auto"/>
                    </w:rPr>
                    <w:t>1.79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noWrap w:val="0"/>
                  <w:vAlign w:val="center"/>
                </w:tcPr>
                <w:p>
                  <w:pPr>
                    <w:pStyle w:val="66"/>
                    <w:rPr>
                      <w:color w:val="auto"/>
                    </w:rPr>
                  </w:pPr>
                  <w:r>
                    <w:rPr>
                      <w:color w:val="auto"/>
                    </w:rPr>
                    <w:t>＞2</w:t>
                  </w:r>
                </w:p>
              </w:tc>
              <w:tc>
                <w:tcPr>
                  <w:tcW w:w="2405" w:type="dxa"/>
                  <w:gridSpan w:val="3"/>
                  <w:noWrap w:val="0"/>
                  <w:vAlign w:val="center"/>
                </w:tcPr>
                <w:p>
                  <w:pPr>
                    <w:pStyle w:val="66"/>
                    <w:rPr>
                      <w:color w:val="auto"/>
                    </w:rPr>
                  </w:pPr>
                  <w:r>
                    <w:rPr>
                      <w:color w:val="auto"/>
                    </w:rPr>
                    <w:t>1.85</w:t>
                  </w:r>
                </w:p>
              </w:tc>
              <w:tc>
                <w:tcPr>
                  <w:tcW w:w="2255" w:type="dxa"/>
                  <w:gridSpan w:val="3"/>
                  <w:noWrap w:val="0"/>
                  <w:vAlign w:val="center"/>
                </w:tcPr>
                <w:p>
                  <w:pPr>
                    <w:pStyle w:val="66"/>
                    <w:rPr>
                      <w:color w:val="auto"/>
                    </w:rPr>
                  </w:pPr>
                  <w:r>
                    <w:rPr>
                      <w:color w:val="auto"/>
                    </w:rPr>
                    <w:t>1.77</w:t>
                  </w:r>
                </w:p>
              </w:tc>
              <w:tc>
                <w:tcPr>
                  <w:tcW w:w="2259" w:type="dxa"/>
                  <w:gridSpan w:val="3"/>
                  <w:noWrap w:val="0"/>
                  <w:vAlign w:val="center"/>
                </w:tcPr>
                <w:p>
                  <w:pPr>
                    <w:pStyle w:val="66"/>
                    <w:rPr>
                      <w:color w:val="auto"/>
                    </w:rPr>
                  </w:pPr>
                  <w:r>
                    <w:rPr>
                      <w:color w:val="auto"/>
                    </w:rPr>
                    <w:t>1.77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restart"/>
                  <w:noWrap w:val="0"/>
                  <w:vAlign w:val="center"/>
                </w:tcPr>
                <w:p>
                  <w:pPr>
                    <w:pStyle w:val="66"/>
                    <w:rPr>
                      <w:color w:val="auto"/>
                    </w:rPr>
                  </w:pPr>
                  <w:r>
                    <w:rPr>
                      <w:color w:val="auto"/>
                    </w:rPr>
                    <w:t>D</w:t>
                  </w:r>
                </w:p>
              </w:tc>
              <w:tc>
                <w:tcPr>
                  <w:tcW w:w="887" w:type="dxa"/>
                  <w:noWrap w:val="0"/>
                  <w:vAlign w:val="center"/>
                </w:tcPr>
                <w:p>
                  <w:pPr>
                    <w:pStyle w:val="66"/>
                    <w:rPr>
                      <w:color w:val="auto"/>
                    </w:rPr>
                  </w:pPr>
                  <w:r>
                    <w:rPr>
                      <w:color w:val="auto"/>
                    </w:rPr>
                    <w:t>＜2</w:t>
                  </w:r>
                </w:p>
              </w:tc>
              <w:tc>
                <w:tcPr>
                  <w:tcW w:w="2405" w:type="dxa"/>
                  <w:gridSpan w:val="3"/>
                  <w:noWrap w:val="0"/>
                  <w:vAlign w:val="center"/>
                </w:tcPr>
                <w:p>
                  <w:pPr>
                    <w:pStyle w:val="66"/>
                    <w:rPr>
                      <w:color w:val="auto"/>
                    </w:rPr>
                  </w:pPr>
                  <w:r>
                    <w:rPr>
                      <w:color w:val="auto"/>
                    </w:rPr>
                    <w:t>0.78</w:t>
                  </w:r>
                </w:p>
              </w:tc>
              <w:tc>
                <w:tcPr>
                  <w:tcW w:w="2255" w:type="dxa"/>
                  <w:gridSpan w:val="3"/>
                  <w:noWrap w:val="0"/>
                  <w:vAlign w:val="center"/>
                </w:tcPr>
                <w:p>
                  <w:pPr>
                    <w:pStyle w:val="66"/>
                    <w:rPr>
                      <w:color w:val="auto"/>
                    </w:rPr>
                  </w:pPr>
                  <w:r>
                    <w:rPr>
                      <w:color w:val="auto"/>
                    </w:rPr>
                    <w:t>0.78</w:t>
                  </w:r>
                </w:p>
              </w:tc>
              <w:tc>
                <w:tcPr>
                  <w:tcW w:w="2259" w:type="dxa"/>
                  <w:gridSpan w:val="3"/>
                  <w:noWrap w:val="0"/>
                  <w:vAlign w:val="center"/>
                </w:tcPr>
                <w:p>
                  <w:pPr>
                    <w:pStyle w:val="66"/>
                    <w:rPr>
                      <w:color w:val="auto"/>
                    </w:rPr>
                  </w:pPr>
                  <w:r>
                    <w:rPr>
                      <w:color w:val="auto"/>
                    </w:rPr>
                    <w:t>0.57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486" w:type="dxa"/>
                  <w:vMerge w:val="continue"/>
                  <w:noWrap w:val="0"/>
                  <w:vAlign w:val="center"/>
                </w:tcPr>
                <w:p>
                  <w:pPr>
                    <w:pStyle w:val="66"/>
                    <w:rPr>
                      <w:color w:val="auto"/>
                    </w:rPr>
                  </w:pPr>
                </w:p>
              </w:tc>
              <w:tc>
                <w:tcPr>
                  <w:tcW w:w="887" w:type="dxa"/>
                  <w:noWrap w:val="0"/>
                  <w:vAlign w:val="center"/>
                </w:tcPr>
                <w:p>
                  <w:pPr>
                    <w:pStyle w:val="66"/>
                    <w:rPr>
                      <w:color w:val="auto"/>
                    </w:rPr>
                  </w:pPr>
                  <w:r>
                    <w:rPr>
                      <w:color w:val="auto"/>
                    </w:rPr>
                    <w:t>＞2</w:t>
                  </w:r>
                </w:p>
              </w:tc>
              <w:tc>
                <w:tcPr>
                  <w:tcW w:w="2405" w:type="dxa"/>
                  <w:gridSpan w:val="3"/>
                  <w:noWrap w:val="0"/>
                  <w:vAlign w:val="center"/>
                </w:tcPr>
                <w:p>
                  <w:pPr>
                    <w:pStyle w:val="66"/>
                    <w:rPr>
                      <w:color w:val="auto"/>
                    </w:rPr>
                  </w:pPr>
                  <w:r>
                    <w:rPr>
                      <w:color w:val="auto"/>
                    </w:rPr>
                    <w:t>0.84</w:t>
                  </w:r>
                </w:p>
              </w:tc>
              <w:tc>
                <w:tcPr>
                  <w:tcW w:w="2255" w:type="dxa"/>
                  <w:gridSpan w:val="3"/>
                  <w:noWrap w:val="0"/>
                  <w:vAlign w:val="center"/>
                </w:tcPr>
                <w:p>
                  <w:pPr>
                    <w:pStyle w:val="66"/>
                    <w:rPr>
                      <w:color w:val="auto"/>
                    </w:rPr>
                  </w:pPr>
                  <w:r>
                    <w:rPr>
                      <w:color w:val="auto"/>
                    </w:rPr>
                    <w:t>0.84</w:t>
                  </w:r>
                </w:p>
              </w:tc>
              <w:tc>
                <w:tcPr>
                  <w:tcW w:w="2259" w:type="dxa"/>
                  <w:gridSpan w:val="3"/>
                  <w:noWrap w:val="0"/>
                  <w:vAlign w:val="center"/>
                </w:tcPr>
                <w:p>
                  <w:pPr>
                    <w:pStyle w:val="66"/>
                    <w:rPr>
                      <w:color w:val="auto"/>
                    </w:rPr>
                  </w:pPr>
                  <w:r>
                    <w:rPr>
                      <w:color w:val="auto"/>
                    </w:rPr>
                    <w:t>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8292" w:type="dxa"/>
                  <w:gridSpan w:val="11"/>
                  <w:noWrap w:val="0"/>
                  <w:vAlign w:val="center"/>
                </w:tcPr>
                <w:p>
                  <w:pPr>
                    <w:pStyle w:val="66"/>
                    <w:jc w:val="left"/>
                    <w:rPr>
                      <w:rFonts w:hint="eastAsia"/>
                      <w:color w:val="auto"/>
                      <w:sz w:val="18"/>
                      <w:szCs w:val="18"/>
                    </w:rPr>
                  </w:pPr>
                  <w:r>
                    <w:rPr>
                      <w:color w:val="auto"/>
                      <w:sz w:val="18"/>
                      <w:szCs w:val="18"/>
                    </w:rPr>
                    <w:t>注</w:t>
                  </w:r>
                  <w:r>
                    <w:rPr>
                      <w:rFonts w:hint="eastAsia"/>
                      <w:color w:val="auto"/>
                      <w:sz w:val="18"/>
                      <w:szCs w:val="18"/>
                    </w:rPr>
                    <w:t>：</w:t>
                  </w:r>
                </w:p>
                <w:p>
                  <w:pPr>
                    <w:pStyle w:val="66"/>
                    <w:jc w:val="left"/>
                    <w:rPr>
                      <w:color w:val="auto"/>
                      <w:sz w:val="18"/>
                      <w:szCs w:val="18"/>
                    </w:rPr>
                  </w:pPr>
                  <w:r>
                    <w:rPr>
                      <w:color w:val="auto"/>
                      <w:sz w:val="18"/>
                      <w:szCs w:val="18"/>
                    </w:rPr>
                    <w:t>I类</w:t>
                  </w:r>
                  <w:r>
                    <w:rPr>
                      <w:rFonts w:hint="eastAsia"/>
                      <w:color w:val="auto"/>
                      <w:sz w:val="18"/>
                      <w:szCs w:val="18"/>
                    </w:rPr>
                    <w:t>：</w:t>
                  </w:r>
                  <w:r>
                    <w:rPr>
                      <w:color w:val="auto"/>
                      <w:sz w:val="18"/>
                      <w:szCs w:val="18"/>
                    </w:rPr>
                    <w:t>与无组织排放源共存的排放同种有害气体的排气</w:t>
                  </w:r>
                  <w:r>
                    <w:rPr>
                      <w:rFonts w:hint="eastAsia"/>
                      <w:color w:val="auto"/>
                      <w:sz w:val="18"/>
                      <w:szCs w:val="18"/>
                    </w:rPr>
                    <w:t>筒</w:t>
                  </w:r>
                  <w:r>
                    <w:rPr>
                      <w:color w:val="auto"/>
                      <w:sz w:val="18"/>
                      <w:szCs w:val="18"/>
                    </w:rPr>
                    <w:t>的排放量</w:t>
                  </w:r>
                  <w:r>
                    <w:rPr>
                      <w:rFonts w:hint="eastAsia"/>
                      <w:color w:val="auto"/>
                      <w:sz w:val="18"/>
                      <w:szCs w:val="18"/>
                    </w:rPr>
                    <w:t>，</w:t>
                  </w:r>
                  <w:r>
                    <w:rPr>
                      <w:color w:val="auto"/>
                      <w:sz w:val="18"/>
                      <w:szCs w:val="18"/>
                    </w:rPr>
                    <w:t>大于或等于标准规定的允许排放量的1/3者。</w:t>
                  </w:r>
                </w:p>
                <w:p>
                  <w:pPr>
                    <w:pStyle w:val="66"/>
                    <w:jc w:val="left"/>
                    <w:rPr>
                      <w:color w:val="auto"/>
                      <w:sz w:val="18"/>
                      <w:szCs w:val="18"/>
                    </w:rPr>
                  </w:pPr>
                  <w:r>
                    <w:rPr>
                      <w:color w:val="auto"/>
                      <w:sz w:val="18"/>
                      <w:szCs w:val="18"/>
                    </w:rPr>
                    <w:t>II类</w:t>
                  </w:r>
                  <w:r>
                    <w:rPr>
                      <w:rFonts w:hint="eastAsia"/>
                      <w:color w:val="auto"/>
                      <w:sz w:val="18"/>
                      <w:szCs w:val="18"/>
                    </w:rPr>
                    <w:t>：</w:t>
                  </w:r>
                  <w:r>
                    <w:rPr>
                      <w:color w:val="auto"/>
                      <w:sz w:val="18"/>
                      <w:szCs w:val="18"/>
                    </w:rPr>
                    <w:t>与无组织排放源共存的排放同种有害气体的排气</w:t>
                  </w:r>
                  <w:r>
                    <w:rPr>
                      <w:rFonts w:hint="eastAsia"/>
                      <w:color w:val="auto"/>
                      <w:sz w:val="18"/>
                      <w:szCs w:val="18"/>
                    </w:rPr>
                    <w:t>筒</w:t>
                  </w:r>
                  <w:r>
                    <w:rPr>
                      <w:color w:val="auto"/>
                      <w:sz w:val="18"/>
                      <w:szCs w:val="18"/>
                    </w:rPr>
                    <w:t>的排放量</w:t>
                  </w:r>
                  <w:r>
                    <w:rPr>
                      <w:rFonts w:hint="eastAsia"/>
                      <w:color w:val="auto"/>
                      <w:sz w:val="18"/>
                      <w:szCs w:val="18"/>
                    </w:rPr>
                    <w:t>，</w:t>
                  </w:r>
                  <w:r>
                    <w:rPr>
                      <w:color w:val="auto"/>
                      <w:sz w:val="18"/>
                      <w:szCs w:val="18"/>
                    </w:rPr>
                    <w:t>小于标准规定的允许排放量的1/3</w:t>
                  </w:r>
                  <w:r>
                    <w:rPr>
                      <w:rFonts w:hint="eastAsia"/>
                      <w:color w:val="auto"/>
                      <w:sz w:val="18"/>
                      <w:szCs w:val="18"/>
                    </w:rPr>
                    <w:t>，</w:t>
                  </w:r>
                  <w:r>
                    <w:rPr>
                      <w:color w:val="auto"/>
                      <w:sz w:val="18"/>
                      <w:szCs w:val="18"/>
                    </w:rPr>
                    <w:t>或虽无排放同种大气污染物之排气</w:t>
                  </w:r>
                  <w:r>
                    <w:rPr>
                      <w:rFonts w:hint="eastAsia"/>
                      <w:color w:val="auto"/>
                      <w:sz w:val="18"/>
                      <w:szCs w:val="18"/>
                      <w:lang w:val="en-US" w:eastAsia="zh-CN"/>
                    </w:rPr>
                    <w:t>筒</w:t>
                  </w:r>
                  <w:r>
                    <w:rPr>
                      <w:color w:val="auto"/>
                      <w:sz w:val="18"/>
                      <w:szCs w:val="18"/>
                    </w:rPr>
                    <w:t>共存，但无组织排放的有害物质的容许浓度指标是按急性反应指标确定者。</w:t>
                  </w:r>
                </w:p>
                <w:p>
                  <w:pPr>
                    <w:pStyle w:val="66"/>
                    <w:jc w:val="left"/>
                    <w:rPr>
                      <w:color w:val="auto"/>
                    </w:rPr>
                  </w:pPr>
                  <w:r>
                    <w:rPr>
                      <w:rFonts w:hint="eastAsia"/>
                      <w:color w:val="auto"/>
                      <w:sz w:val="18"/>
                      <w:szCs w:val="18"/>
                    </w:rPr>
                    <w:t>Ⅲ</w:t>
                  </w:r>
                  <w:r>
                    <w:rPr>
                      <w:color w:val="auto"/>
                      <w:sz w:val="18"/>
                      <w:szCs w:val="18"/>
                    </w:rPr>
                    <w:t>类</w:t>
                  </w:r>
                  <w:r>
                    <w:rPr>
                      <w:rFonts w:hint="eastAsia"/>
                      <w:color w:val="auto"/>
                      <w:sz w:val="18"/>
                      <w:szCs w:val="18"/>
                    </w:rPr>
                    <w:t>：</w:t>
                  </w:r>
                  <w:r>
                    <w:rPr>
                      <w:color w:val="auto"/>
                      <w:sz w:val="18"/>
                      <w:szCs w:val="18"/>
                    </w:rPr>
                    <w:t>无排放同种有害物质的排气</w:t>
                  </w:r>
                  <w:r>
                    <w:rPr>
                      <w:rFonts w:hint="eastAsia"/>
                      <w:color w:val="auto"/>
                      <w:sz w:val="18"/>
                      <w:szCs w:val="18"/>
                    </w:rPr>
                    <w:t>筒</w:t>
                  </w:r>
                  <w:r>
                    <w:rPr>
                      <w:color w:val="auto"/>
                      <w:sz w:val="18"/>
                      <w:szCs w:val="18"/>
                    </w:rPr>
                    <w:t>与无组织排放源共存</w:t>
                  </w:r>
                  <w:r>
                    <w:rPr>
                      <w:rFonts w:hint="eastAsia"/>
                      <w:color w:val="auto"/>
                      <w:sz w:val="18"/>
                      <w:szCs w:val="18"/>
                    </w:rPr>
                    <w:t>，</w:t>
                  </w:r>
                  <w:r>
                    <w:rPr>
                      <w:color w:val="auto"/>
                      <w:sz w:val="18"/>
                      <w:szCs w:val="18"/>
                    </w:rPr>
                    <w:t>但无组织排放的有害物质的容许浓度是按慢性反应指标确定者。</w:t>
                  </w:r>
                </w:p>
              </w:tc>
            </w:tr>
          </w:tbl>
          <w:p>
            <w:pPr>
              <w:pStyle w:val="73"/>
              <w:spacing w:line="240" w:lineRule="auto"/>
              <w:rPr>
                <w:rFonts w:hint="eastAsia" w:ascii="Times New Roman" w:hAnsi="Times New Roman" w:eastAsia="宋体" w:cs="Times New Roman"/>
                <w:color w:val="auto"/>
              </w:rPr>
            </w:pPr>
          </w:p>
          <w:p>
            <w:pPr>
              <w:pStyle w:val="73"/>
              <w:rPr>
                <w:rFonts w:hint="eastAsia"/>
                <w:color w:val="auto"/>
                <w:sz w:val="24"/>
                <w:szCs w:val="24"/>
              </w:rPr>
            </w:pPr>
            <w:r>
              <w:rPr>
                <w:rFonts w:hint="eastAsia"/>
                <w:color w:val="auto"/>
                <w:sz w:val="24"/>
                <w:szCs w:val="24"/>
              </w:rPr>
              <w:t>卫生防护距离计算结果见表4-</w:t>
            </w:r>
            <w:r>
              <w:rPr>
                <w:rFonts w:hint="eastAsia"/>
                <w:color w:val="auto"/>
                <w:sz w:val="24"/>
                <w:szCs w:val="24"/>
                <w:lang w:val="en-US" w:eastAsia="zh-CN"/>
              </w:rPr>
              <w:t>3</w:t>
            </w:r>
            <w:r>
              <w:rPr>
                <w:rFonts w:hint="eastAsia"/>
                <w:color w:val="auto"/>
                <w:sz w:val="24"/>
                <w:szCs w:val="24"/>
              </w:rPr>
              <w:t>。</w:t>
            </w:r>
          </w:p>
          <w:p>
            <w:pPr>
              <w:pStyle w:val="74"/>
              <w:spacing w:before="24" w:after="24"/>
              <w:rPr>
                <w:rFonts w:ascii="Times New Roman" w:hAnsi="Times New Roman" w:eastAsia="宋体" w:cs="Times New Roman"/>
                <w:b/>
                <w:bCs w:val="0"/>
                <w:color w:val="auto"/>
                <w:sz w:val="24"/>
                <w:szCs w:val="24"/>
              </w:rPr>
            </w:pPr>
            <w:r>
              <w:rPr>
                <w:rFonts w:ascii="Times New Roman" w:hAnsi="Times New Roman" w:eastAsia="宋体" w:cs="Times New Roman"/>
                <w:b/>
                <w:bCs w:val="0"/>
                <w:color w:val="auto"/>
                <w:sz w:val="24"/>
                <w:szCs w:val="24"/>
              </w:rPr>
              <w:t>表</w:t>
            </w:r>
            <w:r>
              <w:rPr>
                <w:rFonts w:hint="eastAsia" w:ascii="Times New Roman" w:hAnsi="Times New Roman" w:eastAsia="宋体" w:cs="Times New Roman"/>
                <w:b/>
                <w:bCs w:val="0"/>
                <w:color w:val="auto"/>
                <w:sz w:val="24"/>
                <w:szCs w:val="24"/>
              </w:rPr>
              <w:t>4-</w:t>
            </w:r>
            <w:r>
              <w:rPr>
                <w:rFonts w:hint="eastAsia" w:ascii="Times New Roman" w:hAnsi="Times New Roman" w:eastAsia="宋体" w:cs="Times New Roman"/>
                <w:b/>
                <w:bCs w:val="0"/>
                <w:color w:val="auto"/>
                <w:sz w:val="24"/>
                <w:szCs w:val="24"/>
                <w:lang w:val="en-US" w:eastAsia="zh-CN"/>
              </w:rPr>
              <w:t xml:space="preserve">3 </w:t>
            </w:r>
            <w:r>
              <w:rPr>
                <w:rFonts w:ascii="Times New Roman" w:hAnsi="Times New Roman" w:eastAsia="宋体" w:cs="Times New Roman"/>
                <w:b/>
                <w:bCs w:val="0"/>
                <w:color w:val="auto"/>
                <w:sz w:val="24"/>
                <w:szCs w:val="24"/>
              </w:rPr>
              <w:t>卫生防护距离计算结果</w:t>
            </w:r>
          </w:p>
          <w:tbl>
            <w:tblPr>
              <w:tblStyle w:val="30"/>
              <w:tblW w:w="829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64"/>
              <w:gridCol w:w="1035"/>
              <w:gridCol w:w="1219"/>
              <w:gridCol w:w="536"/>
              <w:gridCol w:w="695"/>
              <w:gridCol w:w="589"/>
              <w:gridCol w:w="589"/>
              <w:gridCol w:w="1229"/>
              <w:gridCol w:w="6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64" w:type="dxa"/>
                  <w:noWrap w:val="0"/>
                  <w:vAlign w:val="center"/>
                </w:tcPr>
                <w:p>
                  <w:pPr>
                    <w:pStyle w:val="76"/>
                    <w:rPr>
                      <w:color w:val="auto"/>
                    </w:rPr>
                  </w:pPr>
                  <w:r>
                    <w:rPr>
                      <w:color w:val="auto"/>
                    </w:rPr>
                    <w:t>污染源位置</w:t>
                  </w:r>
                </w:p>
              </w:tc>
              <w:tc>
                <w:tcPr>
                  <w:tcW w:w="864" w:type="dxa"/>
                  <w:noWrap w:val="0"/>
                  <w:vAlign w:val="center"/>
                </w:tcPr>
                <w:p>
                  <w:pPr>
                    <w:pStyle w:val="76"/>
                    <w:rPr>
                      <w:color w:val="auto"/>
                    </w:rPr>
                  </w:pPr>
                  <w:r>
                    <w:rPr>
                      <w:color w:val="auto"/>
                    </w:rPr>
                    <w:t>污染物名称</w:t>
                  </w:r>
                </w:p>
              </w:tc>
              <w:tc>
                <w:tcPr>
                  <w:tcW w:w="1035" w:type="dxa"/>
                  <w:noWrap w:val="0"/>
                  <w:vAlign w:val="center"/>
                </w:tcPr>
                <w:p>
                  <w:pPr>
                    <w:pStyle w:val="76"/>
                    <w:rPr>
                      <w:rFonts w:hint="eastAsia"/>
                      <w:color w:val="auto"/>
                    </w:rPr>
                  </w:pPr>
                  <w:r>
                    <w:rPr>
                      <w:rFonts w:hint="eastAsia"/>
                      <w:color w:val="auto"/>
                    </w:rPr>
                    <w:t>Qc</w:t>
                  </w:r>
                </w:p>
                <w:p>
                  <w:pPr>
                    <w:pStyle w:val="76"/>
                    <w:rPr>
                      <w:color w:val="auto"/>
                    </w:rPr>
                  </w:pPr>
                  <w:r>
                    <w:rPr>
                      <w:rFonts w:hint="eastAsia"/>
                      <w:color w:val="auto"/>
                    </w:rPr>
                    <w:t>（kg/h）</w:t>
                  </w:r>
                </w:p>
              </w:tc>
              <w:tc>
                <w:tcPr>
                  <w:tcW w:w="1219" w:type="dxa"/>
                  <w:noWrap w:val="0"/>
                  <w:vAlign w:val="center"/>
                </w:tcPr>
                <w:p>
                  <w:pPr>
                    <w:pStyle w:val="76"/>
                    <w:rPr>
                      <w:rFonts w:hint="eastAsia"/>
                      <w:color w:val="auto"/>
                    </w:rPr>
                  </w:pPr>
                  <w:r>
                    <w:rPr>
                      <w:rFonts w:hint="eastAsia"/>
                      <w:color w:val="auto"/>
                    </w:rPr>
                    <w:t>Cm</w:t>
                  </w:r>
                </w:p>
                <w:p>
                  <w:pPr>
                    <w:pStyle w:val="76"/>
                    <w:rPr>
                      <w:color w:val="auto"/>
                    </w:rPr>
                  </w:pPr>
                  <w:r>
                    <w:rPr>
                      <w:rFonts w:hint="eastAsia"/>
                      <w:color w:val="auto"/>
                    </w:rPr>
                    <w:t>（</w:t>
                  </w:r>
                  <w:r>
                    <w:rPr>
                      <w:color w:val="auto"/>
                    </w:rPr>
                    <w:t>mg/m</w:t>
                  </w:r>
                  <w:r>
                    <w:rPr>
                      <w:color w:val="auto"/>
                      <w:vertAlign w:val="superscript"/>
                    </w:rPr>
                    <w:t>3</w:t>
                  </w:r>
                  <w:r>
                    <w:rPr>
                      <w:rFonts w:hint="eastAsia"/>
                      <w:color w:val="auto"/>
                    </w:rPr>
                    <w:t>）</w:t>
                  </w:r>
                </w:p>
              </w:tc>
              <w:tc>
                <w:tcPr>
                  <w:tcW w:w="536" w:type="dxa"/>
                  <w:noWrap w:val="0"/>
                  <w:vAlign w:val="center"/>
                </w:tcPr>
                <w:p>
                  <w:pPr>
                    <w:pStyle w:val="76"/>
                    <w:rPr>
                      <w:color w:val="auto"/>
                    </w:rPr>
                  </w:pPr>
                  <w:r>
                    <w:rPr>
                      <w:color w:val="auto"/>
                    </w:rPr>
                    <w:t>A</w:t>
                  </w:r>
                </w:p>
              </w:tc>
              <w:tc>
                <w:tcPr>
                  <w:tcW w:w="695" w:type="dxa"/>
                  <w:noWrap w:val="0"/>
                  <w:vAlign w:val="center"/>
                </w:tcPr>
                <w:p>
                  <w:pPr>
                    <w:pStyle w:val="76"/>
                    <w:rPr>
                      <w:color w:val="auto"/>
                    </w:rPr>
                  </w:pPr>
                  <w:r>
                    <w:rPr>
                      <w:color w:val="auto"/>
                    </w:rPr>
                    <w:t>B</w:t>
                  </w:r>
                </w:p>
              </w:tc>
              <w:tc>
                <w:tcPr>
                  <w:tcW w:w="589" w:type="dxa"/>
                  <w:noWrap w:val="0"/>
                  <w:vAlign w:val="center"/>
                </w:tcPr>
                <w:p>
                  <w:pPr>
                    <w:pStyle w:val="76"/>
                    <w:rPr>
                      <w:color w:val="auto"/>
                    </w:rPr>
                  </w:pPr>
                  <w:r>
                    <w:rPr>
                      <w:color w:val="auto"/>
                    </w:rPr>
                    <w:t>C</w:t>
                  </w:r>
                </w:p>
              </w:tc>
              <w:tc>
                <w:tcPr>
                  <w:tcW w:w="589" w:type="dxa"/>
                  <w:noWrap w:val="0"/>
                  <w:vAlign w:val="center"/>
                </w:tcPr>
                <w:p>
                  <w:pPr>
                    <w:pStyle w:val="76"/>
                    <w:rPr>
                      <w:color w:val="auto"/>
                    </w:rPr>
                  </w:pPr>
                  <w:r>
                    <w:rPr>
                      <w:color w:val="auto"/>
                    </w:rPr>
                    <w:t>D</w:t>
                  </w:r>
                </w:p>
              </w:tc>
              <w:tc>
                <w:tcPr>
                  <w:tcW w:w="1229" w:type="dxa"/>
                  <w:noWrap w:val="0"/>
                  <w:vAlign w:val="center"/>
                </w:tcPr>
                <w:p>
                  <w:pPr>
                    <w:pStyle w:val="76"/>
                    <w:rPr>
                      <w:rFonts w:hint="eastAsia" w:ascii="Times New Roman" w:hAnsi="Times New Roman" w:eastAsia="宋体" w:cs="Times New Roman"/>
                      <w:b/>
                      <w:color w:val="auto"/>
                    </w:rPr>
                  </w:pPr>
                  <w:r>
                    <w:rPr>
                      <w:rFonts w:ascii="Times New Roman" w:hAnsi="Times New Roman" w:eastAsia="宋体" w:cs="Times New Roman"/>
                      <w:b/>
                      <w:color w:val="auto"/>
                    </w:rPr>
                    <w:t>L计算值（m）</w:t>
                  </w:r>
                </w:p>
              </w:tc>
              <w:tc>
                <w:tcPr>
                  <w:tcW w:w="672" w:type="dxa"/>
                  <w:noWrap w:val="0"/>
                  <w:vAlign w:val="center"/>
                </w:tcPr>
                <w:p>
                  <w:pPr>
                    <w:pStyle w:val="76"/>
                    <w:rPr>
                      <w:rFonts w:hint="eastAsia" w:ascii="Times New Roman" w:hAnsi="Times New Roman" w:eastAsia="宋体" w:cs="Times New Roman"/>
                      <w:b/>
                      <w:color w:val="auto"/>
                    </w:rPr>
                  </w:pPr>
                  <w:r>
                    <w:rPr>
                      <w:rFonts w:ascii="Times New Roman" w:hAnsi="Times New Roman" w:eastAsia="宋体" w:cs="Times New Roman"/>
                      <w:b/>
                      <w:color w:val="auto"/>
                    </w:rPr>
                    <w:t>L(m)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64" w:type="dxa"/>
                  <w:shd w:val="clear" w:color="auto" w:fill="auto"/>
                  <w:noWrap w:val="0"/>
                  <w:vAlign w:val="center"/>
                </w:tcPr>
                <w:p>
                  <w:pPr>
                    <w:pStyle w:val="66"/>
                    <w:rPr>
                      <w:rFonts w:hint="default" w:eastAsia="宋体" w:asciiTheme="minorHAnsi" w:hAnsiTheme="minorHAnsi" w:cstheme="minorBidi"/>
                      <w:color w:val="auto"/>
                      <w:kern w:val="2"/>
                      <w:sz w:val="21"/>
                      <w:szCs w:val="21"/>
                      <w:lang w:val="en-US" w:eastAsia="zh-CN" w:bidi="ar-SA"/>
                    </w:rPr>
                  </w:pPr>
                  <w:r>
                    <w:rPr>
                      <w:rFonts w:hint="eastAsia"/>
                      <w:color w:val="auto"/>
                      <w:lang w:val="en-US" w:eastAsia="zh-CN"/>
                    </w:rPr>
                    <w:t>生产区</w:t>
                  </w:r>
                </w:p>
              </w:tc>
              <w:tc>
                <w:tcPr>
                  <w:tcW w:w="864" w:type="dxa"/>
                  <w:shd w:val="clear" w:color="auto" w:fill="auto"/>
                  <w:noWrap w:val="0"/>
                  <w:vAlign w:val="center"/>
                </w:tcPr>
                <w:p>
                  <w:pPr>
                    <w:pStyle w:val="66"/>
                    <w:rPr>
                      <w:rFonts w:hint="eastAsia" w:eastAsia="宋体" w:asciiTheme="minorHAnsi" w:hAnsiTheme="minorHAnsi" w:cstheme="minorBidi"/>
                      <w:color w:val="auto"/>
                      <w:kern w:val="2"/>
                      <w:sz w:val="21"/>
                      <w:szCs w:val="21"/>
                      <w:lang w:val="en-US" w:eastAsia="zh-CN" w:bidi="ar-SA"/>
                    </w:rPr>
                  </w:pPr>
                  <w:r>
                    <w:rPr>
                      <w:rFonts w:hint="eastAsia"/>
                      <w:lang w:val="en-US" w:eastAsia="zh-CN"/>
                    </w:rPr>
                    <w:t>非甲烷总烃</w:t>
                  </w:r>
                </w:p>
              </w:tc>
              <w:tc>
                <w:tcPr>
                  <w:tcW w:w="1035" w:type="dxa"/>
                  <w:shd w:val="clear" w:color="auto" w:fill="auto"/>
                  <w:noWrap w:val="0"/>
                  <w:vAlign w:val="center"/>
                </w:tcPr>
                <w:p>
                  <w:pPr>
                    <w:pStyle w:val="66"/>
                    <w:rPr>
                      <w:rFonts w:hint="default" w:eastAsia="宋体" w:asciiTheme="minorHAnsi" w:hAnsiTheme="minorHAnsi" w:cstheme="minorBidi"/>
                      <w:color w:val="auto"/>
                      <w:kern w:val="2"/>
                      <w:sz w:val="21"/>
                      <w:szCs w:val="21"/>
                      <w:lang w:val="en-US" w:eastAsia="zh-CN" w:bidi="ar-SA"/>
                    </w:rPr>
                  </w:pPr>
                  <w:r>
                    <w:rPr>
                      <w:rFonts w:hint="eastAsia" w:eastAsia="宋体"/>
                      <w:color w:val="auto"/>
                      <w:lang w:val="en-US" w:eastAsia="zh-CN"/>
                    </w:rPr>
                    <w:t>0.0038</w:t>
                  </w:r>
                </w:p>
              </w:tc>
              <w:tc>
                <w:tcPr>
                  <w:tcW w:w="1219" w:type="dxa"/>
                  <w:shd w:val="clear" w:color="auto" w:fill="auto"/>
                  <w:noWrap w:val="0"/>
                  <w:vAlign w:val="center"/>
                </w:tcPr>
                <w:p>
                  <w:pPr>
                    <w:pStyle w:val="66"/>
                    <w:rPr>
                      <w:rFonts w:hint="default" w:eastAsia="宋体" w:asciiTheme="minorHAnsi" w:hAnsiTheme="minorHAnsi" w:cstheme="minorBidi"/>
                      <w:color w:val="auto"/>
                      <w:kern w:val="2"/>
                      <w:sz w:val="21"/>
                      <w:szCs w:val="21"/>
                      <w:lang w:val="en-US" w:eastAsia="zh-CN" w:bidi="ar-SA"/>
                    </w:rPr>
                  </w:pPr>
                  <w:r>
                    <w:rPr>
                      <w:rFonts w:hint="eastAsia"/>
                      <w:color w:val="auto"/>
                      <w:lang w:val="en-US" w:eastAsia="zh-CN"/>
                    </w:rPr>
                    <w:t>2</w:t>
                  </w:r>
                </w:p>
              </w:tc>
              <w:tc>
                <w:tcPr>
                  <w:tcW w:w="536" w:type="dxa"/>
                  <w:shd w:val="clear" w:color="auto" w:fill="auto"/>
                  <w:noWrap w:val="0"/>
                  <w:vAlign w:val="center"/>
                </w:tcPr>
                <w:p>
                  <w:pPr>
                    <w:pStyle w:val="66"/>
                    <w:rPr>
                      <w:rFonts w:hint="default" w:asciiTheme="minorHAnsi" w:hAnsiTheme="minorHAnsi" w:eastAsiaTheme="minorEastAsia" w:cstheme="minorBidi"/>
                      <w:color w:val="auto"/>
                      <w:kern w:val="2"/>
                      <w:sz w:val="21"/>
                      <w:szCs w:val="21"/>
                      <w:lang w:val="en-US" w:eastAsia="zh-CN" w:bidi="ar-SA"/>
                    </w:rPr>
                  </w:pPr>
                  <w:r>
                    <w:rPr>
                      <w:rFonts w:hint="eastAsia"/>
                      <w:color w:val="auto"/>
                      <w:lang w:val="en-US" w:eastAsia="zh-CN"/>
                    </w:rPr>
                    <w:t>350</w:t>
                  </w:r>
                </w:p>
              </w:tc>
              <w:tc>
                <w:tcPr>
                  <w:tcW w:w="695" w:type="dxa"/>
                  <w:shd w:val="clear" w:color="auto" w:fill="auto"/>
                  <w:noWrap w:val="0"/>
                  <w:vAlign w:val="center"/>
                </w:tcPr>
                <w:p>
                  <w:pPr>
                    <w:pStyle w:val="66"/>
                    <w:rPr>
                      <w:rFonts w:asciiTheme="minorHAnsi" w:hAnsiTheme="minorHAnsi" w:eastAsiaTheme="minorEastAsia" w:cstheme="minorBidi"/>
                      <w:color w:val="auto"/>
                      <w:kern w:val="2"/>
                      <w:sz w:val="21"/>
                      <w:szCs w:val="21"/>
                      <w:lang w:val="en-US" w:eastAsia="zh-CN" w:bidi="ar-SA"/>
                    </w:rPr>
                  </w:pPr>
                  <w:r>
                    <w:rPr>
                      <w:color w:val="auto"/>
                    </w:rPr>
                    <w:t>0.021</w:t>
                  </w:r>
                </w:p>
              </w:tc>
              <w:tc>
                <w:tcPr>
                  <w:tcW w:w="589" w:type="dxa"/>
                  <w:shd w:val="clear" w:color="auto" w:fill="auto"/>
                  <w:noWrap w:val="0"/>
                  <w:vAlign w:val="center"/>
                </w:tcPr>
                <w:p>
                  <w:pPr>
                    <w:pStyle w:val="66"/>
                    <w:rPr>
                      <w:rFonts w:asciiTheme="minorHAnsi" w:hAnsiTheme="minorHAnsi" w:eastAsiaTheme="minorEastAsia" w:cstheme="minorBidi"/>
                      <w:color w:val="auto"/>
                      <w:kern w:val="2"/>
                      <w:sz w:val="21"/>
                      <w:szCs w:val="21"/>
                      <w:lang w:val="en-US" w:eastAsia="zh-CN" w:bidi="ar-SA"/>
                    </w:rPr>
                  </w:pPr>
                  <w:r>
                    <w:rPr>
                      <w:color w:val="auto"/>
                    </w:rPr>
                    <w:t>1.85</w:t>
                  </w:r>
                </w:p>
              </w:tc>
              <w:tc>
                <w:tcPr>
                  <w:tcW w:w="589" w:type="dxa"/>
                  <w:shd w:val="clear" w:color="auto" w:fill="auto"/>
                  <w:noWrap w:val="0"/>
                  <w:vAlign w:val="center"/>
                </w:tcPr>
                <w:p>
                  <w:pPr>
                    <w:pStyle w:val="66"/>
                    <w:rPr>
                      <w:rFonts w:asciiTheme="minorHAnsi" w:hAnsiTheme="minorHAnsi" w:eastAsiaTheme="minorEastAsia" w:cstheme="minorBidi"/>
                      <w:color w:val="auto"/>
                      <w:kern w:val="2"/>
                      <w:sz w:val="21"/>
                      <w:szCs w:val="21"/>
                      <w:lang w:val="en-US" w:eastAsia="zh-CN" w:bidi="ar-SA"/>
                    </w:rPr>
                  </w:pPr>
                  <w:r>
                    <w:rPr>
                      <w:color w:val="auto"/>
                    </w:rPr>
                    <w:t>0.84</w:t>
                  </w:r>
                </w:p>
              </w:tc>
              <w:tc>
                <w:tcPr>
                  <w:tcW w:w="1229" w:type="dxa"/>
                  <w:shd w:val="clear" w:color="auto" w:fill="auto"/>
                  <w:noWrap w:val="0"/>
                  <w:vAlign w:val="center"/>
                </w:tcPr>
                <w:p>
                  <w:pPr>
                    <w:pStyle w:val="66"/>
                    <w:rPr>
                      <w:rFonts w:hint="default" w:eastAsia="宋体" w:asciiTheme="minorHAnsi" w:hAnsiTheme="minorHAnsi" w:cstheme="minorBidi"/>
                      <w:color w:val="auto"/>
                      <w:kern w:val="2"/>
                      <w:sz w:val="21"/>
                      <w:szCs w:val="21"/>
                      <w:lang w:val="en-US" w:eastAsia="zh-CN" w:bidi="ar-SA"/>
                    </w:rPr>
                  </w:pPr>
                  <w:r>
                    <w:rPr>
                      <w:rFonts w:hint="eastAsia" w:eastAsia="宋体"/>
                      <w:color w:val="auto"/>
                      <w:lang w:val="en-US" w:eastAsia="zh-CN"/>
                    </w:rPr>
                    <w:t>0.041</w:t>
                  </w:r>
                </w:p>
              </w:tc>
              <w:tc>
                <w:tcPr>
                  <w:tcW w:w="672" w:type="dxa"/>
                  <w:shd w:val="clear" w:color="auto" w:fill="auto"/>
                  <w:noWrap w:val="0"/>
                  <w:vAlign w:val="center"/>
                </w:tcPr>
                <w:p>
                  <w:pPr>
                    <w:pStyle w:val="66"/>
                    <w:rPr>
                      <w:rFonts w:asciiTheme="minorHAnsi" w:hAnsiTheme="minorHAnsi" w:eastAsiaTheme="minorEastAsia" w:cstheme="minorBidi"/>
                      <w:color w:val="auto"/>
                      <w:kern w:val="2"/>
                      <w:sz w:val="21"/>
                      <w:szCs w:val="21"/>
                      <w:lang w:val="en-US" w:eastAsia="zh-CN" w:bidi="ar-SA"/>
                    </w:rPr>
                  </w:pPr>
                  <w:r>
                    <w:rPr>
                      <w:rFonts w:hint="eastAsia"/>
                      <w:color w:val="auto"/>
                    </w:rPr>
                    <w:t>5</w:t>
                  </w:r>
                  <w:r>
                    <w:rPr>
                      <w:color w:val="auto"/>
                    </w:rPr>
                    <w:t>0</w:t>
                  </w:r>
                </w:p>
              </w:tc>
            </w:tr>
          </w:tbl>
          <w:p>
            <w:pPr>
              <w:spacing w:line="240" w:lineRule="auto"/>
              <w:ind w:firstLine="420" w:firstLineChars="200"/>
              <w:jc w:val="left"/>
              <w:rPr>
                <w:rFonts w:hint="eastAsia" w:ascii="Times New Roman" w:hAnsi="Times New Roman" w:eastAsia="宋体" w:cs="Times New Roman"/>
                <w:color w:val="auto"/>
              </w:rPr>
            </w:pPr>
          </w:p>
          <w:p>
            <w:pPr>
              <w:spacing w:line="360" w:lineRule="auto"/>
              <w:ind w:firstLine="480" w:firstLineChars="200"/>
              <w:jc w:val="left"/>
              <w:rPr>
                <w:rFonts w:ascii="Times New Roman" w:hAnsi="Times New Roman" w:eastAsia="宋体" w:cs="Times New Roman"/>
                <w:color w:val="auto"/>
                <w:sz w:val="24"/>
                <w:szCs w:val="32"/>
              </w:rPr>
            </w:pPr>
            <w:r>
              <w:rPr>
                <w:rFonts w:hint="eastAsia" w:cs="Times New Roman"/>
                <w:color w:val="auto"/>
                <w:sz w:val="24"/>
                <w:szCs w:val="32"/>
                <w:lang w:eastAsia="zh-CN"/>
              </w:rPr>
              <w:t>（</w:t>
            </w:r>
            <w:r>
              <w:rPr>
                <w:rFonts w:hint="eastAsia" w:cs="Times New Roman"/>
                <w:color w:val="auto"/>
                <w:sz w:val="24"/>
                <w:szCs w:val="32"/>
                <w:lang w:val="en-US" w:eastAsia="zh-CN"/>
              </w:rPr>
              <w:t>2</w:t>
            </w:r>
            <w:r>
              <w:rPr>
                <w:rFonts w:hint="eastAsia" w:cs="Times New Roman"/>
                <w:color w:val="auto"/>
                <w:sz w:val="24"/>
                <w:szCs w:val="32"/>
                <w:lang w:eastAsia="zh-CN"/>
              </w:rPr>
              <w:t>）</w:t>
            </w:r>
            <w:r>
              <w:rPr>
                <w:rFonts w:ascii="Times New Roman" w:hAnsi="Times New Roman" w:eastAsia="宋体" w:cs="Times New Roman"/>
                <w:color w:val="auto"/>
                <w:sz w:val="24"/>
                <w:szCs w:val="32"/>
              </w:rPr>
              <w:t>卫生防护距离终值的确定</w:t>
            </w:r>
          </w:p>
          <w:p>
            <w:pPr>
              <w:spacing w:line="360" w:lineRule="auto"/>
              <w:ind w:firstLine="480" w:firstLineChars="200"/>
              <w:jc w:val="left"/>
              <w:rPr>
                <w:rFonts w:hint="default" w:ascii="Times New Roman" w:hAnsi="Times New Roman" w:eastAsia="宋体" w:cs="Times New Roman"/>
                <w:color w:val="auto"/>
                <w:sz w:val="24"/>
                <w:szCs w:val="32"/>
                <w:lang w:val="en-US" w:eastAsia="zh-CN"/>
              </w:rPr>
            </w:pPr>
            <w:r>
              <w:rPr>
                <w:rFonts w:ascii="Times New Roman" w:hAnsi="Times New Roman" w:eastAsia="宋体" w:cs="Times New Roman"/>
                <w:color w:val="auto"/>
                <w:sz w:val="24"/>
                <w:szCs w:val="32"/>
              </w:rPr>
              <w:t>根据</w:t>
            </w:r>
            <w:r>
              <w:rPr>
                <w:rFonts w:hint="eastAsia" w:ascii="Times New Roman" w:hAnsi="Times New Roman" w:eastAsia="宋体" w:cs="Times New Roman"/>
                <w:color w:val="auto"/>
                <w:sz w:val="24"/>
                <w:szCs w:val="32"/>
              </w:rPr>
              <w:t>《大气有害物质物质排放卫生防护距离推导技术导则》（GB/T38488-2020）</w:t>
            </w:r>
            <w:r>
              <w:rPr>
                <w:rFonts w:ascii="Times New Roman" w:hAnsi="Times New Roman" w:eastAsia="宋体" w:cs="Times New Roman"/>
                <w:color w:val="auto"/>
                <w:sz w:val="24"/>
                <w:szCs w:val="32"/>
              </w:rPr>
              <w:t>，以及表</w:t>
            </w:r>
            <w:r>
              <w:rPr>
                <w:rFonts w:hint="eastAsia" w:ascii="Times New Roman" w:hAnsi="Times New Roman" w:eastAsia="宋体" w:cs="Times New Roman"/>
                <w:color w:val="auto"/>
                <w:sz w:val="24"/>
                <w:szCs w:val="32"/>
              </w:rPr>
              <w:t>4</w:t>
            </w:r>
            <w:r>
              <w:rPr>
                <w:rFonts w:ascii="Times New Roman" w:hAnsi="Times New Roman" w:eastAsia="宋体" w:cs="Times New Roman"/>
                <w:color w:val="auto"/>
                <w:sz w:val="24"/>
                <w:szCs w:val="32"/>
              </w:rPr>
              <w:t>-</w:t>
            </w:r>
            <w:r>
              <w:rPr>
                <w:rFonts w:hint="eastAsia" w:cs="Times New Roman"/>
                <w:color w:val="auto"/>
                <w:sz w:val="24"/>
                <w:szCs w:val="32"/>
                <w:lang w:val="en-US" w:eastAsia="zh-CN"/>
              </w:rPr>
              <w:t>3</w:t>
            </w:r>
            <w:r>
              <w:rPr>
                <w:rFonts w:ascii="Times New Roman" w:hAnsi="Times New Roman" w:eastAsia="宋体" w:cs="Times New Roman"/>
                <w:color w:val="auto"/>
                <w:sz w:val="24"/>
                <w:szCs w:val="32"/>
              </w:rPr>
              <w:t>计算结果，</w:t>
            </w:r>
            <w:r>
              <w:rPr>
                <w:rFonts w:hint="eastAsia" w:cs="Times New Roman"/>
                <w:color w:val="auto"/>
                <w:sz w:val="24"/>
                <w:szCs w:val="32"/>
                <w:lang w:val="en-US" w:eastAsia="zh-CN"/>
              </w:rPr>
              <w:t>全厂</w:t>
            </w:r>
            <w:r>
              <w:rPr>
                <w:rFonts w:ascii="Times New Roman" w:hAnsi="Times New Roman" w:eastAsia="宋体" w:cs="Times New Roman"/>
                <w:color w:val="auto"/>
                <w:sz w:val="24"/>
                <w:szCs w:val="32"/>
              </w:rPr>
              <w:t>项目大气卫生防护距离应</w:t>
            </w:r>
            <w:r>
              <w:rPr>
                <w:rFonts w:hint="eastAsia" w:ascii="Times New Roman" w:hAnsi="Times New Roman" w:eastAsia="宋体" w:cs="Times New Roman"/>
                <w:color w:val="auto"/>
                <w:sz w:val="24"/>
                <w:szCs w:val="32"/>
              </w:rPr>
              <w:t>设置</w:t>
            </w:r>
            <w:r>
              <w:rPr>
                <w:rFonts w:ascii="Times New Roman" w:hAnsi="Times New Roman" w:eastAsia="宋体" w:cs="Times New Roman"/>
                <w:color w:val="auto"/>
                <w:sz w:val="24"/>
                <w:szCs w:val="32"/>
              </w:rPr>
              <w:t>为：</w:t>
            </w:r>
            <w:r>
              <w:rPr>
                <w:rFonts w:hint="eastAsia" w:ascii="Times New Roman" w:hAnsi="Times New Roman" w:eastAsia="宋体" w:cs="Times New Roman"/>
                <w:color w:val="auto"/>
                <w:sz w:val="24"/>
                <w:szCs w:val="32"/>
              </w:rPr>
              <w:t>以</w:t>
            </w:r>
            <w:r>
              <w:rPr>
                <w:rFonts w:hint="eastAsia" w:ascii="Times New Roman" w:hAnsi="Times New Roman" w:cs="Times New Roman"/>
                <w:color w:val="auto"/>
                <w:sz w:val="24"/>
                <w:szCs w:val="32"/>
                <w:lang w:val="en-US" w:eastAsia="zh-CN"/>
              </w:rPr>
              <w:t>生产</w:t>
            </w:r>
            <w:r>
              <w:rPr>
                <w:rFonts w:hint="eastAsia" w:ascii="Times New Roman" w:hAnsi="Times New Roman" w:eastAsia="宋体" w:cs="Times New Roman"/>
                <w:color w:val="auto"/>
                <w:sz w:val="24"/>
                <w:szCs w:val="32"/>
              </w:rPr>
              <w:t>区为边界设置50m卫生防护距离</w:t>
            </w:r>
            <w:r>
              <w:rPr>
                <w:rFonts w:hint="eastAsia" w:cs="Times New Roman"/>
                <w:color w:val="auto"/>
                <w:sz w:val="24"/>
                <w:szCs w:val="32"/>
                <w:lang w:eastAsia="zh-CN"/>
              </w:rPr>
              <w:t>，</w:t>
            </w:r>
            <w:r>
              <w:rPr>
                <w:rFonts w:hint="eastAsia" w:cs="Times New Roman"/>
                <w:color w:val="auto"/>
                <w:sz w:val="24"/>
                <w:szCs w:val="32"/>
                <w:lang w:val="en-US" w:eastAsia="zh-CN"/>
              </w:rPr>
              <w:t>上述</w:t>
            </w:r>
            <w:r>
              <w:rPr>
                <w:rFonts w:hint="default"/>
                <w:color w:val="auto"/>
                <w:sz w:val="24"/>
                <w:szCs w:val="32"/>
                <w:lang w:val="en-US" w:eastAsia="zh-CN"/>
              </w:rPr>
              <w:t>卫生</w:t>
            </w:r>
            <w:r>
              <w:rPr>
                <w:rFonts w:ascii="Times New Roman" w:hAnsi="Times New Roman" w:eastAsia="宋体" w:cs="Times New Roman"/>
                <w:color w:val="auto"/>
                <w:sz w:val="24"/>
                <w:szCs w:val="32"/>
              </w:rPr>
              <w:t>防护距离范围内</w:t>
            </w:r>
            <w:r>
              <w:rPr>
                <w:rFonts w:hint="eastAsia" w:cs="Times New Roman"/>
                <w:color w:val="auto"/>
                <w:sz w:val="24"/>
                <w:szCs w:val="32"/>
                <w:lang w:val="en-US" w:eastAsia="zh-CN"/>
              </w:rPr>
              <w:t>无居民等环境敏感点。</w:t>
            </w:r>
          </w:p>
          <w:p>
            <w:pPr>
              <w:spacing w:line="360" w:lineRule="auto"/>
              <w:ind w:firstLine="480" w:firstLineChars="200"/>
              <w:jc w:val="left"/>
              <w:rPr>
                <w:rFonts w:ascii="Times New Roman" w:hAnsi="Times New Roman" w:eastAsia="宋体" w:cs="Times New Roman"/>
                <w:color w:val="000000"/>
                <w:kern w:val="2"/>
                <w:sz w:val="24"/>
                <w:szCs w:val="24"/>
                <w:lang w:val="en-US" w:eastAsia="zh-CN" w:bidi="ar-SA"/>
              </w:rPr>
            </w:pPr>
            <w:r>
              <w:rPr>
                <w:rFonts w:ascii="Times New Roman" w:hAnsi="Times New Roman" w:eastAsia="宋体" w:cs="Times New Roman"/>
                <w:color w:val="auto"/>
                <w:sz w:val="24"/>
                <w:szCs w:val="32"/>
              </w:rPr>
              <w:t>项目建成后，</w:t>
            </w:r>
            <w:r>
              <w:rPr>
                <w:rFonts w:hint="default"/>
                <w:color w:val="auto"/>
                <w:sz w:val="24"/>
                <w:szCs w:val="32"/>
                <w:lang w:val="en-US" w:eastAsia="zh-CN"/>
              </w:rPr>
              <w:t>全厂卫生</w:t>
            </w:r>
            <w:r>
              <w:rPr>
                <w:rFonts w:ascii="Times New Roman" w:hAnsi="Times New Roman" w:eastAsia="宋体" w:cs="Times New Roman"/>
                <w:color w:val="auto"/>
                <w:sz w:val="24"/>
                <w:szCs w:val="32"/>
              </w:rPr>
              <w:t>防护距离范围内不得新建居民、学校、医院等环境敏感目标。另外，企业在生产过程中应加强以下管理：①在厂周围种植树木，加强绿化；②保持项目区内清洁卫生，提高环境对空气的自净能力。</w:t>
            </w:r>
          </w:p>
          <w:p>
            <w:pPr>
              <w:numPr>
                <w:ilvl w:val="0"/>
                <w:numId w:val="0"/>
              </w:numPr>
              <w:spacing w:line="360" w:lineRule="auto"/>
              <w:ind w:firstLine="482" w:firstLineChars="200"/>
              <w:rPr>
                <w:rFonts w:hint="default" w:cs="Times New Roman"/>
                <w:b/>
                <w:bCs/>
                <w:kern w:val="0"/>
                <w:sz w:val="24"/>
                <w:szCs w:val="21"/>
                <w:lang w:val="en-US" w:eastAsia="zh-CN" w:bidi="ar-SA"/>
              </w:rPr>
            </w:pPr>
            <w:r>
              <w:rPr>
                <w:rFonts w:hint="eastAsia" w:cs="Times New Roman"/>
                <w:b/>
                <w:bCs/>
                <w:kern w:val="0"/>
                <w:sz w:val="24"/>
                <w:szCs w:val="21"/>
                <w:lang w:val="en-US" w:eastAsia="zh-CN" w:bidi="ar-SA"/>
              </w:rPr>
              <w:t>6.异味影响分析</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拟建项目的异味气体来源于加热定型。</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（1）异味危害主要有五个方面：</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①危害呼吸系统。人们突然闻到异味，就会产生反射性的抑制吸气，使呼吸次数减少，深度变浅，甚至会暂时停止吸气，妨碍正常呼吸功能。</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②危害消化系统。经常接触异味，会使人厌食、恶心，甚至呕吐，进而发展为消化功能减退。</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③危害内分泌系统。经常受异味刺激，会使内分泌系统的分泌功能紊乱，影响机体的代谢活动。</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④危害神经系统。长期受到一种或几种低浓度异味物质的刺激，会引起嗅觉脱失、嗅觉疲劳等障碍。“久闻而不知其臭”，使嗅觉丧失了第一道防御功能，但脑神经仍不断受到刺激和损伤，最后导致大脑皮层兴奋和抑制的调节功能失调。</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⑤对精神的影响。异味使人精神烦躁不安，思想不集中，工作效率减低，判断力和记忆力下降，影响大脑的思考活动。</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default" w:ascii="Times New Roman" w:hAnsi="Times New Roman" w:eastAsia="宋体" w:cs="Times New Roman"/>
                <w:color w:val="auto"/>
                <w:sz w:val="24"/>
                <w:szCs w:val="32"/>
                <w:lang w:val="en-US" w:eastAsia="zh-CN"/>
              </w:rPr>
              <w:t>（2）异味</w:t>
            </w:r>
            <w:r>
              <w:rPr>
                <w:rFonts w:hint="eastAsia" w:ascii="Times New Roman" w:hAnsi="Times New Roman" w:eastAsia="宋体" w:cs="Times New Roman"/>
                <w:color w:val="auto"/>
                <w:sz w:val="24"/>
                <w:szCs w:val="32"/>
                <w:lang w:val="en-US" w:eastAsia="zh-CN"/>
              </w:rPr>
              <w:t>影响</w:t>
            </w:r>
            <w:r>
              <w:rPr>
                <w:rFonts w:hint="default" w:ascii="Times New Roman" w:hAnsi="Times New Roman" w:eastAsia="宋体" w:cs="Times New Roman"/>
                <w:color w:val="auto"/>
                <w:sz w:val="24"/>
                <w:szCs w:val="32"/>
                <w:lang w:val="en-US" w:eastAsia="zh-CN"/>
              </w:rPr>
              <w:t>分析</w:t>
            </w: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人们凭嗅觉可闻到的恶臭物质有4000多种，其中涉及生态环境和人体健康的有40余种。恶臭不仅给人的感觉器官以刺激，使人感到不愉快和厌恶，而且某些组分如硫化氢、硫醇、氨等可直接对呼吸系统、内分泌系统、循环系统、神经系统产生严重危害。长期受到一种或几种低浓度恶臭物质刺激，会引起嗅觉疲劳、嗅觉丧失等障碍，甚至导致在大脑皮层兴奋和抑制的调节功能失调。美国纳德提出将臭气感觉强度从“无气味”到“臭气强度极强”分为五级，具体分法见下表。</w:t>
            </w:r>
          </w:p>
          <w:p>
            <w:pPr>
              <w:tabs>
                <w:tab w:val="left" w:pos="1593"/>
              </w:tabs>
              <w:adjustRightInd w:val="0"/>
              <w:snapToGrid w:val="0"/>
              <w:spacing w:line="240" w:lineRule="auto"/>
              <w:jc w:val="center"/>
              <w:rPr>
                <w:rFonts w:hint="eastAsia" w:ascii="Times New Roman" w:hAnsi="Times New Roman" w:eastAsia="宋体" w:cs="Times New Roman"/>
                <w:b/>
                <w:sz w:val="24"/>
                <w:szCs w:val="32"/>
                <w:lang w:eastAsia="zh-CN"/>
              </w:rPr>
            </w:pPr>
            <w:r>
              <w:rPr>
                <w:rFonts w:ascii="Times New Roman" w:hAnsi="Times New Roman" w:eastAsia="宋体" w:cs="Times New Roman"/>
                <w:b/>
                <w:sz w:val="24"/>
                <w:szCs w:val="32"/>
              </w:rPr>
              <w:t>表</w:t>
            </w:r>
            <w:r>
              <w:rPr>
                <w:rFonts w:hint="eastAsia" w:ascii="Times New Roman" w:hAnsi="Times New Roman" w:eastAsia="宋体" w:cs="Times New Roman"/>
                <w:b/>
                <w:sz w:val="24"/>
                <w:szCs w:val="32"/>
              </w:rPr>
              <w:t>4</w:t>
            </w:r>
            <w:r>
              <w:rPr>
                <w:rFonts w:hint="eastAsia" w:ascii="Times New Roman" w:hAnsi="Times New Roman" w:eastAsia="宋体" w:cs="Times New Roman"/>
                <w:b/>
                <w:sz w:val="24"/>
                <w:szCs w:val="32"/>
                <w:lang w:val="en-US" w:eastAsia="zh-CN"/>
              </w:rPr>
              <w:t>-4</w:t>
            </w:r>
            <w:r>
              <w:rPr>
                <w:rFonts w:hint="eastAsia" w:ascii="Times New Roman" w:hAnsi="Times New Roman" w:eastAsia="宋体" w:cs="Times New Roman"/>
                <w:b/>
                <w:sz w:val="24"/>
                <w:szCs w:val="32"/>
              </w:rPr>
              <w:t xml:space="preserve">  </w:t>
            </w:r>
            <w:r>
              <w:rPr>
                <w:rFonts w:hint="eastAsia" w:ascii="Times New Roman" w:hAnsi="Times New Roman" w:eastAsia="宋体" w:cs="Times New Roman"/>
                <w:b/>
                <w:sz w:val="24"/>
                <w:szCs w:val="32"/>
                <w:lang w:val="en-US" w:eastAsia="zh-CN"/>
              </w:rPr>
              <w:t xml:space="preserve"> </w:t>
            </w:r>
            <w:r>
              <w:rPr>
                <w:rFonts w:hint="eastAsia" w:ascii="Times New Roman" w:hAnsi="Times New Roman" w:eastAsia="宋体" w:cs="Times New Roman"/>
                <w:b/>
                <w:sz w:val="24"/>
                <w:szCs w:val="32"/>
                <w:lang w:eastAsia="zh-CN"/>
              </w:rPr>
              <w:t>恶臭强度分级</w:t>
            </w:r>
          </w:p>
          <w:tbl>
            <w:tblPr>
              <w:tblStyle w:val="30"/>
              <w:tblW w:w="82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2771"/>
              <w:gridCol w:w="40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臭气强度分级</w:t>
                  </w:r>
                </w:p>
              </w:tc>
              <w:tc>
                <w:tcPr>
                  <w:tcW w:w="2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臭气感觉强度</w:t>
                  </w:r>
                </w:p>
              </w:tc>
              <w:tc>
                <w:tcPr>
                  <w:tcW w:w="4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污染程度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170" w:hRule="atLeast"/>
                <w:jc w:val="center"/>
              </w:trPr>
              <w:tc>
                <w:tcPr>
                  <w:tcW w:w="14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c>
                <w:tcPr>
                  <w:tcW w:w="2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无气味</w:t>
                  </w:r>
                </w:p>
              </w:tc>
              <w:tc>
                <w:tcPr>
                  <w:tcW w:w="4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无污染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轻微感到有气味</w:t>
                  </w:r>
                </w:p>
              </w:tc>
              <w:tc>
                <w:tcPr>
                  <w:tcW w:w="4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轻度污染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明显感到有气味</w:t>
                  </w:r>
                </w:p>
              </w:tc>
              <w:tc>
                <w:tcPr>
                  <w:tcW w:w="4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中等污染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2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感到有强烈气味</w:t>
                  </w:r>
                </w:p>
              </w:tc>
              <w:tc>
                <w:tcPr>
                  <w:tcW w:w="4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重污染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4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27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无法忍受的强臭味</w:t>
                  </w:r>
                </w:p>
              </w:tc>
              <w:tc>
                <w:tcPr>
                  <w:tcW w:w="40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严重</w:t>
                  </w:r>
                </w:p>
              </w:tc>
            </w:tr>
          </w:tbl>
          <w:p>
            <w:pPr>
              <w:spacing w:line="360" w:lineRule="auto"/>
              <w:ind w:firstLine="420" w:firstLineChars="200"/>
              <w:jc w:val="left"/>
              <w:rPr>
                <w:rFonts w:hint="eastAsia" w:ascii="Times New Roman" w:hAnsi="Times New Roman" w:eastAsia="宋体" w:cs="Times New Roman"/>
                <w:color w:val="auto"/>
                <w:lang w:val="en-US" w:eastAsia="zh-CN"/>
              </w:rPr>
            </w:pP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各主要恶臭污染物浓度与恶臭强度的关系见下表。</w:t>
            </w:r>
          </w:p>
          <w:p>
            <w:pPr>
              <w:tabs>
                <w:tab w:val="left" w:pos="1593"/>
              </w:tabs>
              <w:adjustRightInd w:val="0"/>
              <w:snapToGrid w:val="0"/>
              <w:spacing w:line="360" w:lineRule="auto"/>
              <w:jc w:val="center"/>
              <w:rPr>
                <w:rFonts w:hint="eastAsia" w:ascii="Times New Roman" w:hAnsi="Times New Roman" w:eastAsia="宋体" w:cs="Times New Roman"/>
                <w:b/>
                <w:sz w:val="24"/>
                <w:szCs w:val="32"/>
                <w:lang w:eastAsia="zh-CN"/>
              </w:rPr>
            </w:pPr>
            <w:r>
              <w:rPr>
                <w:rFonts w:ascii="Times New Roman" w:hAnsi="Times New Roman" w:eastAsia="宋体" w:cs="Times New Roman"/>
                <w:b/>
                <w:sz w:val="24"/>
                <w:szCs w:val="32"/>
              </w:rPr>
              <w:t>表</w:t>
            </w:r>
            <w:r>
              <w:rPr>
                <w:rFonts w:hint="eastAsia" w:ascii="Times New Roman" w:hAnsi="Times New Roman" w:eastAsia="宋体" w:cs="Times New Roman"/>
                <w:b/>
                <w:sz w:val="24"/>
                <w:szCs w:val="32"/>
              </w:rPr>
              <w:t>4</w:t>
            </w:r>
            <w:r>
              <w:rPr>
                <w:rFonts w:hint="eastAsia" w:ascii="Times New Roman" w:hAnsi="Times New Roman" w:eastAsia="宋体" w:cs="Times New Roman"/>
                <w:b/>
                <w:sz w:val="24"/>
                <w:szCs w:val="32"/>
                <w:lang w:val="en-US" w:eastAsia="zh-CN"/>
              </w:rPr>
              <w:t>-5</w:t>
            </w:r>
            <w:r>
              <w:rPr>
                <w:rFonts w:hint="eastAsia" w:ascii="Times New Roman" w:hAnsi="Times New Roman" w:eastAsia="宋体" w:cs="Times New Roman"/>
                <w:b/>
                <w:sz w:val="24"/>
                <w:szCs w:val="32"/>
              </w:rPr>
              <w:t xml:space="preserve"> </w:t>
            </w:r>
            <w:r>
              <w:rPr>
                <w:rFonts w:hint="eastAsia" w:ascii="Times New Roman" w:hAnsi="Times New Roman" w:eastAsia="宋体" w:cs="Times New Roman"/>
                <w:b/>
                <w:sz w:val="24"/>
                <w:szCs w:val="32"/>
                <w:lang w:val="en-US" w:eastAsia="zh-CN"/>
              </w:rPr>
              <w:t xml:space="preserve"> </w:t>
            </w:r>
            <w:r>
              <w:rPr>
                <w:rFonts w:hint="eastAsia" w:ascii="Times New Roman" w:hAnsi="Times New Roman" w:eastAsia="宋体" w:cs="Times New Roman"/>
                <w:b/>
                <w:sz w:val="24"/>
                <w:szCs w:val="32"/>
              </w:rPr>
              <w:t xml:space="preserve"> </w:t>
            </w:r>
            <w:r>
              <w:rPr>
                <w:rFonts w:hint="eastAsia" w:ascii="Times New Roman" w:hAnsi="Times New Roman" w:eastAsia="宋体" w:cs="Times New Roman"/>
                <w:b/>
                <w:sz w:val="24"/>
                <w:szCs w:val="32"/>
                <w:lang w:eastAsia="zh-CN"/>
              </w:rPr>
              <w:t>恶臭影响范围及程度</w:t>
            </w:r>
          </w:p>
          <w:tbl>
            <w:tblPr>
              <w:tblStyle w:val="30"/>
              <w:tblW w:w="829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49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范围（</w:t>
                  </w:r>
                  <w:r>
                    <w:rPr>
                      <w:rFonts w:hint="default" w:ascii="Times New Roman" w:hAnsi="Times New Roman" w:eastAsia="宋体" w:cs="Times New Roman"/>
                      <w:b/>
                      <w:bCs/>
                      <w:color w:val="auto"/>
                      <w:sz w:val="21"/>
                      <w:szCs w:val="21"/>
                      <w:highlight w:val="none"/>
                      <w:lang w:val="en-US" w:eastAsia="zh-CN"/>
                    </w:rPr>
                    <w:t>m</w:t>
                  </w:r>
                  <w:r>
                    <w:rPr>
                      <w:rFonts w:hint="default" w:ascii="Times New Roman" w:hAnsi="Times New Roman" w:eastAsia="宋体" w:cs="Times New Roman"/>
                      <w:b/>
                      <w:bCs/>
                      <w:color w:val="auto"/>
                      <w:sz w:val="21"/>
                      <w:szCs w:val="21"/>
                      <w:highlight w:val="none"/>
                      <w:lang w:eastAsia="zh-CN"/>
                    </w:rPr>
                    <w:t>）</w:t>
                  </w:r>
                </w:p>
              </w:tc>
              <w:tc>
                <w:tcPr>
                  <w:tcW w:w="4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臭气强度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p>
              </w:tc>
              <w:tc>
                <w:tcPr>
                  <w:tcW w:w="4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20-50</w:t>
                  </w:r>
                </w:p>
              </w:tc>
              <w:tc>
                <w:tcPr>
                  <w:tcW w:w="4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50-100</w:t>
                  </w:r>
                </w:p>
              </w:tc>
              <w:tc>
                <w:tcPr>
                  <w:tcW w:w="4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3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w:t>
                  </w:r>
                </w:p>
              </w:tc>
              <w:tc>
                <w:tcPr>
                  <w:tcW w:w="4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w:t>
                  </w:r>
                </w:p>
              </w:tc>
            </w:tr>
          </w:tbl>
          <w:p>
            <w:pPr>
              <w:spacing w:line="360" w:lineRule="auto"/>
              <w:ind w:firstLine="420" w:firstLineChars="200"/>
              <w:jc w:val="left"/>
              <w:rPr>
                <w:rFonts w:hint="eastAsia" w:ascii="Times New Roman" w:hAnsi="Times New Roman" w:eastAsia="宋体" w:cs="Times New Roman"/>
                <w:color w:val="auto"/>
                <w:lang w:val="en-US" w:eastAsia="zh-CN"/>
              </w:rPr>
            </w:pPr>
          </w:p>
          <w:p>
            <w:pPr>
              <w:spacing w:line="360" w:lineRule="auto"/>
              <w:ind w:firstLine="480" w:firstLineChars="200"/>
              <w:jc w:val="left"/>
              <w:rPr>
                <w:rFonts w:hint="eastAsia" w:ascii="Times New Roman" w:hAnsi="Times New Roman" w:eastAsia="宋体" w:cs="Times New Roman"/>
                <w:color w:val="auto"/>
                <w:sz w:val="24"/>
                <w:szCs w:val="32"/>
                <w:lang w:val="en-US" w:eastAsia="zh-CN"/>
              </w:rPr>
            </w:pPr>
            <w:r>
              <w:rPr>
                <w:rFonts w:hint="eastAsia" w:ascii="Times New Roman" w:hAnsi="Times New Roman" w:eastAsia="宋体" w:cs="Times New Roman"/>
                <w:color w:val="auto"/>
                <w:sz w:val="24"/>
                <w:szCs w:val="32"/>
                <w:lang w:val="en-US" w:eastAsia="zh-CN"/>
              </w:rPr>
              <w:t>由上表可知，恶臭随距离的增加影响减小，当距离大于100米时对环境的影响可基本消除，本项目距最近敏感点居民距离大于100m，因此，本项目产生的异味影响对周边敏感目标和大气环境影响较小。</w:t>
            </w:r>
          </w:p>
          <w:p>
            <w:pPr>
              <w:numPr>
                <w:ilvl w:val="0"/>
                <w:numId w:val="0"/>
              </w:numPr>
              <w:spacing w:line="360" w:lineRule="auto"/>
              <w:ind w:firstLine="482" w:firstLineChars="200"/>
              <w:rPr>
                <w:b/>
                <w:bCs/>
                <w:color w:val="000000"/>
                <w:sz w:val="24"/>
                <w:szCs w:val="24"/>
              </w:rPr>
            </w:pPr>
            <w:r>
              <w:rPr>
                <w:rFonts w:hint="eastAsia" w:cs="Times New Roman"/>
                <w:b/>
                <w:bCs/>
                <w:kern w:val="0"/>
                <w:sz w:val="24"/>
                <w:szCs w:val="21"/>
                <w:lang w:val="en-US" w:eastAsia="zh-CN" w:bidi="ar-SA"/>
              </w:rPr>
              <w:t>7.</w:t>
            </w:r>
            <w:r>
              <w:rPr>
                <w:rFonts w:hint="eastAsia"/>
                <w:b/>
                <w:bCs/>
                <w:color w:val="000000"/>
                <w:sz w:val="24"/>
                <w:szCs w:val="24"/>
              </w:rPr>
              <w:t>监测要求</w:t>
            </w:r>
          </w:p>
          <w:p>
            <w:pPr>
              <w:adjustRightInd w:val="0"/>
              <w:snapToGrid w:val="0"/>
              <w:spacing w:line="360" w:lineRule="auto"/>
              <w:ind w:firstLine="480"/>
              <w:rPr>
                <w:rFonts w:hint="eastAsia" w:ascii="Times New Roman" w:hAnsi="Times New Roman" w:eastAsia="宋体" w:cs="Times New Roman"/>
                <w:sz w:val="24"/>
                <w:szCs w:val="32"/>
              </w:rPr>
            </w:pP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lang w:val="en-US" w:eastAsia="zh-CN"/>
              </w:rPr>
              <w:t>1</w:t>
            </w:r>
            <w:r>
              <w:rPr>
                <w:rFonts w:hint="eastAsia" w:ascii="Times New Roman" w:hAnsi="Times New Roman" w:eastAsia="宋体" w:cs="Times New Roman"/>
                <w:sz w:val="24"/>
                <w:szCs w:val="32"/>
                <w:lang w:eastAsia="zh-CN"/>
              </w:rPr>
              <w:t>）</w:t>
            </w:r>
            <w:r>
              <w:rPr>
                <w:rFonts w:hint="eastAsia" w:ascii="Times New Roman" w:hAnsi="Times New Roman" w:eastAsia="宋体" w:cs="Times New Roman"/>
                <w:sz w:val="24"/>
                <w:szCs w:val="32"/>
              </w:rPr>
              <w:t>污染源监测计划</w:t>
            </w:r>
          </w:p>
          <w:p>
            <w:pPr>
              <w:adjustRightInd w:val="0"/>
              <w:snapToGrid w:val="0"/>
              <w:spacing w:line="360" w:lineRule="auto"/>
              <w:ind w:firstLine="480"/>
              <w:rPr>
                <w:b/>
                <w:sz w:val="24"/>
                <w:szCs w:val="32"/>
              </w:rPr>
            </w:pPr>
            <w:r>
              <w:rPr>
                <w:rFonts w:hint="default" w:ascii="Times New Roman" w:hAnsi="Times New Roman" w:eastAsia="宋体" w:cs="Times New Roman"/>
                <w:sz w:val="24"/>
                <w:szCs w:val="32"/>
              </w:rPr>
              <w:t>根据</w:t>
            </w:r>
            <w:r>
              <w:rPr>
                <w:rFonts w:hint="default" w:ascii="Times New Roman" w:hAnsi="Times New Roman" w:cs="Times New Roman"/>
                <w:sz w:val="24"/>
                <w:szCs w:val="32"/>
                <w:lang w:eastAsia="zh-CN"/>
              </w:rPr>
              <w:t>《</w:t>
            </w:r>
            <w:r>
              <w:rPr>
                <w:rFonts w:hint="default" w:ascii="Times New Roman" w:hAnsi="Times New Roman" w:eastAsia="宋体" w:cs="Times New Roman"/>
                <w:sz w:val="24"/>
                <w:szCs w:val="32"/>
              </w:rPr>
              <w:t>排污单位自行监测技术指南 橡胶和塑料制品</w:t>
            </w:r>
            <w:r>
              <w:rPr>
                <w:rFonts w:hint="default" w:ascii="Times New Roman" w:hAnsi="Times New Roman" w:cs="Times New Roman"/>
                <w:sz w:val="24"/>
                <w:szCs w:val="32"/>
                <w:lang w:eastAsia="zh-CN"/>
              </w:rPr>
              <w:t>》</w:t>
            </w:r>
            <w:r>
              <w:rPr>
                <w:rFonts w:hint="default" w:ascii="Times New Roman" w:hAnsi="Times New Roman" w:eastAsia="宋体" w:cs="Times New Roman"/>
                <w:sz w:val="24"/>
                <w:szCs w:val="32"/>
              </w:rPr>
              <w:t>（HJ 1207</w:t>
            </w:r>
            <w:r>
              <w:rPr>
                <w:rFonts w:hint="eastAsia" w:cs="Times New Roman"/>
                <w:sz w:val="24"/>
                <w:szCs w:val="32"/>
                <w:lang w:val="en-US" w:eastAsia="zh-CN"/>
              </w:rPr>
              <w:t>-</w:t>
            </w:r>
            <w:r>
              <w:rPr>
                <w:rFonts w:hint="default" w:ascii="Times New Roman" w:hAnsi="Times New Roman" w:eastAsia="宋体" w:cs="Times New Roman"/>
                <w:sz w:val="24"/>
                <w:szCs w:val="32"/>
              </w:rPr>
              <w:t>2021）</w:t>
            </w:r>
            <w:r>
              <w:rPr>
                <w:rFonts w:hint="default" w:ascii="Times New Roman" w:hAnsi="Times New Roman" w:cs="Times New Roman"/>
                <w:sz w:val="24"/>
                <w:szCs w:val="32"/>
                <w:lang w:eastAsia="zh-CN"/>
              </w:rPr>
              <w:t>，</w:t>
            </w:r>
            <w:r>
              <w:rPr>
                <w:rFonts w:hint="eastAsia" w:ascii="Times New Roman" w:hAnsi="Times New Roman" w:eastAsia="宋体" w:cs="Times New Roman"/>
                <w:sz w:val="24"/>
                <w:szCs w:val="32"/>
              </w:rPr>
              <w:t>本项目废气监测项目及监测频次见下表。</w:t>
            </w:r>
          </w:p>
          <w:p>
            <w:pPr>
              <w:tabs>
                <w:tab w:val="left" w:pos="1593"/>
              </w:tabs>
              <w:adjustRightInd w:val="0"/>
              <w:snapToGrid w:val="0"/>
              <w:spacing w:line="360" w:lineRule="auto"/>
              <w:jc w:val="center"/>
              <w:rPr>
                <w:b/>
                <w:sz w:val="24"/>
                <w:szCs w:val="32"/>
              </w:rPr>
            </w:pPr>
            <w:r>
              <w:rPr>
                <w:b/>
                <w:sz w:val="24"/>
                <w:szCs w:val="32"/>
              </w:rPr>
              <w:t>表4-</w:t>
            </w:r>
            <w:r>
              <w:rPr>
                <w:rFonts w:hint="eastAsia"/>
                <w:b/>
                <w:sz w:val="24"/>
                <w:szCs w:val="32"/>
                <w:lang w:val="en-US" w:eastAsia="zh-CN"/>
              </w:rPr>
              <w:t>6</w:t>
            </w:r>
            <w:r>
              <w:rPr>
                <w:b/>
                <w:sz w:val="24"/>
                <w:szCs w:val="32"/>
              </w:rPr>
              <w:t>废气污染源监测计划</w:t>
            </w:r>
          </w:p>
          <w:tbl>
            <w:tblPr>
              <w:tblStyle w:val="30"/>
              <w:tblW w:w="82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286"/>
              <w:gridCol w:w="1141"/>
              <w:gridCol w:w="1201"/>
              <w:gridCol w:w="37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6" w:type="dxa"/>
                  <w:noWrap w:val="0"/>
                  <w:vAlign w:val="center"/>
                </w:tcPr>
                <w:p>
                  <w:pPr>
                    <w:adjustRightInd w:val="0"/>
                    <w:snapToGrid w:val="0"/>
                    <w:jc w:val="center"/>
                    <w:rPr>
                      <w:b/>
                      <w:bCs/>
                      <w:kern w:val="0"/>
                    </w:rPr>
                  </w:pPr>
                  <w:r>
                    <w:rPr>
                      <w:b/>
                      <w:bCs/>
                      <w:kern w:val="0"/>
                    </w:rPr>
                    <w:t>监测对象</w:t>
                  </w:r>
                </w:p>
              </w:tc>
              <w:tc>
                <w:tcPr>
                  <w:tcW w:w="1286" w:type="dxa"/>
                  <w:noWrap w:val="0"/>
                  <w:vAlign w:val="center"/>
                </w:tcPr>
                <w:p>
                  <w:pPr>
                    <w:adjustRightInd w:val="0"/>
                    <w:snapToGrid w:val="0"/>
                    <w:jc w:val="center"/>
                    <w:rPr>
                      <w:b/>
                      <w:bCs/>
                      <w:kern w:val="0"/>
                    </w:rPr>
                  </w:pPr>
                  <w:r>
                    <w:rPr>
                      <w:b/>
                      <w:bCs/>
                      <w:kern w:val="0"/>
                    </w:rPr>
                    <w:t>监测点位</w:t>
                  </w:r>
                </w:p>
              </w:tc>
              <w:tc>
                <w:tcPr>
                  <w:tcW w:w="1141" w:type="dxa"/>
                  <w:noWrap w:val="0"/>
                  <w:vAlign w:val="center"/>
                </w:tcPr>
                <w:p>
                  <w:pPr>
                    <w:adjustRightInd w:val="0"/>
                    <w:snapToGrid w:val="0"/>
                    <w:jc w:val="center"/>
                    <w:rPr>
                      <w:b/>
                      <w:bCs/>
                      <w:kern w:val="0"/>
                    </w:rPr>
                  </w:pPr>
                  <w:r>
                    <w:rPr>
                      <w:b/>
                      <w:bCs/>
                      <w:kern w:val="0"/>
                    </w:rPr>
                    <w:t>监测指标</w:t>
                  </w:r>
                </w:p>
              </w:tc>
              <w:tc>
                <w:tcPr>
                  <w:tcW w:w="1201" w:type="dxa"/>
                  <w:noWrap w:val="0"/>
                  <w:vAlign w:val="center"/>
                </w:tcPr>
                <w:p>
                  <w:pPr>
                    <w:adjustRightInd w:val="0"/>
                    <w:snapToGrid w:val="0"/>
                    <w:jc w:val="center"/>
                    <w:rPr>
                      <w:b/>
                      <w:bCs/>
                      <w:kern w:val="0"/>
                    </w:rPr>
                  </w:pPr>
                  <w:r>
                    <w:rPr>
                      <w:b/>
                      <w:bCs/>
                      <w:kern w:val="0"/>
                    </w:rPr>
                    <w:t>监测频次</w:t>
                  </w:r>
                </w:p>
              </w:tc>
              <w:tc>
                <w:tcPr>
                  <w:tcW w:w="3758" w:type="dxa"/>
                  <w:noWrap w:val="0"/>
                  <w:vAlign w:val="center"/>
                </w:tcPr>
                <w:p>
                  <w:pPr>
                    <w:adjustRightInd w:val="0"/>
                    <w:snapToGrid w:val="0"/>
                    <w:jc w:val="center"/>
                    <w:rPr>
                      <w:b/>
                      <w:bCs/>
                    </w:rPr>
                  </w:pPr>
                  <w:r>
                    <w:rPr>
                      <w:b/>
                      <w:bCs/>
                      <w:kern w:val="0"/>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6" w:type="dxa"/>
                  <w:vMerge w:val="restart"/>
                  <w:noWrap w:val="0"/>
                  <w:vAlign w:val="center"/>
                </w:tcPr>
                <w:p>
                  <w:pPr>
                    <w:autoSpaceDE w:val="0"/>
                    <w:autoSpaceDN w:val="0"/>
                    <w:adjustRightInd w:val="0"/>
                    <w:snapToGrid w:val="0"/>
                    <w:jc w:val="center"/>
                    <w:rPr>
                      <w:kern w:val="0"/>
                    </w:rPr>
                  </w:pPr>
                  <w:r>
                    <w:rPr>
                      <w:kern w:val="0"/>
                    </w:rPr>
                    <w:t>无组织废气</w:t>
                  </w:r>
                </w:p>
              </w:tc>
              <w:tc>
                <w:tcPr>
                  <w:tcW w:w="1286" w:type="dxa"/>
                  <w:shd w:val="clear" w:color="auto" w:fill="auto"/>
                  <w:noWrap w:val="0"/>
                  <w:vAlign w:val="center"/>
                </w:tcPr>
                <w:p>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t>厂界</w:t>
                  </w:r>
                </w:p>
              </w:tc>
              <w:tc>
                <w:tcPr>
                  <w:tcW w:w="1141" w:type="dxa"/>
                  <w:vMerge w:val="restart"/>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非甲烷总烃</w:t>
                  </w:r>
                </w:p>
              </w:tc>
              <w:tc>
                <w:tcPr>
                  <w:tcW w:w="1201"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kern w:val="0"/>
                    </w:rPr>
                    <w:t>每年一次</w:t>
                  </w:r>
                </w:p>
              </w:tc>
              <w:tc>
                <w:tcPr>
                  <w:tcW w:w="3758"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kern w:val="0"/>
                      <w:szCs w:val="21"/>
                    </w:rPr>
                    <w:t>《合成树脂工业污染物排放标准》（GB 31572-2015，含2024年修改单）</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6" w:type="dxa"/>
                  <w:vMerge w:val="continue"/>
                  <w:noWrap w:val="0"/>
                  <w:vAlign w:val="center"/>
                </w:tcPr>
                <w:p>
                  <w:pPr>
                    <w:autoSpaceDE w:val="0"/>
                    <w:autoSpaceDN w:val="0"/>
                    <w:adjustRightInd w:val="0"/>
                    <w:snapToGrid w:val="0"/>
                    <w:jc w:val="center"/>
                    <w:rPr>
                      <w:kern w:val="0"/>
                    </w:rPr>
                  </w:pPr>
                </w:p>
              </w:tc>
              <w:tc>
                <w:tcPr>
                  <w:tcW w:w="1286" w:type="dxa"/>
                  <w:shd w:val="clear" w:color="auto" w:fill="auto"/>
                  <w:noWrap w:val="0"/>
                  <w:vAlign w:val="center"/>
                </w:tcPr>
                <w:p>
                  <w:pPr>
                    <w:autoSpaceDE w:val="0"/>
                    <w:autoSpaceDN w:val="0"/>
                    <w:adjustRightInd w:val="0"/>
                    <w:snapToGrid w:val="0"/>
                    <w:jc w:val="center"/>
                    <w:rPr>
                      <w:rFonts w:hint="eastAsia" w:eastAsia="宋体"/>
                      <w:lang w:val="en-US" w:eastAsia="zh-CN"/>
                    </w:rPr>
                  </w:pPr>
                  <w:r>
                    <w:rPr>
                      <w:rFonts w:hint="eastAsia"/>
                      <w:lang w:val="en-US" w:eastAsia="zh-CN"/>
                    </w:rPr>
                    <w:t>厂区车间外</w:t>
                  </w:r>
                </w:p>
              </w:tc>
              <w:tc>
                <w:tcPr>
                  <w:tcW w:w="1141" w:type="dxa"/>
                  <w:vMerge w:val="continue"/>
                  <w:shd w:val="clear" w:color="auto" w:fill="auto"/>
                  <w:noWrap w:val="0"/>
                  <w:vAlign w:val="center"/>
                </w:tcPr>
                <w:p>
                  <w:pPr>
                    <w:autoSpaceDE w:val="0"/>
                    <w:autoSpaceDN w:val="0"/>
                    <w:adjustRightInd w:val="0"/>
                    <w:snapToGrid w:val="0"/>
                    <w:jc w:val="center"/>
                    <w:rPr>
                      <w:rFonts w:hint="eastAsia"/>
                    </w:rPr>
                  </w:pPr>
                </w:p>
              </w:tc>
              <w:tc>
                <w:tcPr>
                  <w:tcW w:w="1201" w:type="dxa"/>
                  <w:shd w:val="clear" w:color="auto" w:fill="auto"/>
                  <w:noWrap w:val="0"/>
                  <w:vAlign w:val="center"/>
                </w:tcPr>
                <w:p>
                  <w:pPr>
                    <w:autoSpaceDE w:val="0"/>
                    <w:autoSpaceDN w:val="0"/>
                    <w:adjustRightInd w:val="0"/>
                    <w:snapToGrid w:val="0"/>
                    <w:jc w:val="center"/>
                    <w:rPr>
                      <w:rFonts w:hint="eastAsia" w:eastAsia="宋体"/>
                      <w:kern w:val="0"/>
                      <w:lang w:val="en-US" w:eastAsia="zh-CN"/>
                    </w:rPr>
                  </w:pPr>
                  <w:r>
                    <w:rPr>
                      <w:kern w:val="0"/>
                    </w:rPr>
                    <w:t>每年一次</w:t>
                  </w:r>
                </w:p>
              </w:tc>
              <w:tc>
                <w:tcPr>
                  <w:tcW w:w="3758" w:type="dxa"/>
                  <w:shd w:val="clear" w:color="auto" w:fill="auto"/>
                  <w:noWrap w:val="0"/>
                  <w:vAlign w:val="center"/>
                </w:tcPr>
                <w:p>
                  <w:pPr>
                    <w:adjustRightInd w:val="0"/>
                    <w:snapToGrid w:val="0"/>
                    <w:jc w:val="center"/>
                    <w:rPr>
                      <w:rFonts w:hint="eastAsia" w:ascii="Times New Roman" w:hAnsi="Times New Roman" w:eastAsia="宋体" w:cs="Times New Roman"/>
                      <w:kern w:val="0"/>
                      <w:sz w:val="21"/>
                      <w:szCs w:val="21"/>
                      <w:lang w:val="en-US" w:eastAsia="zh-CN" w:bidi="ar-SA"/>
                    </w:rPr>
                  </w:pPr>
                  <w:r>
                    <w:t>《大气污染物综合排放标准》（DB32/4041-2021）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906" w:type="dxa"/>
                  <w:vMerge w:val="continue"/>
                  <w:noWrap w:val="0"/>
                  <w:vAlign w:val="center"/>
                </w:tcPr>
                <w:p>
                  <w:pPr>
                    <w:autoSpaceDE w:val="0"/>
                    <w:autoSpaceDN w:val="0"/>
                    <w:adjustRightInd w:val="0"/>
                    <w:snapToGrid w:val="0"/>
                    <w:jc w:val="center"/>
                    <w:rPr>
                      <w:kern w:val="0"/>
                    </w:rPr>
                  </w:pPr>
                </w:p>
              </w:tc>
              <w:tc>
                <w:tcPr>
                  <w:tcW w:w="1286" w:type="dxa"/>
                  <w:shd w:val="clear" w:color="auto" w:fill="auto"/>
                  <w:noWrap w:val="0"/>
                  <w:vAlign w:val="center"/>
                </w:tcPr>
                <w:p>
                  <w:pPr>
                    <w:autoSpaceDE w:val="0"/>
                    <w:autoSpaceDN w:val="0"/>
                    <w:adjustRightInd w:val="0"/>
                    <w:snapToGrid w:val="0"/>
                    <w:jc w:val="center"/>
                    <w:rPr>
                      <w:rFonts w:hint="eastAsia"/>
                      <w:lang w:val="en-US" w:eastAsia="zh-CN"/>
                    </w:rPr>
                  </w:pPr>
                  <w:r>
                    <w:t>厂界</w:t>
                  </w:r>
                </w:p>
              </w:tc>
              <w:tc>
                <w:tcPr>
                  <w:tcW w:w="1141" w:type="dxa"/>
                  <w:shd w:val="clear" w:color="auto" w:fill="auto"/>
                  <w:noWrap w:val="0"/>
                  <w:vAlign w:val="center"/>
                </w:tcPr>
                <w:p>
                  <w:pPr>
                    <w:autoSpaceDE w:val="0"/>
                    <w:autoSpaceDN w:val="0"/>
                    <w:adjustRightInd w:val="0"/>
                    <w:snapToGrid w:val="0"/>
                    <w:jc w:val="center"/>
                    <w:rPr>
                      <w:rFonts w:hint="eastAsia" w:eastAsia="宋体"/>
                      <w:lang w:val="en-US" w:eastAsia="zh-CN"/>
                    </w:rPr>
                  </w:pPr>
                  <w:r>
                    <w:rPr>
                      <w:rFonts w:hint="eastAsia"/>
                      <w:lang w:val="en-US" w:eastAsia="zh-CN"/>
                    </w:rPr>
                    <w:t>臭气浓度</w:t>
                  </w:r>
                </w:p>
              </w:tc>
              <w:tc>
                <w:tcPr>
                  <w:tcW w:w="1201" w:type="dxa"/>
                  <w:shd w:val="clear" w:color="auto" w:fill="auto"/>
                  <w:noWrap w:val="0"/>
                  <w:vAlign w:val="center"/>
                </w:tcPr>
                <w:p>
                  <w:pPr>
                    <w:autoSpaceDE w:val="0"/>
                    <w:autoSpaceDN w:val="0"/>
                    <w:adjustRightInd w:val="0"/>
                    <w:snapToGrid w:val="0"/>
                    <w:jc w:val="center"/>
                    <w:rPr>
                      <w:rFonts w:hint="eastAsia"/>
                      <w:kern w:val="0"/>
                      <w:lang w:val="en-US" w:eastAsia="zh-CN"/>
                    </w:rPr>
                  </w:pPr>
                  <w:r>
                    <w:rPr>
                      <w:kern w:val="0"/>
                    </w:rPr>
                    <w:t>每年一次</w:t>
                  </w:r>
                </w:p>
              </w:tc>
              <w:tc>
                <w:tcPr>
                  <w:tcW w:w="3758" w:type="dxa"/>
                  <w:shd w:val="clear" w:color="auto" w:fill="auto"/>
                  <w:noWrap w:val="0"/>
                  <w:vAlign w:val="center"/>
                </w:tcPr>
                <w:p>
                  <w:pPr>
                    <w:adjustRightInd w:val="0"/>
                    <w:snapToGrid w:val="0"/>
                    <w:jc w:val="center"/>
                  </w:pPr>
                  <w:r>
                    <w:rPr>
                      <w:rFonts w:hint="eastAsia"/>
                    </w:rPr>
                    <w:t>《恶臭污染物排放标准》（GB14554-93）</w:t>
                  </w:r>
                </w:p>
              </w:tc>
            </w:tr>
          </w:tbl>
          <w:p>
            <w:pPr>
              <w:adjustRightInd w:val="0"/>
              <w:snapToGrid w:val="0"/>
              <w:spacing w:line="360" w:lineRule="auto"/>
              <w:ind w:firstLine="561"/>
              <w:jc w:val="left"/>
              <w:rPr>
                <w:kern w:val="0"/>
              </w:rPr>
            </w:pPr>
          </w:p>
          <w:p>
            <w:pPr>
              <w:adjustRightInd w:val="0"/>
              <w:snapToGrid w:val="0"/>
              <w:spacing w:line="360" w:lineRule="auto"/>
              <w:ind w:firstLine="561"/>
              <w:jc w:val="left"/>
              <w:rPr>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sz w:val="24"/>
                <w:szCs w:val="32"/>
              </w:rPr>
              <w:t>“三同时”验收监测计划</w:t>
            </w:r>
          </w:p>
          <w:p>
            <w:pPr>
              <w:adjustRightInd w:val="0"/>
              <w:snapToGrid w:val="0"/>
              <w:spacing w:line="360" w:lineRule="auto"/>
              <w:ind w:firstLine="480" w:firstLineChars="200"/>
              <w:rPr>
                <w:b/>
                <w:sz w:val="24"/>
                <w:szCs w:val="32"/>
              </w:rPr>
            </w:pPr>
            <w:r>
              <w:rPr>
                <w:sz w:val="24"/>
                <w:szCs w:val="32"/>
              </w:rPr>
              <w:t>根据《建设项目竣工环境保护验收技术指南 污染影响类》，</w:t>
            </w:r>
            <w:r>
              <w:rPr>
                <w:bCs/>
                <w:sz w:val="24"/>
                <w:szCs w:val="32"/>
              </w:rPr>
              <w:t>建设项目需针对大气污染源制定验收监测计划。</w:t>
            </w:r>
            <w:r>
              <w:rPr>
                <w:sz w:val="24"/>
                <w:szCs w:val="32"/>
              </w:rPr>
              <w:t>本项目废气监测点、监测项目及监测频次</w:t>
            </w:r>
            <w:r>
              <w:rPr>
                <w:bCs/>
                <w:sz w:val="24"/>
                <w:szCs w:val="32"/>
              </w:rPr>
              <w:t>见下表。</w:t>
            </w:r>
          </w:p>
          <w:p>
            <w:pPr>
              <w:tabs>
                <w:tab w:val="left" w:pos="1593"/>
              </w:tabs>
              <w:adjustRightInd w:val="0"/>
              <w:snapToGrid w:val="0"/>
              <w:spacing w:line="360" w:lineRule="auto"/>
              <w:ind w:firstLine="482" w:firstLineChars="200"/>
              <w:jc w:val="center"/>
              <w:rPr>
                <w:b/>
                <w:sz w:val="24"/>
                <w:szCs w:val="32"/>
              </w:rPr>
            </w:pPr>
          </w:p>
          <w:p>
            <w:pPr>
              <w:tabs>
                <w:tab w:val="left" w:pos="1593"/>
              </w:tabs>
              <w:adjustRightInd w:val="0"/>
              <w:snapToGrid w:val="0"/>
              <w:spacing w:line="360" w:lineRule="auto"/>
              <w:ind w:firstLine="482" w:firstLineChars="200"/>
              <w:jc w:val="center"/>
              <w:rPr>
                <w:b/>
                <w:sz w:val="24"/>
                <w:szCs w:val="32"/>
              </w:rPr>
            </w:pPr>
          </w:p>
          <w:p>
            <w:pPr>
              <w:tabs>
                <w:tab w:val="left" w:pos="1593"/>
              </w:tabs>
              <w:adjustRightInd w:val="0"/>
              <w:snapToGrid w:val="0"/>
              <w:spacing w:line="360" w:lineRule="auto"/>
              <w:ind w:firstLine="482" w:firstLineChars="200"/>
              <w:jc w:val="center"/>
              <w:rPr>
                <w:b/>
                <w:sz w:val="24"/>
                <w:szCs w:val="32"/>
              </w:rPr>
            </w:pPr>
            <w:r>
              <w:rPr>
                <w:b/>
                <w:sz w:val="24"/>
                <w:szCs w:val="32"/>
              </w:rPr>
              <w:t>表4-</w:t>
            </w:r>
            <w:r>
              <w:rPr>
                <w:rFonts w:hint="eastAsia"/>
                <w:b/>
                <w:sz w:val="24"/>
                <w:szCs w:val="32"/>
                <w:lang w:val="en-US" w:eastAsia="zh-CN"/>
              </w:rPr>
              <w:t>7</w:t>
            </w:r>
            <w:r>
              <w:rPr>
                <w:b/>
                <w:sz w:val="24"/>
                <w:szCs w:val="32"/>
              </w:rPr>
              <w:t>建设项目废气验收监测方案</w:t>
            </w:r>
          </w:p>
          <w:tbl>
            <w:tblPr>
              <w:tblStyle w:val="30"/>
              <w:tblW w:w="82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487"/>
              <w:gridCol w:w="2854"/>
              <w:gridCol w:w="17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3694" w:type="dxa"/>
                  <w:gridSpan w:val="2"/>
                  <w:noWrap w:val="0"/>
                  <w:vAlign w:val="center"/>
                </w:tcPr>
                <w:p>
                  <w:pPr>
                    <w:pStyle w:val="66"/>
                    <w:textAlignment w:val="auto"/>
                    <w:rPr>
                      <w:b/>
                    </w:rPr>
                  </w:pPr>
                  <w:r>
                    <w:rPr>
                      <w:b/>
                    </w:rPr>
                    <w:t>监测点位置</w:t>
                  </w:r>
                </w:p>
              </w:tc>
              <w:tc>
                <w:tcPr>
                  <w:tcW w:w="2854" w:type="dxa"/>
                  <w:noWrap w:val="0"/>
                  <w:vAlign w:val="center"/>
                </w:tcPr>
                <w:p>
                  <w:pPr>
                    <w:pStyle w:val="66"/>
                    <w:textAlignment w:val="auto"/>
                    <w:rPr>
                      <w:b/>
                    </w:rPr>
                  </w:pPr>
                  <w:r>
                    <w:rPr>
                      <w:b/>
                    </w:rPr>
                    <w:t>监测项目</w:t>
                  </w:r>
                </w:p>
              </w:tc>
              <w:tc>
                <w:tcPr>
                  <w:tcW w:w="1741" w:type="dxa"/>
                  <w:noWrap w:val="0"/>
                  <w:vAlign w:val="center"/>
                </w:tcPr>
                <w:p>
                  <w:pPr>
                    <w:pStyle w:val="66"/>
                    <w:textAlignment w:val="auto"/>
                    <w:rPr>
                      <w:b/>
                    </w:rPr>
                  </w:pPr>
                  <w:r>
                    <w:rPr>
                      <w:b/>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207" w:type="dxa"/>
                  <w:vMerge w:val="restart"/>
                  <w:noWrap w:val="0"/>
                  <w:vAlign w:val="center"/>
                </w:tcPr>
                <w:p>
                  <w:pPr>
                    <w:pStyle w:val="66"/>
                    <w:textAlignment w:val="auto"/>
                  </w:pPr>
                  <w:r>
                    <w:t>废气</w:t>
                  </w:r>
                </w:p>
              </w:tc>
              <w:tc>
                <w:tcPr>
                  <w:tcW w:w="2487" w:type="dxa"/>
                  <w:shd w:val="clear" w:color="auto" w:fill="auto"/>
                  <w:noWrap w:val="0"/>
                  <w:vAlign w:val="center"/>
                </w:tcPr>
                <w:p>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t>厂界</w:t>
                  </w:r>
                </w:p>
              </w:tc>
              <w:tc>
                <w:tcPr>
                  <w:tcW w:w="2854" w:type="dxa"/>
                  <w:vMerge w:val="restart"/>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非甲烷总烃</w:t>
                  </w:r>
                </w:p>
              </w:tc>
              <w:tc>
                <w:tcPr>
                  <w:tcW w:w="1741" w:type="dxa"/>
                  <w:vMerge w:val="restart"/>
                  <w:shd w:val="clear" w:color="auto" w:fill="auto"/>
                  <w:noWrap w:val="0"/>
                  <w:vAlign w:val="center"/>
                </w:tcPr>
                <w:p>
                  <w:pPr>
                    <w:pStyle w:val="66"/>
                    <w:textAlignment w:val="auto"/>
                    <w:rPr>
                      <w:rFonts w:asciiTheme="minorHAnsi" w:hAnsiTheme="minorHAnsi" w:eastAsiaTheme="minorEastAsia" w:cstheme="minorBidi"/>
                      <w:kern w:val="2"/>
                      <w:sz w:val="21"/>
                      <w:szCs w:val="21"/>
                      <w:lang w:val="en-US" w:eastAsia="zh-CN" w:bidi="ar-SA"/>
                    </w:rPr>
                  </w:pPr>
                  <w:r>
                    <w:t>2天×3次/天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207" w:type="dxa"/>
                  <w:vMerge w:val="continue"/>
                  <w:noWrap w:val="0"/>
                  <w:vAlign w:val="center"/>
                </w:tcPr>
                <w:p>
                  <w:pPr>
                    <w:pStyle w:val="66"/>
                    <w:textAlignment w:val="auto"/>
                  </w:pPr>
                </w:p>
              </w:tc>
              <w:tc>
                <w:tcPr>
                  <w:tcW w:w="2487" w:type="dxa"/>
                  <w:shd w:val="clear" w:color="auto" w:fill="auto"/>
                  <w:noWrap w:val="0"/>
                  <w:vAlign w:val="center"/>
                </w:tcPr>
                <w:p>
                  <w:pPr>
                    <w:autoSpaceDE w:val="0"/>
                    <w:autoSpaceDN w:val="0"/>
                    <w:adjustRightInd w:val="0"/>
                    <w:snapToGrid w:val="0"/>
                    <w:jc w:val="center"/>
                  </w:pPr>
                  <w:r>
                    <w:rPr>
                      <w:rFonts w:hint="eastAsia"/>
                      <w:lang w:val="en-US" w:eastAsia="zh-CN"/>
                    </w:rPr>
                    <w:t>厂区车间外</w:t>
                  </w:r>
                </w:p>
              </w:tc>
              <w:tc>
                <w:tcPr>
                  <w:tcW w:w="2854" w:type="dxa"/>
                  <w:vMerge w:val="continue"/>
                  <w:shd w:val="clear" w:color="auto" w:fill="auto"/>
                  <w:noWrap w:val="0"/>
                  <w:vAlign w:val="center"/>
                </w:tcPr>
                <w:p>
                  <w:pPr>
                    <w:autoSpaceDE w:val="0"/>
                    <w:autoSpaceDN w:val="0"/>
                    <w:adjustRightInd w:val="0"/>
                    <w:snapToGrid w:val="0"/>
                    <w:jc w:val="center"/>
                    <w:rPr>
                      <w:rFonts w:hint="eastAsia"/>
                      <w:lang w:val="en-US" w:eastAsia="zh-CN"/>
                    </w:rPr>
                  </w:pPr>
                </w:p>
              </w:tc>
              <w:tc>
                <w:tcPr>
                  <w:tcW w:w="1741" w:type="dxa"/>
                  <w:vMerge w:val="continue"/>
                  <w:shd w:val="clear" w:color="auto" w:fill="auto"/>
                  <w:noWrap w:val="0"/>
                  <w:vAlign w:val="center"/>
                </w:tcPr>
                <w:p>
                  <w:pPr>
                    <w:pStyle w:val="66"/>
                    <w:textAlignment w:val="auto"/>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1207" w:type="dxa"/>
                  <w:vMerge w:val="continue"/>
                  <w:noWrap w:val="0"/>
                  <w:vAlign w:val="center"/>
                </w:tcPr>
                <w:p>
                  <w:pPr>
                    <w:pStyle w:val="66"/>
                    <w:textAlignment w:val="auto"/>
                  </w:pPr>
                </w:p>
              </w:tc>
              <w:tc>
                <w:tcPr>
                  <w:tcW w:w="248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t>厂界</w:t>
                  </w:r>
                </w:p>
              </w:tc>
              <w:tc>
                <w:tcPr>
                  <w:tcW w:w="2854"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臭气浓度</w:t>
                  </w:r>
                </w:p>
              </w:tc>
              <w:tc>
                <w:tcPr>
                  <w:tcW w:w="1741" w:type="dxa"/>
                  <w:vMerge w:val="continue"/>
                  <w:shd w:val="clear" w:color="auto" w:fill="auto"/>
                  <w:noWrap w:val="0"/>
                  <w:vAlign w:val="center"/>
                </w:tcPr>
                <w:p>
                  <w:pPr>
                    <w:pStyle w:val="66"/>
                    <w:textAlignment w:val="auto"/>
                  </w:pPr>
                </w:p>
              </w:tc>
            </w:tr>
          </w:tbl>
          <w:p>
            <w:pPr>
              <w:pStyle w:val="54"/>
              <w:spacing w:line="360" w:lineRule="auto"/>
              <w:rPr>
                <w:szCs w:val="18"/>
              </w:rPr>
            </w:pPr>
          </w:p>
          <w:p>
            <w:pPr>
              <w:pStyle w:val="54"/>
              <w:spacing w:line="360" w:lineRule="auto"/>
              <w:ind w:firstLine="480"/>
              <w:rPr>
                <w:b/>
                <w:bCs/>
                <w:sz w:val="24"/>
                <w:szCs w:val="21"/>
              </w:rPr>
            </w:pPr>
            <w:r>
              <w:rPr>
                <w:rFonts w:hint="eastAsia"/>
                <w:b/>
                <w:bCs/>
                <w:sz w:val="24"/>
                <w:szCs w:val="21"/>
                <w:lang w:val="en-US" w:eastAsia="zh-CN"/>
              </w:rPr>
              <w:t>8.</w:t>
            </w:r>
            <w:r>
              <w:rPr>
                <w:b/>
                <w:bCs/>
                <w:sz w:val="24"/>
                <w:szCs w:val="21"/>
              </w:rPr>
              <w:t>环境影响分析</w:t>
            </w:r>
          </w:p>
          <w:p>
            <w:pPr>
              <w:pStyle w:val="54"/>
              <w:spacing w:line="360" w:lineRule="auto"/>
              <w:ind w:firstLine="480"/>
              <w:rPr>
                <w:sz w:val="24"/>
                <w:szCs w:val="21"/>
              </w:rPr>
            </w:pPr>
            <w:r>
              <w:rPr>
                <w:rFonts w:hint="eastAsia"/>
                <w:sz w:val="24"/>
                <w:szCs w:val="21"/>
              </w:rPr>
              <w:t>本项目无组织废气主要为</w:t>
            </w:r>
            <w:r>
              <w:rPr>
                <w:rFonts w:hint="eastAsia"/>
                <w:sz w:val="24"/>
                <w:szCs w:val="21"/>
                <w:lang w:val="en-US" w:eastAsia="zh-CN"/>
              </w:rPr>
              <w:t>加热定型</w:t>
            </w:r>
            <w:r>
              <w:rPr>
                <w:rFonts w:hint="eastAsia"/>
                <w:sz w:val="24"/>
                <w:szCs w:val="21"/>
              </w:rPr>
              <w:t>废气，本项目无组织废气通过加强通风，加强管理，符合</w:t>
            </w:r>
            <w:r>
              <w:rPr>
                <w:rFonts w:hint="eastAsia"/>
                <w:kern w:val="0"/>
                <w:sz w:val="24"/>
                <w:szCs w:val="24"/>
              </w:rPr>
              <w:t>《合成树脂工业污染物排放标准》（GB 31572-2015，含2024年修改单）</w:t>
            </w:r>
            <w:r>
              <w:rPr>
                <w:rFonts w:hint="eastAsia"/>
                <w:kern w:val="0"/>
                <w:sz w:val="24"/>
                <w:szCs w:val="24"/>
                <w:lang w:val="en-US" w:eastAsia="zh-CN"/>
              </w:rPr>
              <w:t>及</w:t>
            </w:r>
            <w:r>
              <w:rPr>
                <w:rFonts w:hint="eastAsia"/>
                <w:sz w:val="24"/>
                <w:szCs w:val="21"/>
              </w:rPr>
              <w:t>《大气污染物综合排放标准》（DB32/4041-2021）污染物排放监控浓度限值。营运期废气对周围大气环境无明显影响</w:t>
            </w:r>
            <w:r>
              <w:rPr>
                <w:sz w:val="24"/>
                <w:szCs w:val="21"/>
              </w:rPr>
              <w:t>。</w:t>
            </w:r>
          </w:p>
          <w:p>
            <w:pPr>
              <w:adjustRightInd w:val="0"/>
              <w:snapToGrid w:val="0"/>
              <w:spacing w:line="360" w:lineRule="auto"/>
              <w:ind w:firstLine="460" w:firstLineChars="191"/>
              <w:rPr>
                <w:b/>
                <w:bCs/>
                <w:sz w:val="24"/>
                <w:szCs w:val="24"/>
              </w:rPr>
            </w:pPr>
            <w:r>
              <w:rPr>
                <w:rFonts w:hint="eastAsia"/>
                <w:b/>
                <w:bCs/>
                <w:sz w:val="24"/>
                <w:szCs w:val="24"/>
                <w:lang w:eastAsia="zh-CN"/>
              </w:rPr>
              <w:t>（</w:t>
            </w:r>
            <w:r>
              <w:rPr>
                <w:rFonts w:hint="eastAsia"/>
                <w:b/>
                <w:bCs/>
                <w:sz w:val="24"/>
                <w:szCs w:val="24"/>
                <w:lang w:val="en-US" w:eastAsia="zh-CN"/>
              </w:rPr>
              <w:t>二</w:t>
            </w:r>
            <w:r>
              <w:rPr>
                <w:rFonts w:hint="eastAsia"/>
                <w:b/>
                <w:bCs/>
                <w:sz w:val="24"/>
                <w:szCs w:val="24"/>
                <w:lang w:eastAsia="zh-CN"/>
              </w:rPr>
              <w:t>）</w:t>
            </w:r>
            <w:r>
              <w:rPr>
                <w:rFonts w:hint="eastAsia"/>
                <w:b/>
                <w:bCs/>
                <w:sz w:val="24"/>
                <w:szCs w:val="24"/>
              </w:rPr>
              <w:t>废水</w:t>
            </w:r>
          </w:p>
          <w:p>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1.</w:t>
            </w:r>
            <w:r>
              <w:rPr>
                <w:rFonts w:hint="eastAsia"/>
                <w:b/>
                <w:bCs/>
                <w:sz w:val="24"/>
                <w:szCs w:val="24"/>
              </w:rPr>
              <w:t>废水产排污信息及排放口情况</w:t>
            </w:r>
          </w:p>
          <w:p>
            <w:pPr>
              <w:numPr>
                <w:ilvl w:val="0"/>
                <w:numId w:val="0"/>
              </w:numPr>
              <w:adjustRightInd w:val="0"/>
              <w:snapToGrid w:val="0"/>
              <w:spacing w:line="360" w:lineRule="auto"/>
              <w:ind w:leftChars="200"/>
              <w:rPr>
                <w:sz w:val="24"/>
                <w:szCs w:val="24"/>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24"/>
              </w:rPr>
              <w:t>生活污水</w:t>
            </w:r>
          </w:p>
          <w:p>
            <w:pPr>
              <w:adjustRightInd w:val="0"/>
              <w:snapToGrid w:val="0"/>
              <w:spacing w:line="360" w:lineRule="auto"/>
              <w:ind w:firstLine="458" w:firstLineChars="191"/>
              <w:rPr>
                <w:sz w:val="24"/>
                <w:szCs w:val="24"/>
              </w:rPr>
            </w:pPr>
            <w:r>
              <w:rPr>
                <w:rFonts w:hint="eastAsia"/>
                <w:sz w:val="24"/>
                <w:szCs w:val="24"/>
              </w:rPr>
              <w:t>建设项目职工</w:t>
            </w:r>
            <w:r>
              <w:rPr>
                <w:rFonts w:hint="eastAsia"/>
                <w:sz w:val="24"/>
                <w:szCs w:val="24"/>
                <w:lang w:val="en-US" w:eastAsia="zh-CN"/>
              </w:rPr>
              <w:t>20</w:t>
            </w:r>
            <w:r>
              <w:rPr>
                <w:rFonts w:hint="eastAsia"/>
                <w:sz w:val="24"/>
                <w:szCs w:val="24"/>
              </w:rPr>
              <w:t>人，年工作</w:t>
            </w:r>
            <w:r>
              <w:rPr>
                <w:rFonts w:hint="eastAsia"/>
                <w:sz w:val="24"/>
                <w:szCs w:val="24"/>
                <w:lang w:val="en-US" w:eastAsia="zh-CN"/>
              </w:rPr>
              <w:t>30</w:t>
            </w:r>
            <w:r>
              <w:rPr>
                <w:rFonts w:hint="eastAsia"/>
                <w:sz w:val="24"/>
                <w:szCs w:val="24"/>
              </w:rPr>
              <w:t>0天，实行</w:t>
            </w:r>
            <w:r>
              <w:rPr>
                <w:rFonts w:hint="eastAsia"/>
                <w:sz w:val="24"/>
                <w:szCs w:val="24"/>
                <w:lang w:val="en-US" w:eastAsia="zh-CN"/>
              </w:rPr>
              <w:t>两</w:t>
            </w:r>
            <w:r>
              <w:rPr>
                <w:rFonts w:hint="eastAsia"/>
                <w:sz w:val="24"/>
                <w:szCs w:val="24"/>
              </w:rPr>
              <w:t>班</w:t>
            </w:r>
            <w:r>
              <w:rPr>
                <w:rFonts w:hint="eastAsia"/>
                <w:sz w:val="24"/>
                <w:szCs w:val="24"/>
                <w:lang w:val="en-US" w:eastAsia="zh-CN"/>
              </w:rPr>
              <w:t>10</w:t>
            </w:r>
            <w:r>
              <w:rPr>
                <w:rFonts w:hint="eastAsia"/>
                <w:sz w:val="24"/>
                <w:szCs w:val="24"/>
              </w:rPr>
              <w:t>小时制生产，根据《建筑给水排水设计规范（2019年版）》，工业企业员工人均生活用水量取50L/人•天（班），则生活用水量为</w:t>
            </w:r>
            <w:r>
              <w:rPr>
                <w:rFonts w:hint="eastAsia"/>
                <w:sz w:val="24"/>
                <w:szCs w:val="24"/>
                <w:lang w:val="en-US" w:eastAsia="zh-CN"/>
              </w:rPr>
              <w:t>300</w:t>
            </w:r>
            <w:r>
              <w:rPr>
                <w:rFonts w:hint="eastAsia"/>
                <w:sz w:val="24"/>
                <w:szCs w:val="24"/>
              </w:rPr>
              <w:t>t/a，产污系数以0.8计，则生活污水产生量为</w:t>
            </w:r>
            <w:r>
              <w:rPr>
                <w:rFonts w:hint="eastAsia"/>
                <w:sz w:val="24"/>
                <w:szCs w:val="24"/>
                <w:lang w:val="en-US" w:eastAsia="zh-CN"/>
              </w:rPr>
              <w:t>240</w:t>
            </w:r>
            <w:r>
              <w:rPr>
                <w:rFonts w:hint="eastAsia"/>
                <w:sz w:val="24"/>
                <w:szCs w:val="24"/>
              </w:rPr>
              <w:t>t/a，</w:t>
            </w:r>
            <w:r>
              <w:rPr>
                <w:rFonts w:hint="default" w:ascii="Times New Roman" w:hAnsi="Times New Roman" w:cs="Times New Roman"/>
                <w:sz w:val="24"/>
                <w:szCs w:val="24"/>
                <w:lang w:eastAsia="zh-CN"/>
              </w:rPr>
              <w:t>生活污水主要污染因子为COD、SS、氨氮、总磷及总氮</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水质产生浓度依据《排放源统计调查产排污核算方法和系数手册-生活污染源产排污系数手册》“表1-1城镇生活源水污染物产生系数”中四区系数，其中SS参照《给排水设计手册》第五册《城镇排水》表4-1典型生活污水水质示例-低浓度。故本项目生活污水COD产生浓度以340mg/L计、SS产生浓度以150mg/L计、NH</w:t>
            </w:r>
            <w:r>
              <w:rPr>
                <w:rFonts w:hint="default" w:ascii="Times New Roman" w:hAnsi="Times New Roman" w:cs="Times New Roman"/>
                <w:sz w:val="24"/>
                <w:szCs w:val="24"/>
                <w:vertAlign w:val="subscript"/>
                <w:lang w:eastAsia="zh-CN"/>
              </w:rPr>
              <w:t>3</w:t>
            </w:r>
            <w:r>
              <w:rPr>
                <w:rFonts w:hint="default" w:ascii="Times New Roman" w:hAnsi="Times New Roman" w:cs="Times New Roman"/>
                <w:sz w:val="24"/>
                <w:szCs w:val="24"/>
                <w:lang w:eastAsia="zh-CN"/>
              </w:rPr>
              <w:t>-N产生浓度以32.6mg/L计、TP产生浓度以4.27mg/L计、TN产生浓度以44.8mg/L计</w:t>
            </w:r>
            <w:r>
              <w:rPr>
                <w:rFonts w:hint="eastAsia"/>
                <w:sz w:val="24"/>
                <w:szCs w:val="24"/>
                <w:lang w:eastAsia="zh-CN"/>
              </w:rPr>
              <w:t>，经</w:t>
            </w:r>
            <w:r>
              <w:rPr>
                <w:rFonts w:hint="eastAsia"/>
                <w:sz w:val="24"/>
                <w:szCs w:val="24"/>
                <w:lang w:val="en-US" w:eastAsia="zh-CN"/>
              </w:rPr>
              <w:t>租赁方</w:t>
            </w:r>
            <w:r>
              <w:rPr>
                <w:rFonts w:hint="eastAsia"/>
                <w:sz w:val="24"/>
                <w:szCs w:val="24"/>
                <w:lang w:eastAsia="zh-CN"/>
              </w:rPr>
              <w:t>化粪池预处理后</w:t>
            </w:r>
            <w:r>
              <w:rPr>
                <w:rFonts w:hint="eastAsia"/>
                <w:sz w:val="24"/>
                <w:szCs w:val="24"/>
                <w:lang w:val="en-US" w:eastAsia="zh-CN"/>
              </w:rPr>
              <w:t>接管</w:t>
            </w:r>
            <w:r>
              <w:rPr>
                <w:rFonts w:hint="eastAsia"/>
                <w:sz w:val="24"/>
                <w:szCs w:val="24"/>
                <w:lang w:eastAsia="zh-CN"/>
              </w:rPr>
              <w:t>至如皋恒发水处理有限公司处理</w:t>
            </w:r>
            <w:r>
              <w:rPr>
                <w:rFonts w:hint="eastAsia"/>
                <w:sz w:val="24"/>
                <w:szCs w:val="24"/>
              </w:rPr>
              <w:t>。</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建设项目产生的生活污水经租赁方化粪池收集达接管标准后排入市政污水管道接管至</w:t>
            </w:r>
            <w:r>
              <w:rPr>
                <w:rFonts w:hint="eastAsia"/>
                <w:sz w:val="24"/>
                <w:szCs w:val="24"/>
                <w:lang w:eastAsia="zh-CN"/>
              </w:rPr>
              <w:t>如皋恒发水处理有限公司</w:t>
            </w:r>
            <w:r>
              <w:rPr>
                <w:rFonts w:hint="eastAsia" w:ascii="宋体" w:hAnsi="宋体" w:cs="宋体"/>
                <w:sz w:val="24"/>
                <w:szCs w:val="24"/>
              </w:rPr>
              <w:t>处理。</w:t>
            </w:r>
          </w:p>
          <w:p>
            <w:pPr>
              <w:pStyle w:val="10"/>
              <w:spacing w:before="0" w:line="360" w:lineRule="auto"/>
              <w:ind w:firstLine="480" w:firstLineChars="200"/>
              <w:rPr>
                <w:sz w:val="32"/>
                <w:szCs w:val="32"/>
              </w:rPr>
            </w:pPr>
            <w:r>
              <w:rPr>
                <w:rFonts w:hint="eastAsia" w:ascii="Times New Roman" w:hAnsi="Times New Roman" w:cs="Times New Roman"/>
                <w:sz w:val="24"/>
                <w:szCs w:val="24"/>
              </w:rPr>
              <w:t>建设项目废水污染物排放信息表见</w:t>
            </w:r>
            <w:r>
              <w:rPr>
                <w:rFonts w:hint="eastAsia" w:ascii="Times New Roman" w:hAnsi="Times New Roman" w:cs="Times New Roman"/>
                <w:sz w:val="24"/>
                <w:szCs w:val="24"/>
                <w:lang w:val="en-US" w:eastAsia="zh-CN"/>
              </w:rPr>
              <w:t>下</w:t>
            </w:r>
            <w:r>
              <w:rPr>
                <w:rFonts w:hint="eastAsia" w:ascii="Times New Roman" w:hAnsi="Times New Roman" w:cs="Times New Roman"/>
                <w:sz w:val="24"/>
                <w:szCs w:val="24"/>
              </w:rPr>
              <w:t>表。</w:t>
            </w:r>
          </w:p>
          <w:p>
            <w:pPr>
              <w:adjustRightInd w:val="0"/>
              <w:snapToGrid w:val="0"/>
              <w:spacing w:line="360" w:lineRule="auto"/>
              <w:jc w:val="center"/>
              <w:rPr>
                <w:b/>
                <w:bCs/>
                <w:sz w:val="24"/>
                <w:szCs w:val="32"/>
              </w:rPr>
            </w:pPr>
          </w:p>
          <w:p>
            <w:pPr>
              <w:adjustRightInd w:val="0"/>
              <w:snapToGrid w:val="0"/>
              <w:spacing w:line="360" w:lineRule="auto"/>
              <w:jc w:val="center"/>
              <w:rPr>
                <w:b/>
                <w:bCs/>
                <w:sz w:val="24"/>
                <w:szCs w:val="32"/>
              </w:rPr>
            </w:pPr>
          </w:p>
          <w:p>
            <w:pPr>
              <w:adjustRightInd w:val="0"/>
              <w:snapToGrid w:val="0"/>
              <w:spacing w:line="360" w:lineRule="auto"/>
              <w:jc w:val="center"/>
              <w:rPr>
                <w:b/>
                <w:bCs/>
                <w:sz w:val="24"/>
                <w:szCs w:val="32"/>
              </w:rPr>
            </w:pPr>
            <w:r>
              <w:rPr>
                <w:b/>
                <w:bCs/>
                <w:sz w:val="24"/>
                <w:szCs w:val="32"/>
              </w:rPr>
              <w:t>表4-</w:t>
            </w:r>
            <w:r>
              <w:rPr>
                <w:rFonts w:hint="eastAsia"/>
                <w:b/>
                <w:bCs/>
                <w:sz w:val="24"/>
                <w:szCs w:val="32"/>
                <w:lang w:val="en-US" w:eastAsia="zh-CN"/>
              </w:rPr>
              <w:t>8</w:t>
            </w:r>
            <w:r>
              <w:rPr>
                <w:rFonts w:hint="eastAsia"/>
                <w:b/>
                <w:bCs/>
                <w:sz w:val="24"/>
                <w:szCs w:val="32"/>
              </w:rPr>
              <w:t>项目</w:t>
            </w:r>
            <w:r>
              <w:rPr>
                <w:b/>
                <w:bCs/>
                <w:sz w:val="24"/>
                <w:szCs w:val="32"/>
              </w:rPr>
              <w:t>污水处理情况一览表</w:t>
            </w:r>
          </w:p>
          <w:tbl>
            <w:tblPr>
              <w:tblStyle w:val="30"/>
              <w:tblW w:w="827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2"/>
              <w:gridCol w:w="780"/>
              <w:gridCol w:w="788"/>
              <w:gridCol w:w="750"/>
              <w:gridCol w:w="901"/>
              <w:gridCol w:w="679"/>
              <w:gridCol w:w="737"/>
              <w:gridCol w:w="899"/>
              <w:gridCol w:w="884"/>
              <w:gridCol w:w="11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restart"/>
                  <w:noWrap w:val="0"/>
                  <w:vAlign w:val="center"/>
                </w:tcPr>
                <w:p>
                  <w:pPr>
                    <w:adjustRightInd w:val="0"/>
                    <w:snapToGrid w:val="0"/>
                    <w:jc w:val="center"/>
                    <w:rPr>
                      <w:b/>
                      <w:bCs/>
                    </w:rPr>
                  </w:pPr>
                  <w:r>
                    <w:rPr>
                      <w:b/>
                      <w:bCs/>
                    </w:rPr>
                    <w:t>废水</w:t>
                  </w:r>
                </w:p>
                <w:p>
                  <w:pPr>
                    <w:adjustRightInd w:val="0"/>
                    <w:snapToGrid w:val="0"/>
                    <w:jc w:val="center"/>
                    <w:rPr>
                      <w:b/>
                      <w:bCs/>
                    </w:rPr>
                  </w:pPr>
                  <w:r>
                    <w:rPr>
                      <w:b/>
                      <w:bCs/>
                    </w:rPr>
                    <w:t>类型</w:t>
                  </w:r>
                </w:p>
              </w:tc>
              <w:tc>
                <w:tcPr>
                  <w:tcW w:w="780" w:type="dxa"/>
                  <w:vMerge w:val="restart"/>
                  <w:noWrap w:val="0"/>
                  <w:vAlign w:val="center"/>
                </w:tcPr>
                <w:p>
                  <w:pPr>
                    <w:adjustRightInd w:val="0"/>
                    <w:snapToGrid w:val="0"/>
                    <w:jc w:val="center"/>
                    <w:rPr>
                      <w:b/>
                      <w:bCs/>
                    </w:rPr>
                  </w:pPr>
                  <w:r>
                    <w:rPr>
                      <w:b/>
                      <w:bCs/>
                    </w:rPr>
                    <w:t>废水量m</w:t>
                  </w:r>
                  <w:r>
                    <w:rPr>
                      <w:b/>
                      <w:bCs/>
                      <w:vertAlign w:val="superscript"/>
                    </w:rPr>
                    <w:t>3</w:t>
                  </w:r>
                  <w:r>
                    <w:rPr>
                      <w:b/>
                      <w:bCs/>
                    </w:rPr>
                    <w:t>/a</w:t>
                  </w:r>
                </w:p>
              </w:tc>
              <w:tc>
                <w:tcPr>
                  <w:tcW w:w="788" w:type="dxa"/>
                  <w:vMerge w:val="restart"/>
                  <w:noWrap w:val="0"/>
                  <w:vAlign w:val="center"/>
                </w:tcPr>
                <w:p>
                  <w:pPr>
                    <w:adjustRightInd w:val="0"/>
                    <w:snapToGrid w:val="0"/>
                    <w:jc w:val="center"/>
                    <w:rPr>
                      <w:b/>
                      <w:bCs/>
                    </w:rPr>
                  </w:pPr>
                  <w:r>
                    <w:rPr>
                      <w:b/>
                      <w:bCs/>
                    </w:rPr>
                    <w:t>污染物</w:t>
                  </w:r>
                </w:p>
              </w:tc>
              <w:tc>
                <w:tcPr>
                  <w:tcW w:w="1651" w:type="dxa"/>
                  <w:gridSpan w:val="2"/>
                  <w:noWrap w:val="0"/>
                  <w:vAlign w:val="center"/>
                </w:tcPr>
                <w:p>
                  <w:pPr>
                    <w:adjustRightInd w:val="0"/>
                    <w:snapToGrid w:val="0"/>
                    <w:jc w:val="center"/>
                    <w:rPr>
                      <w:b/>
                      <w:bCs/>
                    </w:rPr>
                  </w:pPr>
                  <w:r>
                    <w:rPr>
                      <w:b/>
                      <w:bCs/>
                    </w:rPr>
                    <w:t>产生情况</w:t>
                  </w:r>
                </w:p>
              </w:tc>
              <w:tc>
                <w:tcPr>
                  <w:tcW w:w="679" w:type="dxa"/>
                  <w:vMerge w:val="restart"/>
                  <w:noWrap w:val="0"/>
                  <w:vAlign w:val="center"/>
                </w:tcPr>
                <w:p>
                  <w:pPr>
                    <w:adjustRightInd w:val="0"/>
                    <w:snapToGrid w:val="0"/>
                    <w:jc w:val="center"/>
                    <w:rPr>
                      <w:b/>
                      <w:bCs/>
                    </w:rPr>
                  </w:pPr>
                  <w:r>
                    <w:rPr>
                      <w:b/>
                      <w:bCs/>
                    </w:rPr>
                    <w:t>治理</w:t>
                  </w:r>
                </w:p>
                <w:p>
                  <w:pPr>
                    <w:adjustRightInd w:val="0"/>
                    <w:snapToGrid w:val="0"/>
                    <w:jc w:val="center"/>
                    <w:rPr>
                      <w:b/>
                      <w:bCs/>
                    </w:rPr>
                  </w:pPr>
                  <w:r>
                    <w:rPr>
                      <w:b/>
                      <w:bCs/>
                    </w:rPr>
                    <w:t>措施</w:t>
                  </w:r>
                </w:p>
              </w:tc>
              <w:tc>
                <w:tcPr>
                  <w:tcW w:w="1636" w:type="dxa"/>
                  <w:gridSpan w:val="2"/>
                  <w:noWrap w:val="0"/>
                  <w:vAlign w:val="center"/>
                </w:tcPr>
                <w:p>
                  <w:pPr>
                    <w:adjustRightInd w:val="0"/>
                    <w:snapToGrid w:val="0"/>
                    <w:jc w:val="center"/>
                    <w:rPr>
                      <w:b/>
                      <w:bCs/>
                    </w:rPr>
                  </w:pPr>
                  <w:r>
                    <w:rPr>
                      <w:b/>
                      <w:bCs/>
                    </w:rPr>
                    <w:t>排放情况</w:t>
                  </w:r>
                </w:p>
              </w:tc>
              <w:tc>
                <w:tcPr>
                  <w:tcW w:w="884" w:type="dxa"/>
                  <w:vMerge w:val="restart"/>
                  <w:noWrap w:val="0"/>
                  <w:vAlign w:val="center"/>
                </w:tcPr>
                <w:p>
                  <w:pPr>
                    <w:adjustRightInd w:val="0"/>
                    <w:snapToGrid w:val="0"/>
                    <w:jc w:val="center"/>
                    <w:rPr>
                      <w:b/>
                      <w:bCs/>
                    </w:rPr>
                  </w:pPr>
                  <w:r>
                    <w:rPr>
                      <w:b/>
                      <w:bCs/>
                    </w:rPr>
                    <w:t>标准限值mg/L</w:t>
                  </w:r>
                </w:p>
              </w:tc>
              <w:tc>
                <w:tcPr>
                  <w:tcW w:w="1187" w:type="dxa"/>
                  <w:vMerge w:val="restart"/>
                  <w:noWrap w:val="0"/>
                  <w:vAlign w:val="center"/>
                </w:tcPr>
                <w:p>
                  <w:pPr>
                    <w:adjustRightInd w:val="0"/>
                    <w:snapToGrid w:val="0"/>
                    <w:jc w:val="center"/>
                    <w:rPr>
                      <w:b/>
                      <w:bCs/>
                    </w:rPr>
                  </w:pPr>
                  <w:r>
                    <w:rPr>
                      <w:b/>
                      <w:bCs/>
                    </w:rPr>
                    <w:t>排放</w:t>
                  </w:r>
                </w:p>
                <w:p>
                  <w:pPr>
                    <w:adjustRightInd w:val="0"/>
                    <w:snapToGrid w:val="0"/>
                    <w:jc w:val="center"/>
                    <w:rPr>
                      <w:b/>
                      <w:bCs/>
                    </w:rPr>
                  </w:pPr>
                  <w:r>
                    <w:rPr>
                      <w:b/>
                      <w:bCs/>
                    </w:rPr>
                    <w:t>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continue"/>
                  <w:noWrap w:val="0"/>
                  <w:vAlign w:val="center"/>
                </w:tcPr>
                <w:p>
                  <w:pPr>
                    <w:adjustRightInd w:val="0"/>
                    <w:snapToGrid w:val="0"/>
                    <w:jc w:val="center"/>
                    <w:rPr>
                      <w:b/>
                      <w:bCs/>
                    </w:rPr>
                  </w:pPr>
                </w:p>
              </w:tc>
              <w:tc>
                <w:tcPr>
                  <w:tcW w:w="780" w:type="dxa"/>
                  <w:vMerge w:val="continue"/>
                  <w:noWrap w:val="0"/>
                  <w:vAlign w:val="center"/>
                </w:tcPr>
                <w:p>
                  <w:pPr>
                    <w:adjustRightInd w:val="0"/>
                    <w:snapToGrid w:val="0"/>
                    <w:jc w:val="center"/>
                    <w:rPr>
                      <w:b/>
                      <w:bCs/>
                    </w:rPr>
                  </w:pPr>
                </w:p>
              </w:tc>
              <w:tc>
                <w:tcPr>
                  <w:tcW w:w="788" w:type="dxa"/>
                  <w:vMerge w:val="continue"/>
                  <w:noWrap w:val="0"/>
                  <w:vAlign w:val="center"/>
                </w:tcPr>
                <w:p>
                  <w:pPr>
                    <w:adjustRightInd w:val="0"/>
                    <w:snapToGrid w:val="0"/>
                    <w:jc w:val="center"/>
                    <w:rPr>
                      <w:b/>
                      <w:bCs/>
                    </w:rPr>
                  </w:pPr>
                </w:p>
              </w:tc>
              <w:tc>
                <w:tcPr>
                  <w:tcW w:w="750" w:type="dxa"/>
                  <w:noWrap w:val="0"/>
                  <w:vAlign w:val="center"/>
                </w:tcPr>
                <w:p>
                  <w:pPr>
                    <w:adjustRightInd w:val="0"/>
                    <w:snapToGrid w:val="0"/>
                    <w:jc w:val="center"/>
                    <w:rPr>
                      <w:b/>
                      <w:bCs/>
                    </w:rPr>
                  </w:pPr>
                  <w:r>
                    <w:rPr>
                      <w:b/>
                      <w:bCs/>
                    </w:rPr>
                    <w:t>浓度</w:t>
                  </w:r>
                </w:p>
                <w:p>
                  <w:pPr>
                    <w:adjustRightInd w:val="0"/>
                    <w:snapToGrid w:val="0"/>
                    <w:jc w:val="center"/>
                    <w:rPr>
                      <w:b/>
                      <w:bCs/>
                    </w:rPr>
                  </w:pPr>
                  <w:r>
                    <w:rPr>
                      <w:b/>
                      <w:bCs/>
                    </w:rPr>
                    <w:t>mg/L</w:t>
                  </w:r>
                </w:p>
              </w:tc>
              <w:tc>
                <w:tcPr>
                  <w:tcW w:w="901" w:type="dxa"/>
                  <w:noWrap w:val="0"/>
                  <w:vAlign w:val="center"/>
                </w:tcPr>
                <w:p>
                  <w:pPr>
                    <w:adjustRightInd w:val="0"/>
                    <w:snapToGrid w:val="0"/>
                    <w:jc w:val="center"/>
                    <w:rPr>
                      <w:b/>
                      <w:bCs/>
                    </w:rPr>
                  </w:pPr>
                  <w:r>
                    <w:rPr>
                      <w:b/>
                      <w:bCs/>
                    </w:rPr>
                    <w:t>产生量</w:t>
                  </w:r>
                </w:p>
                <w:p>
                  <w:pPr>
                    <w:adjustRightInd w:val="0"/>
                    <w:snapToGrid w:val="0"/>
                    <w:jc w:val="center"/>
                    <w:rPr>
                      <w:b/>
                      <w:bCs/>
                    </w:rPr>
                  </w:pPr>
                  <w:r>
                    <w:rPr>
                      <w:b/>
                      <w:bCs/>
                    </w:rPr>
                    <w:t>t/a</w:t>
                  </w:r>
                </w:p>
              </w:tc>
              <w:tc>
                <w:tcPr>
                  <w:tcW w:w="679" w:type="dxa"/>
                  <w:vMerge w:val="continue"/>
                  <w:noWrap w:val="0"/>
                  <w:vAlign w:val="center"/>
                </w:tcPr>
                <w:p>
                  <w:pPr>
                    <w:adjustRightInd w:val="0"/>
                    <w:snapToGrid w:val="0"/>
                    <w:jc w:val="center"/>
                    <w:rPr>
                      <w:b/>
                      <w:bCs/>
                    </w:rPr>
                  </w:pPr>
                </w:p>
              </w:tc>
              <w:tc>
                <w:tcPr>
                  <w:tcW w:w="737" w:type="dxa"/>
                  <w:noWrap w:val="0"/>
                  <w:vAlign w:val="center"/>
                </w:tcPr>
                <w:p>
                  <w:pPr>
                    <w:adjustRightInd w:val="0"/>
                    <w:snapToGrid w:val="0"/>
                    <w:jc w:val="center"/>
                    <w:rPr>
                      <w:b/>
                      <w:bCs/>
                    </w:rPr>
                  </w:pPr>
                  <w:r>
                    <w:rPr>
                      <w:b/>
                      <w:bCs/>
                    </w:rPr>
                    <w:t>浓度</w:t>
                  </w:r>
                </w:p>
                <w:p>
                  <w:pPr>
                    <w:adjustRightInd w:val="0"/>
                    <w:snapToGrid w:val="0"/>
                    <w:jc w:val="center"/>
                    <w:rPr>
                      <w:b/>
                      <w:bCs/>
                    </w:rPr>
                  </w:pPr>
                  <w:r>
                    <w:rPr>
                      <w:b/>
                      <w:bCs/>
                    </w:rPr>
                    <w:t>mg/L</w:t>
                  </w:r>
                </w:p>
              </w:tc>
              <w:tc>
                <w:tcPr>
                  <w:tcW w:w="899" w:type="dxa"/>
                  <w:noWrap w:val="0"/>
                  <w:vAlign w:val="center"/>
                </w:tcPr>
                <w:p>
                  <w:pPr>
                    <w:adjustRightInd w:val="0"/>
                    <w:snapToGrid w:val="0"/>
                    <w:jc w:val="center"/>
                    <w:rPr>
                      <w:b/>
                      <w:bCs/>
                    </w:rPr>
                  </w:pPr>
                  <w:r>
                    <w:rPr>
                      <w:b/>
                      <w:bCs/>
                    </w:rPr>
                    <w:t>排放量</w:t>
                  </w:r>
                </w:p>
                <w:p>
                  <w:pPr>
                    <w:adjustRightInd w:val="0"/>
                    <w:snapToGrid w:val="0"/>
                    <w:jc w:val="center"/>
                    <w:rPr>
                      <w:b/>
                      <w:bCs/>
                    </w:rPr>
                  </w:pPr>
                  <w:r>
                    <w:rPr>
                      <w:b/>
                      <w:bCs/>
                    </w:rPr>
                    <w:t>t/a</w:t>
                  </w:r>
                </w:p>
              </w:tc>
              <w:tc>
                <w:tcPr>
                  <w:tcW w:w="884" w:type="dxa"/>
                  <w:vMerge w:val="continue"/>
                  <w:noWrap w:val="0"/>
                  <w:vAlign w:val="center"/>
                </w:tcPr>
                <w:p>
                  <w:pPr>
                    <w:adjustRightInd w:val="0"/>
                    <w:snapToGrid w:val="0"/>
                    <w:jc w:val="center"/>
                  </w:pPr>
                </w:p>
              </w:tc>
              <w:tc>
                <w:tcPr>
                  <w:tcW w:w="1187" w:type="dxa"/>
                  <w:vMerge w:val="continue"/>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restart"/>
                  <w:noWrap w:val="0"/>
                  <w:vAlign w:val="center"/>
                </w:tcPr>
                <w:p>
                  <w:pPr>
                    <w:autoSpaceDE w:val="0"/>
                    <w:autoSpaceDN w:val="0"/>
                    <w:adjustRightInd w:val="0"/>
                    <w:snapToGrid w:val="0"/>
                    <w:jc w:val="center"/>
                    <w:rPr>
                      <w:rFonts w:hint="eastAsia"/>
                    </w:rPr>
                  </w:pPr>
                  <w:r>
                    <w:rPr>
                      <w:rFonts w:hint="eastAsia"/>
                    </w:rPr>
                    <w:t>生活污水</w:t>
                  </w:r>
                </w:p>
              </w:tc>
              <w:tc>
                <w:tcPr>
                  <w:tcW w:w="780" w:type="dxa"/>
                  <w:vMerge w:val="restart"/>
                  <w:shd w:val="clear" w:color="auto" w:fill="auto"/>
                  <w:noWrap w:val="0"/>
                  <w:vAlign w:val="center"/>
                </w:tcPr>
                <w:p>
                  <w:pPr>
                    <w:autoSpaceDE w:val="0"/>
                    <w:autoSpaceDN w:val="0"/>
                    <w:adjustRightInd w:val="0"/>
                    <w:snapToGrid w:val="0"/>
                    <w:jc w:val="center"/>
                    <w:rPr>
                      <w:rFonts w:hint="default" w:eastAsia="宋体"/>
                      <w:lang w:val="en-US" w:eastAsia="zh-CN"/>
                    </w:rPr>
                  </w:pPr>
                  <w:r>
                    <w:rPr>
                      <w:rFonts w:hint="eastAsia"/>
                      <w:lang w:val="en-US" w:eastAsia="zh-CN"/>
                    </w:rPr>
                    <w:t>240</w:t>
                  </w:r>
                </w:p>
              </w:tc>
              <w:tc>
                <w:tcPr>
                  <w:tcW w:w="788" w:type="dxa"/>
                  <w:shd w:val="clear" w:color="auto" w:fill="auto"/>
                  <w:noWrap w:val="0"/>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COD</w:t>
                  </w:r>
                </w:p>
              </w:tc>
              <w:tc>
                <w:tcPr>
                  <w:tcW w:w="750"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340</w:t>
                  </w:r>
                </w:p>
              </w:tc>
              <w:tc>
                <w:tcPr>
                  <w:tcW w:w="901"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0.082 </w:t>
                  </w:r>
                </w:p>
              </w:tc>
              <w:tc>
                <w:tcPr>
                  <w:tcW w:w="679" w:type="dxa"/>
                  <w:vMerge w:val="restart"/>
                  <w:shd w:val="clear" w:color="auto" w:fill="auto"/>
                  <w:noWrap w:val="0"/>
                  <w:vAlign w:val="center"/>
                </w:tcPr>
                <w:p>
                  <w:pPr>
                    <w:adjustRightInd w:val="0"/>
                    <w:snapToGrid w:val="0"/>
                    <w:jc w:val="center"/>
                    <w:rPr>
                      <w:rFonts w:hint="eastAsia"/>
                    </w:rPr>
                  </w:pPr>
                  <w:r>
                    <w:rPr>
                      <w:rFonts w:hint="eastAsia"/>
                    </w:rPr>
                    <w:t>化粪池</w:t>
                  </w:r>
                </w:p>
              </w:tc>
              <w:tc>
                <w:tcPr>
                  <w:tcW w:w="73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204</w:t>
                  </w:r>
                </w:p>
              </w:tc>
              <w:tc>
                <w:tcPr>
                  <w:tcW w:w="899"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0.049 </w:t>
                  </w:r>
                </w:p>
              </w:tc>
              <w:tc>
                <w:tcPr>
                  <w:tcW w:w="884" w:type="dxa"/>
                  <w:shd w:val="clear" w:color="auto" w:fill="auto"/>
                  <w:noWrap w:val="0"/>
                  <w:vAlign w:val="center"/>
                </w:tcPr>
                <w:p>
                  <w:pPr>
                    <w:adjustRightInd w:val="0"/>
                    <w:snapToGrid w:val="0"/>
                    <w:jc w:val="center"/>
                    <w:rPr>
                      <w:rFonts w:ascii="Times New Roman" w:hAnsi="Times New Roman" w:eastAsia="宋体" w:cs="Times New Roman"/>
                      <w:kern w:val="2"/>
                      <w:sz w:val="21"/>
                      <w:szCs w:val="24"/>
                      <w:lang w:val="en-US" w:eastAsia="zh-CN" w:bidi="ar-SA"/>
                    </w:rPr>
                  </w:pPr>
                  <w:r>
                    <w:t>500</w:t>
                  </w:r>
                </w:p>
              </w:tc>
              <w:tc>
                <w:tcPr>
                  <w:tcW w:w="1187" w:type="dxa"/>
                  <w:vMerge w:val="restart"/>
                  <w:noWrap w:val="0"/>
                  <w:vAlign w:val="center"/>
                </w:tcPr>
                <w:p>
                  <w:pPr>
                    <w:adjustRightInd w:val="0"/>
                    <w:snapToGrid w:val="0"/>
                    <w:jc w:val="center"/>
                  </w:pPr>
                  <w:r>
                    <w:rPr>
                      <w:rFonts w:hint="eastAsia"/>
                      <w:szCs w:val="21"/>
                      <w:lang w:val="en-US" w:eastAsia="zh-CN"/>
                    </w:rPr>
                    <w:t>接管</w:t>
                  </w:r>
                  <w:r>
                    <w:rPr>
                      <w:rFonts w:hint="eastAsia"/>
                      <w:szCs w:val="21"/>
                      <w:lang w:eastAsia="zh-CN"/>
                    </w:rPr>
                    <w:t>至如皋恒发水处理有限公司处理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continue"/>
                  <w:noWrap w:val="0"/>
                  <w:vAlign w:val="center"/>
                </w:tcPr>
                <w:p>
                  <w:pPr>
                    <w:autoSpaceDE w:val="0"/>
                    <w:autoSpaceDN w:val="0"/>
                    <w:adjustRightInd w:val="0"/>
                    <w:snapToGrid w:val="0"/>
                    <w:jc w:val="center"/>
                  </w:pPr>
                </w:p>
              </w:tc>
              <w:tc>
                <w:tcPr>
                  <w:tcW w:w="780" w:type="dxa"/>
                  <w:vMerge w:val="continue"/>
                  <w:noWrap w:val="0"/>
                  <w:vAlign w:val="center"/>
                </w:tcPr>
                <w:p>
                  <w:pPr>
                    <w:autoSpaceDE w:val="0"/>
                    <w:autoSpaceDN w:val="0"/>
                    <w:adjustRightInd w:val="0"/>
                    <w:snapToGrid w:val="0"/>
                    <w:jc w:val="center"/>
                  </w:pPr>
                </w:p>
              </w:tc>
              <w:tc>
                <w:tcPr>
                  <w:tcW w:w="788" w:type="dxa"/>
                  <w:shd w:val="clear" w:color="auto" w:fill="auto"/>
                  <w:noWrap w:val="0"/>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SS</w:t>
                  </w:r>
                </w:p>
              </w:tc>
              <w:tc>
                <w:tcPr>
                  <w:tcW w:w="750"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901"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0.036 </w:t>
                  </w:r>
                </w:p>
              </w:tc>
              <w:tc>
                <w:tcPr>
                  <w:tcW w:w="679" w:type="dxa"/>
                  <w:vMerge w:val="continue"/>
                  <w:noWrap w:val="0"/>
                  <w:vAlign w:val="center"/>
                </w:tcPr>
                <w:p>
                  <w:pPr>
                    <w:adjustRightInd w:val="0"/>
                    <w:snapToGrid w:val="0"/>
                    <w:jc w:val="center"/>
                  </w:pPr>
                </w:p>
              </w:tc>
              <w:tc>
                <w:tcPr>
                  <w:tcW w:w="73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899"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 </w:t>
                  </w:r>
                </w:p>
              </w:tc>
              <w:tc>
                <w:tcPr>
                  <w:tcW w:w="884" w:type="dxa"/>
                  <w:shd w:val="clear" w:color="auto" w:fill="auto"/>
                  <w:noWrap w:val="0"/>
                  <w:vAlign w:val="center"/>
                </w:tcPr>
                <w:p>
                  <w:pPr>
                    <w:adjustRightInd w:val="0"/>
                    <w:snapToGrid w:val="0"/>
                    <w:jc w:val="center"/>
                    <w:rPr>
                      <w:rFonts w:ascii="Times New Roman" w:hAnsi="Times New Roman" w:eastAsia="宋体" w:cs="Times New Roman"/>
                      <w:kern w:val="2"/>
                      <w:sz w:val="21"/>
                      <w:szCs w:val="24"/>
                      <w:lang w:val="en-US" w:eastAsia="zh-CN" w:bidi="ar-SA"/>
                    </w:rPr>
                  </w:pPr>
                  <w:r>
                    <w:t>400</w:t>
                  </w:r>
                </w:p>
              </w:tc>
              <w:tc>
                <w:tcPr>
                  <w:tcW w:w="1187" w:type="dxa"/>
                  <w:vMerge w:val="continue"/>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continue"/>
                  <w:noWrap w:val="0"/>
                  <w:vAlign w:val="center"/>
                </w:tcPr>
                <w:p>
                  <w:pPr>
                    <w:autoSpaceDE w:val="0"/>
                    <w:autoSpaceDN w:val="0"/>
                    <w:adjustRightInd w:val="0"/>
                    <w:snapToGrid w:val="0"/>
                    <w:jc w:val="center"/>
                  </w:pPr>
                </w:p>
              </w:tc>
              <w:tc>
                <w:tcPr>
                  <w:tcW w:w="780" w:type="dxa"/>
                  <w:vMerge w:val="continue"/>
                  <w:noWrap w:val="0"/>
                  <w:vAlign w:val="center"/>
                </w:tcPr>
                <w:p>
                  <w:pPr>
                    <w:autoSpaceDE w:val="0"/>
                    <w:autoSpaceDN w:val="0"/>
                    <w:adjustRightInd w:val="0"/>
                    <w:snapToGrid w:val="0"/>
                    <w:jc w:val="center"/>
                  </w:pPr>
                </w:p>
              </w:tc>
              <w:tc>
                <w:tcPr>
                  <w:tcW w:w="788" w:type="dxa"/>
                  <w:shd w:val="clear" w:color="auto" w:fill="auto"/>
                  <w:noWrap w:val="0"/>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氨氮</w:t>
                  </w:r>
                </w:p>
              </w:tc>
              <w:tc>
                <w:tcPr>
                  <w:tcW w:w="750"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32.6</w:t>
                  </w:r>
                </w:p>
              </w:tc>
              <w:tc>
                <w:tcPr>
                  <w:tcW w:w="901"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0.008 </w:t>
                  </w:r>
                </w:p>
              </w:tc>
              <w:tc>
                <w:tcPr>
                  <w:tcW w:w="679" w:type="dxa"/>
                  <w:vMerge w:val="continue"/>
                  <w:noWrap w:val="0"/>
                  <w:vAlign w:val="center"/>
                </w:tcPr>
                <w:p>
                  <w:pPr>
                    <w:adjustRightInd w:val="0"/>
                    <w:snapToGrid w:val="0"/>
                    <w:jc w:val="center"/>
                  </w:pPr>
                </w:p>
              </w:tc>
              <w:tc>
                <w:tcPr>
                  <w:tcW w:w="73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29.34</w:t>
                  </w:r>
                </w:p>
              </w:tc>
              <w:tc>
                <w:tcPr>
                  <w:tcW w:w="899"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884" w:type="dxa"/>
                  <w:shd w:val="clear" w:color="auto" w:fill="auto"/>
                  <w:noWrap w:val="0"/>
                  <w:vAlign w:val="center"/>
                </w:tcPr>
                <w:p>
                  <w:pPr>
                    <w:adjustRightInd w:val="0"/>
                    <w:snapToGrid w:val="0"/>
                    <w:jc w:val="center"/>
                    <w:rPr>
                      <w:rFonts w:ascii="Times New Roman" w:hAnsi="Times New Roman" w:eastAsia="宋体" w:cs="Times New Roman"/>
                      <w:kern w:val="2"/>
                      <w:sz w:val="21"/>
                      <w:szCs w:val="24"/>
                      <w:lang w:val="en-US" w:eastAsia="zh-CN" w:bidi="ar-SA"/>
                    </w:rPr>
                  </w:pPr>
                  <w:r>
                    <w:t>45</w:t>
                  </w:r>
                </w:p>
              </w:tc>
              <w:tc>
                <w:tcPr>
                  <w:tcW w:w="1187" w:type="dxa"/>
                  <w:vMerge w:val="continue"/>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continue"/>
                  <w:noWrap w:val="0"/>
                  <w:vAlign w:val="center"/>
                </w:tcPr>
                <w:p>
                  <w:pPr>
                    <w:autoSpaceDE w:val="0"/>
                    <w:autoSpaceDN w:val="0"/>
                    <w:adjustRightInd w:val="0"/>
                    <w:snapToGrid w:val="0"/>
                    <w:jc w:val="center"/>
                  </w:pPr>
                </w:p>
              </w:tc>
              <w:tc>
                <w:tcPr>
                  <w:tcW w:w="780" w:type="dxa"/>
                  <w:vMerge w:val="continue"/>
                  <w:noWrap w:val="0"/>
                  <w:vAlign w:val="center"/>
                </w:tcPr>
                <w:p>
                  <w:pPr>
                    <w:autoSpaceDE w:val="0"/>
                    <w:autoSpaceDN w:val="0"/>
                    <w:adjustRightInd w:val="0"/>
                    <w:snapToGrid w:val="0"/>
                    <w:jc w:val="center"/>
                  </w:pPr>
                </w:p>
              </w:tc>
              <w:tc>
                <w:tcPr>
                  <w:tcW w:w="788" w:type="dxa"/>
                  <w:shd w:val="clear" w:color="auto" w:fill="auto"/>
                  <w:noWrap w:val="0"/>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总磷</w:t>
                  </w:r>
                </w:p>
              </w:tc>
              <w:tc>
                <w:tcPr>
                  <w:tcW w:w="750"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4.27</w:t>
                  </w:r>
                </w:p>
              </w:tc>
              <w:tc>
                <w:tcPr>
                  <w:tcW w:w="901"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679" w:type="dxa"/>
                  <w:vMerge w:val="continue"/>
                  <w:noWrap w:val="0"/>
                  <w:vAlign w:val="center"/>
                </w:tcPr>
                <w:p>
                  <w:pPr>
                    <w:adjustRightInd w:val="0"/>
                    <w:snapToGrid w:val="0"/>
                    <w:jc w:val="center"/>
                  </w:pPr>
                </w:p>
              </w:tc>
              <w:tc>
                <w:tcPr>
                  <w:tcW w:w="737"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3.42 </w:t>
                  </w:r>
                </w:p>
              </w:tc>
              <w:tc>
                <w:tcPr>
                  <w:tcW w:w="899"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884" w:type="dxa"/>
                  <w:shd w:val="clear" w:color="auto" w:fill="auto"/>
                  <w:noWrap w:val="0"/>
                  <w:vAlign w:val="center"/>
                </w:tcPr>
                <w:p>
                  <w:pPr>
                    <w:adjustRightInd w:val="0"/>
                    <w:snapToGrid w:val="0"/>
                    <w:jc w:val="center"/>
                    <w:rPr>
                      <w:rFonts w:ascii="Times New Roman" w:hAnsi="Times New Roman" w:eastAsia="宋体" w:cs="Times New Roman"/>
                      <w:kern w:val="2"/>
                      <w:sz w:val="21"/>
                      <w:szCs w:val="24"/>
                      <w:lang w:val="en-US" w:eastAsia="zh-CN" w:bidi="ar-SA"/>
                    </w:rPr>
                  </w:pPr>
                  <w:r>
                    <w:t>70</w:t>
                  </w:r>
                </w:p>
              </w:tc>
              <w:tc>
                <w:tcPr>
                  <w:tcW w:w="1187" w:type="dxa"/>
                  <w:vMerge w:val="continue"/>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672" w:type="dxa"/>
                  <w:vMerge w:val="continue"/>
                  <w:noWrap w:val="0"/>
                  <w:vAlign w:val="center"/>
                </w:tcPr>
                <w:p>
                  <w:pPr>
                    <w:autoSpaceDE w:val="0"/>
                    <w:autoSpaceDN w:val="0"/>
                    <w:adjustRightInd w:val="0"/>
                    <w:snapToGrid w:val="0"/>
                    <w:jc w:val="center"/>
                  </w:pPr>
                </w:p>
              </w:tc>
              <w:tc>
                <w:tcPr>
                  <w:tcW w:w="780" w:type="dxa"/>
                  <w:vMerge w:val="continue"/>
                  <w:noWrap w:val="0"/>
                  <w:vAlign w:val="center"/>
                </w:tcPr>
                <w:p>
                  <w:pPr>
                    <w:autoSpaceDE w:val="0"/>
                    <w:autoSpaceDN w:val="0"/>
                    <w:adjustRightInd w:val="0"/>
                    <w:snapToGrid w:val="0"/>
                    <w:jc w:val="center"/>
                  </w:pPr>
                </w:p>
              </w:tc>
              <w:tc>
                <w:tcPr>
                  <w:tcW w:w="788" w:type="dxa"/>
                  <w:shd w:val="clear" w:color="auto" w:fill="auto"/>
                  <w:noWrap w:val="0"/>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rPr>
                    <w:t>总氮</w:t>
                  </w:r>
                </w:p>
              </w:tc>
              <w:tc>
                <w:tcPr>
                  <w:tcW w:w="750"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44.8</w:t>
                  </w:r>
                </w:p>
              </w:tc>
              <w:tc>
                <w:tcPr>
                  <w:tcW w:w="901"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0.011 </w:t>
                  </w:r>
                </w:p>
              </w:tc>
              <w:tc>
                <w:tcPr>
                  <w:tcW w:w="679" w:type="dxa"/>
                  <w:vMerge w:val="continue"/>
                  <w:noWrap w:val="0"/>
                  <w:vAlign w:val="center"/>
                </w:tcPr>
                <w:p>
                  <w:pPr>
                    <w:adjustRightInd w:val="0"/>
                    <w:snapToGrid w:val="0"/>
                    <w:jc w:val="center"/>
                  </w:pPr>
                </w:p>
              </w:tc>
              <w:tc>
                <w:tcPr>
                  <w:tcW w:w="737" w:type="dxa"/>
                  <w:shd w:val="clear" w:color="auto" w:fill="auto"/>
                  <w:noWrap w:val="0"/>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40.32</w:t>
                  </w:r>
                </w:p>
              </w:tc>
              <w:tc>
                <w:tcPr>
                  <w:tcW w:w="899" w:type="dxa"/>
                  <w:shd w:val="clear" w:color="auto" w:fill="auto"/>
                  <w:noWrap w:val="0"/>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884" w:type="dxa"/>
                  <w:shd w:val="clear" w:color="auto" w:fill="auto"/>
                  <w:noWrap w:val="0"/>
                  <w:vAlign w:val="center"/>
                </w:tcPr>
                <w:p>
                  <w:pPr>
                    <w:adjustRightInd w:val="0"/>
                    <w:snapToGrid w:val="0"/>
                    <w:jc w:val="center"/>
                    <w:rPr>
                      <w:rFonts w:ascii="Times New Roman" w:hAnsi="Times New Roman" w:eastAsia="宋体" w:cs="Times New Roman"/>
                      <w:kern w:val="2"/>
                      <w:sz w:val="21"/>
                      <w:szCs w:val="24"/>
                      <w:lang w:val="en-US" w:eastAsia="zh-CN" w:bidi="ar-SA"/>
                    </w:rPr>
                  </w:pPr>
                  <w:r>
                    <w:t>8</w:t>
                  </w:r>
                </w:p>
              </w:tc>
              <w:tc>
                <w:tcPr>
                  <w:tcW w:w="1187" w:type="dxa"/>
                  <w:vMerge w:val="continue"/>
                  <w:noWrap w:val="0"/>
                  <w:vAlign w:val="center"/>
                </w:tcPr>
                <w:p>
                  <w:pPr>
                    <w:adjustRightInd w:val="0"/>
                    <w:snapToGrid w:val="0"/>
                    <w:jc w:val="center"/>
                  </w:pPr>
                </w:p>
              </w:tc>
            </w:tr>
          </w:tbl>
          <w:p>
            <w:pPr>
              <w:pStyle w:val="10"/>
              <w:spacing w:before="0" w:line="360" w:lineRule="auto"/>
              <w:jc w:val="center"/>
              <w:rPr>
                <w:rFonts w:hint="eastAsia" w:ascii="Times New Roman" w:hAnsi="Times New Roman" w:cs="Times New Roman"/>
                <w:b/>
                <w:bCs/>
                <w:sz w:val="24"/>
                <w:szCs w:val="24"/>
              </w:rPr>
            </w:pPr>
          </w:p>
          <w:p>
            <w:pPr>
              <w:pStyle w:val="10"/>
              <w:spacing w:before="0" w:line="360" w:lineRule="auto"/>
              <w:jc w:val="center"/>
              <w:rPr>
                <w:rFonts w:ascii="Times New Roman" w:hAnsi="Times New Roman" w:cs="Times New Roman"/>
                <w:b/>
                <w:bCs/>
                <w:sz w:val="24"/>
                <w:szCs w:val="24"/>
              </w:rPr>
            </w:pPr>
            <w:r>
              <w:rPr>
                <w:rFonts w:hint="eastAsia" w:ascii="Times New Roman" w:hAnsi="Times New Roman" w:cs="Times New Roman"/>
                <w:b/>
                <w:bCs/>
                <w:sz w:val="24"/>
                <w:szCs w:val="24"/>
              </w:rPr>
              <w:t>表4-</w:t>
            </w: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 xml:space="preserve">  废水间接排放口基本情况表</w:t>
            </w:r>
          </w:p>
          <w:tbl>
            <w:tblPr>
              <w:tblStyle w:val="30"/>
              <w:tblW w:w="829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223"/>
              <w:gridCol w:w="1236"/>
              <w:gridCol w:w="1131"/>
              <w:gridCol w:w="1106"/>
              <w:gridCol w:w="1117"/>
              <w:gridCol w:w="10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05" w:type="dxa"/>
                  <w:vMerge w:val="restart"/>
                  <w:vAlign w:val="center"/>
                </w:tcPr>
                <w:p>
                  <w:pPr>
                    <w:pStyle w:val="10"/>
                    <w:spacing w:before="0" w:line="260" w:lineRule="exact"/>
                    <w:jc w:val="center"/>
                    <w:rPr>
                      <w:rFonts w:ascii="Times New Roman" w:hAnsi="Times New Roman" w:cs="Times New Roman"/>
                      <w:b/>
                      <w:bCs/>
                      <w:sz w:val="21"/>
                      <w:szCs w:val="21"/>
                    </w:rPr>
                  </w:pPr>
                  <w:r>
                    <w:rPr>
                      <w:rFonts w:ascii="Times New Roman" w:hAnsi="Times New Roman" w:cs="Times New Roman"/>
                      <w:b/>
                      <w:bCs/>
                      <w:sz w:val="21"/>
                      <w:szCs w:val="21"/>
                    </w:rPr>
                    <w:t>排放口编号</w:t>
                  </w:r>
                  <w:r>
                    <w:rPr>
                      <w:rFonts w:hint="eastAsia" w:ascii="Times New Roman" w:hAnsi="Times New Roman" w:cs="Times New Roman"/>
                      <w:b/>
                      <w:bCs/>
                      <w:sz w:val="21"/>
                      <w:szCs w:val="21"/>
                    </w:rPr>
                    <w:t>及名称</w:t>
                  </w:r>
                </w:p>
              </w:tc>
              <w:tc>
                <w:tcPr>
                  <w:tcW w:w="1223" w:type="dxa"/>
                  <w:vMerge w:val="restart"/>
                  <w:vAlign w:val="center"/>
                </w:tcPr>
                <w:p>
                  <w:pPr>
                    <w:pStyle w:val="10"/>
                    <w:spacing w:before="0" w:line="260" w:lineRule="exact"/>
                    <w:jc w:val="center"/>
                    <w:rPr>
                      <w:rFonts w:ascii="Times New Roman" w:hAnsi="Times New Roman" w:cs="Times New Roman"/>
                      <w:b/>
                      <w:bCs/>
                      <w:sz w:val="21"/>
                      <w:szCs w:val="21"/>
                    </w:rPr>
                  </w:pPr>
                  <w:r>
                    <w:rPr>
                      <w:rFonts w:hint="eastAsia" w:ascii="Times New Roman" w:hAnsi="Times New Roman" w:cs="Times New Roman"/>
                      <w:b/>
                      <w:bCs/>
                      <w:sz w:val="21"/>
                      <w:szCs w:val="21"/>
                    </w:rPr>
                    <w:t>废水排放量</w:t>
                  </w:r>
                  <w:r>
                    <w:rPr>
                      <w:rFonts w:ascii="Times New Roman" w:hAnsi="Times New Roman" w:cs="Times New Roman"/>
                      <w:b/>
                      <w:bCs/>
                      <w:sz w:val="21"/>
                      <w:szCs w:val="21"/>
                    </w:rPr>
                    <w:t>（t/a）</w:t>
                  </w:r>
                </w:p>
              </w:tc>
              <w:tc>
                <w:tcPr>
                  <w:tcW w:w="1236" w:type="dxa"/>
                  <w:vMerge w:val="restart"/>
                  <w:vAlign w:val="center"/>
                </w:tcPr>
                <w:p>
                  <w:pPr>
                    <w:pStyle w:val="10"/>
                    <w:spacing w:before="0" w:line="260" w:lineRule="exact"/>
                    <w:jc w:val="center"/>
                    <w:rPr>
                      <w:rFonts w:ascii="Times New Roman" w:hAnsi="Times New Roman" w:cs="Times New Roman"/>
                      <w:b/>
                      <w:bCs/>
                      <w:sz w:val="21"/>
                      <w:szCs w:val="21"/>
                    </w:rPr>
                  </w:pPr>
                  <w:r>
                    <w:rPr>
                      <w:rFonts w:ascii="Times New Roman" w:hAnsi="Times New Roman" w:cs="Times New Roman"/>
                      <w:b/>
                      <w:bCs/>
                      <w:sz w:val="21"/>
                      <w:szCs w:val="21"/>
                    </w:rPr>
                    <w:t>污染物种类</w:t>
                  </w:r>
                </w:p>
              </w:tc>
              <w:tc>
                <w:tcPr>
                  <w:tcW w:w="2237" w:type="dxa"/>
                  <w:gridSpan w:val="2"/>
                  <w:shd w:val="clear" w:color="auto" w:fill="auto"/>
                  <w:vAlign w:val="center"/>
                </w:tcPr>
                <w:p>
                  <w:pPr>
                    <w:pStyle w:val="10"/>
                    <w:spacing w:before="0" w:line="260" w:lineRule="exact"/>
                    <w:jc w:val="center"/>
                    <w:rPr>
                      <w:rFonts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接管</w:t>
                  </w:r>
                </w:p>
              </w:tc>
              <w:tc>
                <w:tcPr>
                  <w:tcW w:w="2191" w:type="dxa"/>
                  <w:gridSpan w:val="2"/>
                  <w:vAlign w:val="center"/>
                </w:tcPr>
                <w:p>
                  <w:pPr>
                    <w:pStyle w:val="10"/>
                    <w:spacing w:before="0" w:line="260" w:lineRule="exact"/>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05" w:type="dxa"/>
                  <w:vMerge w:val="continue"/>
                  <w:vAlign w:val="center"/>
                </w:tcPr>
                <w:p>
                  <w:pPr>
                    <w:pStyle w:val="10"/>
                    <w:spacing w:before="0" w:line="260" w:lineRule="exact"/>
                    <w:jc w:val="center"/>
                    <w:rPr>
                      <w:rFonts w:ascii="Times New Roman" w:hAnsi="Times New Roman" w:cs="Times New Roman"/>
                      <w:b/>
                      <w:bCs/>
                      <w:sz w:val="21"/>
                      <w:szCs w:val="21"/>
                    </w:rPr>
                  </w:pPr>
                </w:p>
              </w:tc>
              <w:tc>
                <w:tcPr>
                  <w:tcW w:w="1223" w:type="dxa"/>
                  <w:vMerge w:val="continue"/>
                  <w:vAlign w:val="center"/>
                </w:tcPr>
                <w:p>
                  <w:pPr>
                    <w:pStyle w:val="10"/>
                    <w:spacing w:before="0" w:line="260" w:lineRule="exact"/>
                    <w:jc w:val="center"/>
                    <w:rPr>
                      <w:rFonts w:ascii="Times New Roman" w:hAnsi="Times New Roman" w:cs="Times New Roman"/>
                      <w:b/>
                      <w:bCs/>
                      <w:sz w:val="21"/>
                      <w:szCs w:val="21"/>
                    </w:rPr>
                  </w:pPr>
                </w:p>
              </w:tc>
              <w:tc>
                <w:tcPr>
                  <w:tcW w:w="1236" w:type="dxa"/>
                  <w:vMerge w:val="continue"/>
                  <w:vAlign w:val="center"/>
                </w:tcPr>
                <w:p>
                  <w:pPr>
                    <w:pStyle w:val="10"/>
                    <w:spacing w:before="0" w:line="260" w:lineRule="exact"/>
                    <w:jc w:val="center"/>
                    <w:rPr>
                      <w:rFonts w:ascii="Times New Roman" w:hAnsi="Times New Roman" w:cs="Times New Roman"/>
                      <w:b/>
                      <w:bCs/>
                      <w:sz w:val="21"/>
                      <w:szCs w:val="21"/>
                    </w:rPr>
                  </w:pPr>
                </w:p>
              </w:tc>
              <w:tc>
                <w:tcPr>
                  <w:tcW w:w="1131" w:type="dxa"/>
                  <w:shd w:val="clear" w:color="auto" w:fill="auto"/>
                  <w:vAlign w:val="center"/>
                </w:tcPr>
                <w:p>
                  <w:pPr>
                    <w:pStyle w:val="10"/>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排放浓度</w:t>
                  </w:r>
                </w:p>
                <w:p>
                  <w:pPr>
                    <w:pStyle w:val="10"/>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（mg/L）</w:t>
                  </w:r>
                </w:p>
              </w:tc>
              <w:tc>
                <w:tcPr>
                  <w:tcW w:w="1106" w:type="dxa"/>
                  <w:shd w:val="clear" w:color="auto" w:fill="auto"/>
                  <w:vAlign w:val="center"/>
                </w:tcPr>
                <w:p>
                  <w:pPr>
                    <w:pStyle w:val="10"/>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年排放量</w:t>
                  </w:r>
                </w:p>
                <w:p>
                  <w:pPr>
                    <w:pStyle w:val="10"/>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（t/a）</w:t>
                  </w:r>
                </w:p>
              </w:tc>
              <w:tc>
                <w:tcPr>
                  <w:tcW w:w="1117" w:type="dxa"/>
                  <w:shd w:val="clear" w:color="auto" w:fill="auto"/>
                  <w:vAlign w:val="center"/>
                </w:tcPr>
                <w:p>
                  <w:pPr>
                    <w:pStyle w:val="10"/>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排放浓度</w:t>
                  </w:r>
                </w:p>
                <w:p>
                  <w:pPr>
                    <w:pStyle w:val="10"/>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（mg/L）</w:t>
                  </w:r>
                </w:p>
              </w:tc>
              <w:tc>
                <w:tcPr>
                  <w:tcW w:w="1074" w:type="dxa"/>
                  <w:shd w:val="clear" w:color="auto" w:fill="auto"/>
                  <w:vAlign w:val="center"/>
                </w:tcPr>
                <w:p>
                  <w:pPr>
                    <w:pStyle w:val="10"/>
                    <w:spacing w:before="0" w:line="260" w:lineRule="exact"/>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年排放量</w:t>
                  </w:r>
                </w:p>
                <w:p>
                  <w:pPr>
                    <w:pStyle w:val="10"/>
                    <w:spacing w:before="0" w:line="260" w:lineRule="exact"/>
                    <w:jc w:val="center"/>
                    <w:rPr>
                      <w:rFonts w:ascii="Times New Roman" w:hAnsi="Times New Roman" w:eastAsia="宋体" w:cs="Times New Roman"/>
                      <w:b/>
                      <w:bCs/>
                      <w:sz w:val="21"/>
                      <w:szCs w:val="21"/>
                      <w:lang w:val="en-US" w:eastAsia="zh-CN"/>
                    </w:rPr>
                  </w:pPr>
                  <w:r>
                    <w:rPr>
                      <w:rFonts w:ascii="Times New Roman" w:hAnsi="Times New Roman" w:eastAsia="宋体" w:cs="Times New Roman"/>
                      <w:b/>
                      <w:bCs/>
                      <w:sz w:val="21"/>
                      <w:szCs w:val="21"/>
                    </w:rPr>
                    <w:t>（t/a）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jc w:val="center"/>
              </w:trPr>
              <w:tc>
                <w:tcPr>
                  <w:tcW w:w="1405" w:type="dxa"/>
                  <w:vMerge w:val="restart"/>
                  <w:vAlign w:val="center"/>
                </w:tcPr>
                <w:p>
                  <w:pPr>
                    <w:pStyle w:val="10"/>
                    <w:spacing w:before="0" w:line="260" w:lineRule="exact"/>
                    <w:jc w:val="center"/>
                    <w:rPr>
                      <w:rFonts w:ascii="Times New Roman" w:hAnsi="Times New Roman" w:cs="Times New Roman"/>
                      <w:sz w:val="21"/>
                      <w:szCs w:val="21"/>
                    </w:rPr>
                  </w:pPr>
                  <w:r>
                    <w:rPr>
                      <w:rFonts w:hint="eastAsia" w:ascii="Times New Roman" w:hAnsi="Times New Roman" w:cs="Times New Roman"/>
                      <w:sz w:val="21"/>
                      <w:szCs w:val="21"/>
                    </w:rPr>
                    <w:t>DW001废水总排口</w:t>
                  </w:r>
                </w:p>
              </w:tc>
              <w:tc>
                <w:tcPr>
                  <w:tcW w:w="1223" w:type="dxa"/>
                  <w:vMerge w:val="restart"/>
                  <w:shd w:val="clear" w:color="auto" w:fill="auto"/>
                  <w:vAlign w:val="center"/>
                </w:tcPr>
                <w:p>
                  <w:pPr>
                    <w:pStyle w:val="10"/>
                    <w:spacing w:before="0" w:line="280" w:lineRule="exact"/>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240</w:t>
                  </w:r>
                </w:p>
              </w:tc>
              <w:tc>
                <w:tcPr>
                  <w:tcW w:w="1236" w:type="dxa"/>
                  <w:shd w:val="clear" w:color="auto" w:fill="auto"/>
                  <w:vAlign w:val="center"/>
                </w:tcPr>
                <w:p>
                  <w:pPr>
                    <w:pStyle w:val="10"/>
                    <w:spacing w:before="0" w:line="280" w:lineRule="exact"/>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COD</w:t>
                  </w:r>
                </w:p>
              </w:tc>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204.00 </w:t>
                  </w:r>
                </w:p>
              </w:tc>
              <w:tc>
                <w:tcPr>
                  <w:tcW w:w="110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0.049 </w:t>
                  </w:r>
                </w:p>
              </w:tc>
              <w:tc>
                <w:tcPr>
                  <w:tcW w:w="111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7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57" w:hRule="atLeast"/>
                <w:jc w:val="center"/>
              </w:trPr>
              <w:tc>
                <w:tcPr>
                  <w:tcW w:w="1405" w:type="dxa"/>
                  <w:vMerge w:val="continue"/>
                  <w:vAlign w:val="center"/>
                </w:tcPr>
                <w:p>
                  <w:pPr>
                    <w:pStyle w:val="10"/>
                    <w:spacing w:before="0" w:line="260" w:lineRule="exact"/>
                    <w:jc w:val="center"/>
                    <w:rPr>
                      <w:rFonts w:ascii="Times New Roman" w:hAnsi="Times New Roman" w:cs="Times New Roman"/>
                      <w:sz w:val="21"/>
                      <w:szCs w:val="21"/>
                    </w:rPr>
                  </w:pPr>
                </w:p>
              </w:tc>
              <w:tc>
                <w:tcPr>
                  <w:tcW w:w="1223" w:type="dxa"/>
                  <w:vMerge w:val="continue"/>
                  <w:vAlign w:val="center"/>
                </w:tcPr>
                <w:p>
                  <w:pPr>
                    <w:pStyle w:val="10"/>
                    <w:spacing w:before="0" w:line="280" w:lineRule="exact"/>
                    <w:jc w:val="center"/>
                    <w:rPr>
                      <w:rFonts w:ascii="Times New Roman" w:hAnsi="Times New Roman" w:cs="Times New Roman"/>
                      <w:sz w:val="21"/>
                      <w:szCs w:val="21"/>
                    </w:rPr>
                  </w:pPr>
                </w:p>
              </w:tc>
              <w:tc>
                <w:tcPr>
                  <w:tcW w:w="1236" w:type="dxa"/>
                  <w:shd w:val="clear" w:color="auto" w:fill="auto"/>
                  <w:vAlign w:val="center"/>
                </w:tcPr>
                <w:p>
                  <w:pPr>
                    <w:pStyle w:val="10"/>
                    <w:spacing w:before="0" w:line="280" w:lineRule="exact"/>
                    <w:jc w:val="center"/>
                    <w:rPr>
                      <w:rFonts w:ascii="Times New Roman" w:hAnsi="Times New Roman" w:eastAsia="宋体" w:cs="Times New Roman"/>
                      <w:kern w:val="2"/>
                      <w:sz w:val="21"/>
                      <w:szCs w:val="21"/>
                      <w:lang w:val="en-US" w:eastAsia="zh-CN" w:bidi="ar-SA"/>
                    </w:rPr>
                  </w:pPr>
                  <w:r>
                    <w:rPr>
                      <w:rFonts w:ascii="Times New Roman" w:hAnsi="Times New Roman" w:cs="Times New Roman"/>
                      <w:sz w:val="21"/>
                      <w:szCs w:val="21"/>
                    </w:rPr>
                    <w:t>SS</w:t>
                  </w:r>
                </w:p>
              </w:tc>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60.00 </w:t>
                  </w:r>
                </w:p>
              </w:tc>
              <w:tc>
                <w:tcPr>
                  <w:tcW w:w="110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0.014 </w:t>
                  </w:r>
                </w:p>
              </w:tc>
              <w:tc>
                <w:tcPr>
                  <w:tcW w:w="111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0.0024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57" w:hRule="atLeast"/>
                <w:jc w:val="center"/>
              </w:trPr>
              <w:tc>
                <w:tcPr>
                  <w:tcW w:w="1405" w:type="dxa"/>
                  <w:vMerge w:val="continue"/>
                  <w:vAlign w:val="center"/>
                </w:tcPr>
                <w:p>
                  <w:pPr>
                    <w:pStyle w:val="10"/>
                    <w:spacing w:before="0" w:line="260" w:lineRule="exact"/>
                    <w:jc w:val="center"/>
                    <w:rPr>
                      <w:rFonts w:ascii="Times New Roman" w:hAnsi="Times New Roman" w:cs="Times New Roman"/>
                      <w:sz w:val="21"/>
                      <w:szCs w:val="21"/>
                    </w:rPr>
                  </w:pPr>
                </w:p>
              </w:tc>
              <w:tc>
                <w:tcPr>
                  <w:tcW w:w="1223" w:type="dxa"/>
                  <w:vMerge w:val="continue"/>
                  <w:vAlign w:val="center"/>
                </w:tcPr>
                <w:p>
                  <w:pPr>
                    <w:pStyle w:val="10"/>
                    <w:spacing w:before="0" w:line="280" w:lineRule="exact"/>
                    <w:jc w:val="center"/>
                    <w:rPr>
                      <w:rFonts w:ascii="Times New Roman" w:hAnsi="Times New Roman" w:cs="Times New Roman"/>
                      <w:sz w:val="21"/>
                      <w:szCs w:val="21"/>
                    </w:rPr>
                  </w:pPr>
                </w:p>
              </w:tc>
              <w:tc>
                <w:tcPr>
                  <w:tcW w:w="1236" w:type="dxa"/>
                  <w:shd w:val="clear" w:color="auto" w:fill="auto"/>
                  <w:vAlign w:val="center"/>
                </w:tcPr>
                <w:p>
                  <w:pPr>
                    <w:pStyle w:val="10"/>
                    <w:spacing w:before="0" w:line="28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氨氮</w:t>
                  </w:r>
                </w:p>
              </w:tc>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29.34 </w:t>
                  </w:r>
                </w:p>
              </w:tc>
              <w:tc>
                <w:tcPr>
                  <w:tcW w:w="110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0.007 </w:t>
                  </w:r>
                </w:p>
              </w:tc>
              <w:tc>
                <w:tcPr>
                  <w:tcW w:w="111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57" w:hRule="atLeast"/>
                <w:jc w:val="center"/>
              </w:trPr>
              <w:tc>
                <w:tcPr>
                  <w:tcW w:w="1405" w:type="dxa"/>
                  <w:vMerge w:val="continue"/>
                  <w:vAlign w:val="center"/>
                </w:tcPr>
                <w:p>
                  <w:pPr>
                    <w:pStyle w:val="10"/>
                    <w:spacing w:before="0" w:line="260" w:lineRule="exact"/>
                    <w:jc w:val="center"/>
                    <w:rPr>
                      <w:rFonts w:ascii="Times New Roman" w:hAnsi="Times New Roman" w:cs="Times New Roman"/>
                      <w:sz w:val="21"/>
                      <w:szCs w:val="21"/>
                    </w:rPr>
                  </w:pPr>
                </w:p>
              </w:tc>
              <w:tc>
                <w:tcPr>
                  <w:tcW w:w="1223" w:type="dxa"/>
                  <w:vMerge w:val="continue"/>
                  <w:vAlign w:val="center"/>
                </w:tcPr>
                <w:p>
                  <w:pPr>
                    <w:pStyle w:val="10"/>
                    <w:spacing w:before="0" w:line="280" w:lineRule="exact"/>
                    <w:jc w:val="center"/>
                    <w:rPr>
                      <w:rFonts w:ascii="Times New Roman" w:hAnsi="Times New Roman" w:cs="Times New Roman"/>
                      <w:sz w:val="21"/>
                      <w:szCs w:val="21"/>
                    </w:rPr>
                  </w:pPr>
                </w:p>
              </w:tc>
              <w:tc>
                <w:tcPr>
                  <w:tcW w:w="1236" w:type="dxa"/>
                  <w:shd w:val="clear" w:color="auto" w:fill="auto"/>
                  <w:vAlign w:val="center"/>
                </w:tcPr>
                <w:p>
                  <w:pPr>
                    <w:pStyle w:val="10"/>
                    <w:spacing w:before="0" w:line="28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总磷</w:t>
                  </w:r>
                </w:p>
              </w:tc>
              <w:tc>
                <w:tcPr>
                  <w:tcW w:w="1131"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3.42 </w:t>
                  </w:r>
                </w:p>
              </w:tc>
              <w:tc>
                <w:tcPr>
                  <w:tcW w:w="110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0.001 </w:t>
                  </w:r>
                </w:p>
              </w:tc>
              <w:tc>
                <w:tcPr>
                  <w:tcW w:w="111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0.5</w:t>
                  </w:r>
                </w:p>
              </w:tc>
              <w:tc>
                <w:tcPr>
                  <w:tcW w:w="1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0.0001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PrEx>
              <w:trPr>
                <w:trHeight w:val="57" w:hRule="atLeast"/>
                <w:jc w:val="center"/>
              </w:trPr>
              <w:tc>
                <w:tcPr>
                  <w:tcW w:w="1405" w:type="dxa"/>
                  <w:vMerge w:val="continue"/>
                  <w:vAlign w:val="center"/>
                </w:tcPr>
                <w:p>
                  <w:pPr>
                    <w:pStyle w:val="10"/>
                    <w:spacing w:before="0" w:line="260" w:lineRule="exact"/>
                    <w:jc w:val="center"/>
                    <w:rPr>
                      <w:rFonts w:ascii="Times New Roman" w:hAnsi="Times New Roman" w:cs="Times New Roman"/>
                      <w:sz w:val="21"/>
                      <w:szCs w:val="21"/>
                    </w:rPr>
                  </w:pPr>
                </w:p>
              </w:tc>
              <w:tc>
                <w:tcPr>
                  <w:tcW w:w="1223" w:type="dxa"/>
                  <w:vMerge w:val="continue"/>
                  <w:vAlign w:val="center"/>
                </w:tcPr>
                <w:p>
                  <w:pPr>
                    <w:pStyle w:val="10"/>
                    <w:spacing w:before="0" w:line="280" w:lineRule="exact"/>
                    <w:jc w:val="center"/>
                    <w:rPr>
                      <w:rFonts w:ascii="Times New Roman" w:hAnsi="Times New Roman" w:cs="Times New Roman"/>
                      <w:sz w:val="21"/>
                      <w:szCs w:val="21"/>
                    </w:rPr>
                  </w:pPr>
                </w:p>
              </w:tc>
              <w:tc>
                <w:tcPr>
                  <w:tcW w:w="1236" w:type="dxa"/>
                  <w:shd w:val="clear" w:color="auto" w:fill="auto"/>
                  <w:vAlign w:val="center"/>
                </w:tcPr>
                <w:p>
                  <w:pPr>
                    <w:pStyle w:val="10"/>
                    <w:spacing w:before="0" w:line="280" w:lineRule="exact"/>
                    <w:jc w:val="center"/>
                    <w:rPr>
                      <w:rFonts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rPr>
                    <w:t>总氮</w:t>
                  </w:r>
                </w:p>
              </w:tc>
              <w:tc>
                <w:tcPr>
                  <w:tcW w:w="113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40.32 </w:t>
                  </w:r>
                </w:p>
              </w:tc>
              <w:tc>
                <w:tcPr>
                  <w:tcW w:w="1106"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4"/>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0.010 </w:t>
                  </w:r>
                </w:p>
              </w:tc>
              <w:tc>
                <w:tcPr>
                  <w:tcW w:w="111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0.0036 </w:t>
                  </w:r>
                </w:p>
              </w:tc>
            </w:tr>
          </w:tbl>
          <w:p>
            <w:pPr>
              <w:ind w:firstLine="200" w:firstLineChars="83"/>
              <w:jc w:val="center"/>
              <w:rPr>
                <w:b/>
                <w:bCs/>
                <w:sz w:val="24"/>
              </w:rPr>
            </w:pPr>
          </w:p>
          <w:p>
            <w:pPr>
              <w:widowControl/>
              <w:adjustRightInd w:val="0"/>
              <w:snapToGrid w:val="0"/>
              <w:spacing w:line="360" w:lineRule="auto"/>
              <w:ind w:firstLine="482" w:firstLineChars="200"/>
              <w:jc w:val="left"/>
              <w:rPr>
                <w:b/>
                <w:bCs/>
                <w:sz w:val="24"/>
                <w:szCs w:val="24"/>
              </w:rPr>
            </w:pPr>
            <w:r>
              <w:rPr>
                <w:rFonts w:hint="eastAsia"/>
                <w:b/>
                <w:bCs/>
                <w:color w:val="000000"/>
                <w:sz w:val="24"/>
                <w:szCs w:val="24"/>
                <w:lang w:val="en-US" w:eastAsia="zh-CN"/>
              </w:rPr>
              <w:t>2.</w:t>
            </w:r>
            <w:r>
              <w:rPr>
                <w:rFonts w:hint="eastAsia"/>
                <w:b/>
                <w:bCs/>
                <w:sz w:val="24"/>
                <w:szCs w:val="24"/>
              </w:rPr>
              <w:t>达标排放及接管可行性分析</w:t>
            </w:r>
          </w:p>
          <w:p>
            <w:pPr>
              <w:adjustRightInd w:val="0"/>
              <w:snapToGrid w:val="0"/>
              <w:spacing w:line="360" w:lineRule="auto"/>
              <w:ind w:firstLine="458" w:firstLineChars="191"/>
              <w:rPr>
                <w:sz w:val="24"/>
                <w:szCs w:val="32"/>
              </w:rPr>
            </w:pPr>
            <w:r>
              <w:rPr>
                <w:rFonts w:hint="eastAsia"/>
                <w:sz w:val="24"/>
                <w:szCs w:val="24"/>
              </w:rPr>
              <w:t>建设项目生活污水</w:t>
            </w:r>
            <w:r>
              <w:rPr>
                <w:rFonts w:hint="eastAsia"/>
                <w:sz w:val="24"/>
                <w:szCs w:val="24"/>
                <w:lang w:val="en-US" w:eastAsia="zh-CN"/>
              </w:rPr>
              <w:t>24</w:t>
            </w:r>
            <w:r>
              <w:rPr>
                <w:rFonts w:hint="eastAsia"/>
                <w:sz w:val="24"/>
                <w:szCs w:val="24"/>
              </w:rPr>
              <w:t>0t/a经租赁方化粪池收集达《污水综合排放标准》（GB8978-1996）表4中三级标准和《污水排入城镇下水道水质标准》（GB/T31962-2015）表1中B等级标准接管</w:t>
            </w:r>
            <w:r>
              <w:rPr>
                <w:rFonts w:hint="eastAsia"/>
                <w:kern w:val="0"/>
                <w:sz w:val="24"/>
                <w:szCs w:val="24"/>
              </w:rPr>
              <w:t>如皋恒发水处理有限公司</w:t>
            </w:r>
            <w:r>
              <w:rPr>
                <w:rFonts w:hint="eastAsia"/>
                <w:sz w:val="24"/>
                <w:szCs w:val="24"/>
              </w:rPr>
              <w:t>处理，</w:t>
            </w:r>
            <w:r>
              <w:rPr>
                <w:sz w:val="24"/>
                <w:szCs w:val="24"/>
              </w:rPr>
              <w:t>对地表水环境影响较小。</w:t>
            </w:r>
          </w:p>
          <w:p>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如皋市恒发水处理有限公司已建成处理能力40000m</w:t>
            </w:r>
            <w:r>
              <w:rPr>
                <w:rFonts w:hint="eastAsia"/>
                <w:color w:val="auto"/>
                <w:sz w:val="24"/>
                <w:szCs w:val="32"/>
                <w:vertAlign w:val="superscript"/>
                <w:lang w:eastAsia="zh-CN"/>
              </w:rPr>
              <w:t>3</w:t>
            </w:r>
            <w:r>
              <w:rPr>
                <w:rFonts w:hint="eastAsia"/>
                <w:color w:val="auto"/>
                <w:sz w:val="24"/>
                <w:szCs w:val="32"/>
                <w:lang w:eastAsia="zh-CN"/>
              </w:rPr>
              <w:t>/d，采用水解+氧化沟处理工艺对废水进行处理，处理后出水排入通扬运河。污水厂一期工程于2007年2月通过环保验收，二期工程于2009年12月建成并试运行，2010年4月通过了环保验收，2014年完成提标改造工程。开发区内现有工业废水、生活污水部分已接管至污水处理厂集中处理，尾水排入通扬运河。排放的尾水执行《城镇污水处理厂污染物排放标准》（GB18918-2002）表1 中一级A标准。本项目废水排放量为</w:t>
            </w:r>
            <w:r>
              <w:rPr>
                <w:rFonts w:hint="eastAsia"/>
                <w:color w:val="auto"/>
                <w:sz w:val="24"/>
                <w:szCs w:val="32"/>
                <w:lang w:val="en-US" w:eastAsia="zh-CN"/>
              </w:rPr>
              <w:t>240</w:t>
            </w:r>
            <w:r>
              <w:rPr>
                <w:rFonts w:hint="eastAsia"/>
                <w:color w:val="auto"/>
                <w:sz w:val="24"/>
                <w:szCs w:val="32"/>
                <w:lang w:eastAsia="zh-CN"/>
              </w:rPr>
              <w:t>m</w:t>
            </w:r>
            <w:r>
              <w:rPr>
                <w:rFonts w:hint="eastAsia"/>
                <w:color w:val="auto"/>
                <w:sz w:val="24"/>
                <w:szCs w:val="32"/>
                <w:vertAlign w:val="superscript"/>
                <w:lang w:eastAsia="zh-CN"/>
              </w:rPr>
              <w:t>3</w:t>
            </w:r>
            <w:r>
              <w:rPr>
                <w:rFonts w:hint="eastAsia"/>
                <w:color w:val="auto"/>
                <w:sz w:val="24"/>
                <w:szCs w:val="32"/>
                <w:lang w:eastAsia="zh-CN"/>
              </w:rPr>
              <w:t>/a（</w:t>
            </w:r>
            <w:r>
              <w:rPr>
                <w:rFonts w:hint="eastAsia"/>
                <w:color w:val="auto"/>
                <w:sz w:val="24"/>
                <w:szCs w:val="32"/>
                <w:lang w:val="en-US" w:eastAsia="zh-CN"/>
              </w:rPr>
              <w:t>0.8</w:t>
            </w:r>
            <w:r>
              <w:rPr>
                <w:rFonts w:hint="eastAsia"/>
                <w:color w:val="auto"/>
                <w:sz w:val="24"/>
                <w:szCs w:val="32"/>
                <w:lang w:eastAsia="zh-CN"/>
              </w:rPr>
              <w:t>m</w:t>
            </w:r>
            <w:r>
              <w:rPr>
                <w:rFonts w:hint="eastAsia"/>
                <w:color w:val="auto"/>
                <w:sz w:val="24"/>
                <w:szCs w:val="32"/>
                <w:vertAlign w:val="superscript"/>
                <w:lang w:eastAsia="zh-CN"/>
              </w:rPr>
              <w:t>3</w:t>
            </w:r>
            <w:r>
              <w:rPr>
                <w:rFonts w:hint="eastAsia"/>
                <w:color w:val="auto"/>
                <w:sz w:val="24"/>
                <w:szCs w:val="32"/>
                <w:lang w:eastAsia="zh-CN"/>
              </w:rPr>
              <w:t>/d），废水量较小，不会对污水处理厂运行造成冲击。</w:t>
            </w:r>
          </w:p>
          <w:p>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如皋市恒发水处理有限公司采用改良型卡鲁赛尔氧化沟工艺，出水经消毒池液氯消毒，最后利用提升泵排入通扬运河，处理过程中产生的污泥排入污泥浓缩池浓缩后再脱水处理成泥饼，外运待安全处置。根据污水厂现有工程的处理效率对比，按照设计处理工艺在正常运行情况下，废水能够保证达到设计的处理效率，达标排放。具体流程见</w:t>
            </w:r>
            <w:r>
              <w:rPr>
                <w:rFonts w:hint="eastAsia"/>
                <w:color w:val="auto"/>
                <w:sz w:val="24"/>
                <w:szCs w:val="32"/>
                <w:lang w:val="en-US" w:eastAsia="zh-CN"/>
              </w:rPr>
              <w:t>下</w:t>
            </w:r>
            <w:r>
              <w:rPr>
                <w:rFonts w:hint="eastAsia"/>
                <w:color w:val="auto"/>
                <w:sz w:val="24"/>
                <w:szCs w:val="32"/>
                <w:lang w:eastAsia="zh-CN"/>
              </w:rPr>
              <w:t>图。</w:t>
            </w:r>
          </w:p>
          <w:p>
            <w:pPr>
              <w:adjustRightInd w:val="0"/>
              <w:spacing w:line="360" w:lineRule="auto"/>
              <w:ind w:firstLine="458" w:firstLineChars="191"/>
              <w:rPr>
                <w:rFonts w:hint="eastAsia"/>
                <w:color w:val="auto"/>
                <w:lang w:eastAsia="zh-CN"/>
              </w:rPr>
            </w:pPr>
            <w:r>
              <w:rPr>
                <w:rFonts w:hint="default" w:ascii="Times New Roman" w:hAnsi="Times New Roman" w:eastAsia="宋体" w:cs="Times New Roman"/>
                <w:color w:val="auto"/>
                <w:sz w:val="24"/>
                <w:szCs w:val="24"/>
              </w:rPr>
              <w:drawing>
                <wp:inline distT="0" distB="0" distL="114300" distR="114300">
                  <wp:extent cx="4931410" cy="1344930"/>
                  <wp:effectExtent l="0" t="0" r="2540" b="7620"/>
                  <wp:docPr id="26"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12"/>
                          <pic:cNvPicPr>
                            <a:picLocks noChangeAspect="1"/>
                          </pic:cNvPicPr>
                        </pic:nvPicPr>
                        <pic:blipFill>
                          <a:blip r:embed="rId13"/>
                          <a:stretch>
                            <a:fillRect/>
                          </a:stretch>
                        </pic:blipFill>
                        <pic:spPr>
                          <a:xfrm>
                            <a:off x="0" y="0"/>
                            <a:ext cx="4931410" cy="1344930"/>
                          </a:xfrm>
                          <a:prstGeom prst="rect">
                            <a:avLst/>
                          </a:prstGeom>
                          <a:noFill/>
                          <a:ln>
                            <a:noFill/>
                          </a:ln>
                        </pic:spPr>
                      </pic:pic>
                    </a:graphicData>
                  </a:graphic>
                </wp:inline>
              </w:drawing>
            </w:r>
          </w:p>
          <w:p>
            <w:pPr>
              <w:adjustRightInd w:val="0"/>
              <w:spacing w:line="360" w:lineRule="auto"/>
              <w:ind w:firstLine="0" w:firstLineChars="0"/>
              <w:jc w:val="center"/>
              <w:rPr>
                <w:rFonts w:hint="eastAsia"/>
                <w:b/>
                <w:bCs/>
                <w:color w:val="auto"/>
                <w:sz w:val="24"/>
                <w:szCs w:val="32"/>
                <w:lang w:eastAsia="zh-CN"/>
              </w:rPr>
            </w:pPr>
            <w:r>
              <w:rPr>
                <w:rFonts w:hint="eastAsia"/>
                <w:b/>
                <w:bCs/>
                <w:color w:val="auto"/>
                <w:sz w:val="24"/>
                <w:szCs w:val="32"/>
                <w:lang w:eastAsia="zh-CN"/>
              </w:rPr>
              <w:t>图4-</w:t>
            </w:r>
            <w:r>
              <w:rPr>
                <w:rFonts w:hint="eastAsia"/>
                <w:b/>
                <w:bCs/>
                <w:color w:val="auto"/>
                <w:sz w:val="24"/>
                <w:szCs w:val="32"/>
                <w:lang w:val="en-US" w:eastAsia="zh-CN"/>
              </w:rPr>
              <w:t>1</w:t>
            </w:r>
            <w:r>
              <w:rPr>
                <w:rFonts w:hint="eastAsia"/>
                <w:b/>
                <w:bCs/>
                <w:color w:val="auto"/>
                <w:sz w:val="24"/>
                <w:szCs w:val="32"/>
                <w:lang w:eastAsia="zh-CN"/>
              </w:rPr>
              <w:t xml:space="preserve">  如皋市恒发污水处理厂处理工艺流程</w:t>
            </w:r>
          </w:p>
          <w:p>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污水厂接管的废水经处理后达到《城镇污水处理厂污染物排放标准》（GB18918-2002）表1中一级A标准，最终排放通扬运河。根据污水厂现有工程的处理效率对比，按照设计处理工艺在正常运行情况下，废水能够保证达到设计的处理效率，达标排放。</w:t>
            </w:r>
          </w:p>
          <w:p>
            <w:pPr>
              <w:adjustRightInd w:val="0"/>
              <w:spacing w:line="360" w:lineRule="auto"/>
              <w:ind w:firstLine="458" w:firstLineChars="191"/>
              <w:rPr>
                <w:rFonts w:hint="eastAsia"/>
                <w:color w:val="auto"/>
                <w:sz w:val="24"/>
                <w:szCs w:val="32"/>
                <w:lang w:eastAsia="zh-CN"/>
              </w:rPr>
            </w:pPr>
            <w:r>
              <w:rPr>
                <w:rFonts w:hint="eastAsia"/>
                <w:color w:val="auto"/>
                <w:sz w:val="24"/>
                <w:szCs w:val="32"/>
                <w:lang w:eastAsia="zh-CN"/>
              </w:rPr>
              <w:t>从以上的分析可知，建设项目位于如皋市恒发水处理有限公司的服务范围内，且项目废水经预处理后可达到污水处理厂接管要求，废水排放量在污水处理厂现有处理规模的能力范围内，其排放量在如皋市恒发水处理有限公司全部处理量中所占份额较小，且污水管网已铺设至项目所在地。因此，建设项目废水接入如皋市恒发水处理有限公司集中处理可行。</w:t>
            </w:r>
          </w:p>
          <w:p>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3.</w:t>
            </w:r>
            <w:r>
              <w:rPr>
                <w:rFonts w:hint="eastAsia"/>
                <w:b/>
                <w:bCs/>
                <w:color w:val="000000"/>
                <w:sz w:val="24"/>
                <w:szCs w:val="24"/>
              </w:rPr>
              <w:t>监测要求</w:t>
            </w:r>
          </w:p>
          <w:p>
            <w:pPr>
              <w:adjustRightInd w:val="0"/>
              <w:snapToGrid w:val="0"/>
              <w:spacing w:line="360" w:lineRule="auto"/>
              <w:ind w:firstLine="480" w:firstLineChars="200"/>
              <w:rPr>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sz w:val="24"/>
                <w:szCs w:val="32"/>
              </w:rPr>
              <w:t>废水污染源监测</w:t>
            </w:r>
          </w:p>
          <w:p>
            <w:pPr>
              <w:adjustRightInd w:val="0"/>
              <w:snapToGrid w:val="0"/>
              <w:spacing w:line="360" w:lineRule="auto"/>
              <w:ind w:firstLine="480" w:firstLineChars="200"/>
              <w:rPr>
                <w:sz w:val="24"/>
                <w:szCs w:val="32"/>
              </w:rPr>
            </w:pPr>
            <w:r>
              <w:rPr>
                <w:rFonts w:hint="eastAsia"/>
                <w:kern w:val="0"/>
                <w:sz w:val="24"/>
                <w:szCs w:val="32"/>
              </w:rPr>
              <w:t>对照</w:t>
            </w:r>
            <w:r>
              <w:rPr>
                <w:rFonts w:hint="eastAsia" w:hAnsi="宋体"/>
                <w:sz w:val="24"/>
                <w:szCs w:val="32"/>
              </w:rPr>
              <w:t>《固定污染源排污许可分类管理名录（2019 年版）》、《排污单位自行监测技术指南－总则》（HJ 819-2017），本项目建成后废水监测一览表见下表</w:t>
            </w:r>
            <w:r>
              <w:rPr>
                <w:sz w:val="24"/>
                <w:szCs w:val="32"/>
              </w:rPr>
              <w:t>。</w:t>
            </w:r>
          </w:p>
          <w:p>
            <w:pPr>
              <w:adjustRightInd w:val="0"/>
              <w:snapToGrid w:val="0"/>
              <w:spacing w:line="360" w:lineRule="auto"/>
              <w:jc w:val="center"/>
              <w:rPr>
                <w:b/>
                <w:bCs/>
                <w:sz w:val="24"/>
                <w:szCs w:val="32"/>
              </w:rPr>
            </w:pPr>
            <w:r>
              <w:rPr>
                <w:b/>
                <w:bCs/>
                <w:sz w:val="24"/>
                <w:szCs w:val="32"/>
              </w:rPr>
              <w:t>表4-</w:t>
            </w:r>
            <w:r>
              <w:rPr>
                <w:rFonts w:hint="eastAsia"/>
                <w:b/>
                <w:bCs/>
                <w:sz w:val="24"/>
                <w:szCs w:val="32"/>
                <w:lang w:val="en-US" w:eastAsia="zh-CN"/>
              </w:rPr>
              <w:t>10</w:t>
            </w:r>
            <w:r>
              <w:rPr>
                <w:b/>
                <w:bCs/>
                <w:sz w:val="24"/>
                <w:szCs w:val="32"/>
              </w:rPr>
              <w:t xml:space="preserve"> </w:t>
            </w:r>
            <w:r>
              <w:rPr>
                <w:rFonts w:hint="eastAsia"/>
                <w:b/>
                <w:sz w:val="24"/>
                <w:szCs w:val="32"/>
              </w:rPr>
              <w:t xml:space="preserve"> </w:t>
            </w:r>
            <w:r>
              <w:rPr>
                <w:b/>
                <w:sz w:val="24"/>
                <w:szCs w:val="32"/>
              </w:rPr>
              <w:t>废</w:t>
            </w:r>
            <w:r>
              <w:rPr>
                <w:rFonts w:hint="eastAsia"/>
                <w:b/>
                <w:sz w:val="24"/>
                <w:szCs w:val="32"/>
              </w:rPr>
              <w:t>水</w:t>
            </w:r>
            <w:r>
              <w:rPr>
                <w:b/>
                <w:sz w:val="24"/>
                <w:szCs w:val="32"/>
              </w:rPr>
              <w:t>污染源监测</w:t>
            </w:r>
            <w:r>
              <w:rPr>
                <w:rFonts w:hint="eastAsia"/>
                <w:b/>
                <w:sz w:val="24"/>
                <w:szCs w:val="32"/>
              </w:rPr>
              <w:t>计划</w:t>
            </w:r>
          </w:p>
          <w:tbl>
            <w:tblPr>
              <w:tblStyle w:val="30"/>
              <w:tblW w:w="8292"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09"/>
              <w:gridCol w:w="2009"/>
              <w:gridCol w:w="1037"/>
              <w:gridCol w:w="35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3" w:type="dxa"/>
                  <w:noWrap w:val="0"/>
                  <w:vAlign w:val="center"/>
                </w:tcPr>
                <w:p>
                  <w:pPr>
                    <w:adjustRightInd w:val="0"/>
                    <w:snapToGrid w:val="0"/>
                    <w:jc w:val="center"/>
                    <w:rPr>
                      <w:b/>
                      <w:bCs/>
                    </w:rPr>
                  </w:pPr>
                  <w:r>
                    <w:rPr>
                      <w:b/>
                      <w:bCs/>
                    </w:rPr>
                    <w:t>类别</w:t>
                  </w:r>
                </w:p>
              </w:tc>
              <w:tc>
                <w:tcPr>
                  <w:tcW w:w="1209" w:type="dxa"/>
                  <w:noWrap w:val="0"/>
                  <w:vAlign w:val="center"/>
                </w:tcPr>
                <w:p>
                  <w:pPr>
                    <w:adjustRightInd w:val="0"/>
                    <w:snapToGrid w:val="0"/>
                    <w:jc w:val="center"/>
                    <w:rPr>
                      <w:b/>
                      <w:bCs/>
                    </w:rPr>
                  </w:pPr>
                  <w:r>
                    <w:rPr>
                      <w:b/>
                      <w:bCs/>
                    </w:rPr>
                    <w:t>监测点位</w:t>
                  </w:r>
                </w:p>
              </w:tc>
              <w:tc>
                <w:tcPr>
                  <w:tcW w:w="2009" w:type="dxa"/>
                  <w:noWrap w:val="0"/>
                  <w:vAlign w:val="center"/>
                </w:tcPr>
                <w:p>
                  <w:pPr>
                    <w:adjustRightInd w:val="0"/>
                    <w:snapToGrid w:val="0"/>
                    <w:jc w:val="center"/>
                    <w:rPr>
                      <w:b/>
                      <w:bCs/>
                    </w:rPr>
                  </w:pPr>
                  <w:r>
                    <w:rPr>
                      <w:b/>
                      <w:bCs/>
                    </w:rPr>
                    <w:t>监测因子</w:t>
                  </w:r>
                </w:p>
              </w:tc>
              <w:tc>
                <w:tcPr>
                  <w:tcW w:w="1037" w:type="dxa"/>
                  <w:noWrap w:val="0"/>
                  <w:vAlign w:val="center"/>
                </w:tcPr>
                <w:p>
                  <w:pPr>
                    <w:adjustRightInd w:val="0"/>
                    <w:snapToGrid w:val="0"/>
                    <w:jc w:val="center"/>
                    <w:rPr>
                      <w:b/>
                      <w:bCs/>
                    </w:rPr>
                  </w:pPr>
                  <w:r>
                    <w:rPr>
                      <w:b/>
                      <w:bCs/>
                    </w:rPr>
                    <w:t>监测频次</w:t>
                  </w:r>
                </w:p>
              </w:tc>
              <w:tc>
                <w:tcPr>
                  <w:tcW w:w="3554" w:type="dxa"/>
                  <w:noWrap w:val="0"/>
                  <w:vAlign w:val="center"/>
                </w:tcPr>
                <w:p>
                  <w:pPr>
                    <w:adjustRightInd w:val="0"/>
                    <w:snapToGrid w:val="0"/>
                    <w:jc w:val="center"/>
                    <w:rPr>
                      <w:b/>
                      <w:bCs/>
                    </w:rPr>
                  </w:pPr>
                  <w:r>
                    <w:rPr>
                      <w:b/>
                      <w:bCs/>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483" w:type="dxa"/>
                  <w:noWrap w:val="0"/>
                  <w:vAlign w:val="center"/>
                </w:tcPr>
                <w:p>
                  <w:pPr>
                    <w:adjustRightInd w:val="0"/>
                    <w:snapToGrid w:val="0"/>
                    <w:jc w:val="center"/>
                  </w:pPr>
                  <w:r>
                    <w:t>废水</w:t>
                  </w:r>
                </w:p>
              </w:tc>
              <w:tc>
                <w:tcPr>
                  <w:tcW w:w="1209" w:type="dxa"/>
                  <w:noWrap w:val="0"/>
                  <w:vAlign w:val="center"/>
                </w:tcPr>
                <w:p>
                  <w:pPr>
                    <w:adjustRightInd w:val="0"/>
                    <w:snapToGrid w:val="0"/>
                    <w:jc w:val="center"/>
                  </w:pPr>
                  <w:r>
                    <w:t>企业总排口</w:t>
                  </w:r>
                </w:p>
              </w:tc>
              <w:tc>
                <w:tcPr>
                  <w:tcW w:w="2009" w:type="dxa"/>
                  <w:noWrap w:val="0"/>
                  <w:vAlign w:val="center"/>
                </w:tcPr>
                <w:p>
                  <w:pPr>
                    <w:adjustRightInd w:val="0"/>
                    <w:snapToGrid w:val="0"/>
                    <w:jc w:val="center"/>
                    <w:rPr>
                      <w:rFonts w:hint="default" w:eastAsia="宋体"/>
                      <w:lang w:val="en-US" w:eastAsia="zh-CN"/>
                    </w:rPr>
                  </w:pPr>
                  <w:r>
                    <w:t>pH、COD、SS、氨氮、TP、TN</w:t>
                  </w:r>
                </w:p>
              </w:tc>
              <w:tc>
                <w:tcPr>
                  <w:tcW w:w="1037" w:type="dxa"/>
                  <w:noWrap w:val="0"/>
                  <w:vAlign w:val="center"/>
                </w:tcPr>
                <w:p>
                  <w:pPr>
                    <w:adjustRightInd w:val="0"/>
                    <w:snapToGrid w:val="0"/>
                    <w:jc w:val="center"/>
                  </w:pPr>
                  <w:r>
                    <w:t>一年一次</w:t>
                  </w:r>
                </w:p>
              </w:tc>
              <w:tc>
                <w:tcPr>
                  <w:tcW w:w="3554" w:type="dxa"/>
                  <w:noWrap w:val="0"/>
                  <w:vAlign w:val="center"/>
                </w:tcPr>
                <w:p>
                  <w:pPr>
                    <w:adjustRightInd w:val="0"/>
                    <w:snapToGrid w:val="0"/>
                    <w:jc w:val="center"/>
                    <w:rPr>
                      <w:rFonts w:hint="eastAsia"/>
                      <w:kern w:val="0"/>
                    </w:rPr>
                  </w:pPr>
                  <w:r>
                    <w:rPr>
                      <w:kern w:val="0"/>
                    </w:rPr>
                    <w:t>《污水综合排放标准》（GB8978-1996）中三级标准</w:t>
                  </w:r>
                  <w:r>
                    <w:rPr>
                      <w:rFonts w:hint="eastAsia"/>
                      <w:kern w:val="0"/>
                    </w:rPr>
                    <w:t>、</w:t>
                  </w:r>
                  <w:r>
                    <w:t>《污水排入城镇下水道水质标准》（GB/T31962-2015）</w:t>
                  </w:r>
                </w:p>
              </w:tc>
            </w:tr>
          </w:tbl>
          <w:p>
            <w:pPr>
              <w:adjustRightInd w:val="0"/>
              <w:snapToGrid w:val="0"/>
              <w:spacing w:line="360" w:lineRule="auto"/>
              <w:ind w:firstLine="420" w:firstLineChars="200"/>
              <w:rPr>
                <w:kern w:val="0"/>
              </w:rPr>
            </w:pPr>
          </w:p>
          <w:p>
            <w:pPr>
              <w:adjustRightInd w:val="0"/>
              <w:snapToGrid w:val="0"/>
              <w:spacing w:line="360" w:lineRule="auto"/>
              <w:ind w:firstLine="480" w:firstLineChars="200"/>
              <w:rPr>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sz w:val="24"/>
                <w:szCs w:val="32"/>
              </w:rPr>
              <w:t>“三同时”验收监测计划</w:t>
            </w:r>
          </w:p>
          <w:p>
            <w:pPr>
              <w:adjustRightInd w:val="0"/>
              <w:snapToGrid w:val="0"/>
              <w:spacing w:line="360" w:lineRule="auto"/>
              <w:ind w:firstLine="480" w:firstLineChars="200"/>
              <w:rPr>
                <w:sz w:val="24"/>
                <w:szCs w:val="32"/>
              </w:rPr>
            </w:pPr>
            <w:r>
              <w:rPr>
                <w:sz w:val="24"/>
                <w:szCs w:val="32"/>
              </w:rPr>
              <w:t>根据《建设项目竣工环境保护验收技术指南 污染影响类》，</w:t>
            </w:r>
            <w:r>
              <w:rPr>
                <w:bCs/>
                <w:sz w:val="24"/>
                <w:szCs w:val="32"/>
              </w:rPr>
              <w:t>建设项目需针对废气、废水、噪声污染源制定验收监测计划。</w:t>
            </w:r>
            <w:r>
              <w:rPr>
                <w:sz w:val="24"/>
                <w:szCs w:val="32"/>
              </w:rPr>
              <w:t>本项目废水监测点、监测项目及监测频次</w:t>
            </w:r>
            <w:r>
              <w:rPr>
                <w:bCs/>
                <w:sz w:val="24"/>
                <w:szCs w:val="32"/>
              </w:rPr>
              <w:t>见下表。</w:t>
            </w:r>
          </w:p>
          <w:p>
            <w:pPr>
              <w:adjustRightInd w:val="0"/>
              <w:snapToGrid w:val="0"/>
              <w:spacing w:line="360" w:lineRule="auto"/>
              <w:jc w:val="center"/>
              <w:rPr>
                <w:b/>
                <w:sz w:val="24"/>
                <w:szCs w:val="32"/>
              </w:rPr>
            </w:pPr>
            <w:r>
              <w:rPr>
                <w:b/>
                <w:sz w:val="24"/>
                <w:szCs w:val="32"/>
              </w:rPr>
              <w:t>表4-</w:t>
            </w:r>
            <w:r>
              <w:rPr>
                <w:rFonts w:hint="eastAsia"/>
                <w:b/>
                <w:sz w:val="24"/>
                <w:szCs w:val="32"/>
                <w:lang w:val="en-US" w:eastAsia="zh-CN"/>
              </w:rPr>
              <w:t>11</w:t>
            </w:r>
            <w:r>
              <w:rPr>
                <w:b/>
                <w:sz w:val="24"/>
                <w:szCs w:val="32"/>
              </w:rPr>
              <w:t>项目废水验收监测方案</w:t>
            </w:r>
          </w:p>
          <w:tbl>
            <w:tblPr>
              <w:tblStyle w:val="30"/>
              <w:tblW w:w="829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4101"/>
              <w:gridCol w:w="23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880" w:type="dxa"/>
                  <w:noWrap w:val="0"/>
                  <w:vAlign w:val="center"/>
                </w:tcPr>
                <w:p>
                  <w:pPr>
                    <w:adjustRightInd w:val="0"/>
                    <w:snapToGrid w:val="0"/>
                    <w:jc w:val="center"/>
                    <w:rPr>
                      <w:b/>
                      <w:bCs/>
                    </w:rPr>
                  </w:pPr>
                  <w:r>
                    <w:rPr>
                      <w:b/>
                      <w:bCs/>
                    </w:rPr>
                    <w:t>监测点位</w:t>
                  </w:r>
                </w:p>
              </w:tc>
              <w:tc>
                <w:tcPr>
                  <w:tcW w:w="4101" w:type="dxa"/>
                  <w:noWrap w:val="0"/>
                  <w:vAlign w:val="center"/>
                </w:tcPr>
                <w:p>
                  <w:pPr>
                    <w:adjustRightInd w:val="0"/>
                    <w:snapToGrid w:val="0"/>
                    <w:jc w:val="center"/>
                    <w:rPr>
                      <w:b/>
                      <w:bCs/>
                    </w:rPr>
                  </w:pPr>
                  <w:r>
                    <w:rPr>
                      <w:b/>
                      <w:bCs/>
                    </w:rPr>
                    <w:t>监测项目</w:t>
                  </w:r>
                </w:p>
              </w:tc>
              <w:tc>
                <w:tcPr>
                  <w:tcW w:w="2311" w:type="dxa"/>
                  <w:noWrap w:val="0"/>
                  <w:vAlign w:val="center"/>
                </w:tcPr>
                <w:p>
                  <w:pPr>
                    <w:adjustRightInd w:val="0"/>
                    <w:snapToGrid w:val="0"/>
                    <w:jc w:val="center"/>
                    <w:rPr>
                      <w:b/>
                      <w:bCs/>
                    </w:rPr>
                  </w:pPr>
                  <w:r>
                    <w:rPr>
                      <w:b/>
                      <w:bCs/>
                    </w:rPr>
                    <w:t>监测频率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880" w:type="dxa"/>
                  <w:noWrap w:val="0"/>
                  <w:vAlign w:val="center"/>
                </w:tcPr>
                <w:p>
                  <w:pPr>
                    <w:tabs>
                      <w:tab w:val="left" w:pos="277"/>
                      <w:tab w:val="left" w:pos="600"/>
                      <w:tab w:val="left" w:pos="780"/>
                      <w:tab w:val="left" w:pos="2517"/>
                    </w:tabs>
                    <w:adjustRightInd w:val="0"/>
                    <w:snapToGrid w:val="0"/>
                    <w:jc w:val="center"/>
                    <w:rPr>
                      <w:kern w:val="0"/>
                    </w:rPr>
                  </w:pPr>
                  <w:r>
                    <w:rPr>
                      <w:kern w:val="0"/>
                    </w:rPr>
                    <w:t>污水排口</w:t>
                  </w:r>
                </w:p>
              </w:tc>
              <w:tc>
                <w:tcPr>
                  <w:tcW w:w="4101" w:type="dxa"/>
                  <w:noWrap w:val="0"/>
                  <w:vAlign w:val="center"/>
                </w:tcPr>
                <w:p>
                  <w:pPr>
                    <w:tabs>
                      <w:tab w:val="left" w:pos="277"/>
                      <w:tab w:val="left" w:pos="600"/>
                      <w:tab w:val="left" w:pos="780"/>
                      <w:tab w:val="left" w:pos="2517"/>
                    </w:tabs>
                    <w:adjustRightInd w:val="0"/>
                    <w:snapToGrid w:val="0"/>
                    <w:jc w:val="center"/>
                    <w:rPr>
                      <w:kern w:val="0"/>
                    </w:rPr>
                  </w:pPr>
                  <w:r>
                    <w:rPr>
                      <w:rFonts w:hint="eastAsia"/>
                      <w:kern w:val="0"/>
                    </w:rPr>
                    <w:t>pH、COD、SS、氨氮、TP、TN</w:t>
                  </w:r>
                </w:p>
              </w:tc>
              <w:tc>
                <w:tcPr>
                  <w:tcW w:w="2311" w:type="dxa"/>
                  <w:noWrap w:val="0"/>
                  <w:vAlign w:val="center"/>
                </w:tcPr>
                <w:p>
                  <w:pPr>
                    <w:adjustRightInd w:val="0"/>
                    <w:snapToGrid w:val="0"/>
                    <w:jc w:val="center"/>
                    <w:rPr>
                      <w:bCs/>
                    </w:rPr>
                  </w:pPr>
                  <w:r>
                    <w:rPr>
                      <w:bCs/>
                    </w:rPr>
                    <w:t>2天，每天4 次</w:t>
                  </w:r>
                </w:p>
              </w:tc>
            </w:tr>
          </w:tbl>
          <w:p>
            <w:pPr>
              <w:adjustRightInd w:val="0"/>
              <w:snapToGrid w:val="0"/>
              <w:spacing w:line="360" w:lineRule="auto"/>
              <w:ind w:firstLine="422" w:firstLineChars="200"/>
              <w:rPr>
                <w:rFonts w:hint="eastAsia"/>
                <w:b/>
                <w:bCs/>
                <w:szCs w:val="21"/>
              </w:rPr>
            </w:pPr>
          </w:p>
          <w:p>
            <w:pPr>
              <w:adjustRightInd w:val="0"/>
              <w:snapToGrid w:val="0"/>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三</w:t>
            </w:r>
            <w:r>
              <w:rPr>
                <w:rFonts w:hint="eastAsia"/>
                <w:b/>
                <w:bCs/>
                <w:sz w:val="24"/>
                <w:szCs w:val="24"/>
                <w:lang w:eastAsia="zh-CN"/>
              </w:rPr>
              <w:t>）</w:t>
            </w:r>
            <w:r>
              <w:rPr>
                <w:rFonts w:hint="eastAsia"/>
                <w:b/>
                <w:bCs/>
                <w:sz w:val="24"/>
                <w:szCs w:val="24"/>
              </w:rPr>
              <w:t>噪声</w:t>
            </w:r>
          </w:p>
          <w:p>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1.</w:t>
            </w:r>
            <w:r>
              <w:rPr>
                <w:rFonts w:hint="eastAsia"/>
                <w:b/>
                <w:bCs/>
                <w:color w:val="000000"/>
                <w:sz w:val="24"/>
                <w:szCs w:val="24"/>
              </w:rPr>
              <w:t>噪声源排放信息</w:t>
            </w:r>
          </w:p>
          <w:p>
            <w:pPr>
              <w:adjustRightInd w:val="0"/>
              <w:snapToGrid w:val="0"/>
              <w:spacing w:line="360" w:lineRule="auto"/>
              <w:ind w:firstLine="480" w:firstLineChars="200"/>
              <w:rPr>
                <w:sz w:val="24"/>
                <w:szCs w:val="22"/>
              </w:rPr>
            </w:pPr>
            <w:r>
              <w:rPr>
                <w:sz w:val="24"/>
                <w:szCs w:val="22"/>
              </w:rPr>
              <w:t>建设项目营运期噪声主要为生产设备工作时的噪声，单台设备噪声源</w:t>
            </w:r>
            <w:r>
              <w:rPr>
                <w:rFonts w:hint="eastAsia"/>
                <w:sz w:val="24"/>
                <w:szCs w:val="22"/>
              </w:rPr>
              <w:t>7</w:t>
            </w:r>
            <w:r>
              <w:rPr>
                <w:rFonts w:hint="eastAsia"/>
                <w:sz w:val="24"/>
                <w:szCs w:val="22"/>
                <w:lang w:val="en-US" w:eastAsia="zh-CN"/>
              </w:rPr>
              <w:t>5</w:t>
            </w:r>
            <w:r>
              <w:rPr>
                <w:rFonts w:hint="eastAsia"/>
                <w:sz w:val="24"/>
                <w:szCs w:val="22"/>
              </w:rPr>
              <w:t>-8</w:t>
            </w:r>
            <w:r>
              <w:rPr>
                <w:rFonts w:hint="eastAsia"/>
                <w:sz w:val="24"/>
                <w:szCs w:val="22"/>
                <w:lang w:val="en-US" w:eastAsia="zh-CN"/>
              </w:rPr>
              <w:t>5</w:t>
            </w:r>
            <w:r>
              <w:rPr>
                <w:sz w:val="24"/>
                <w:szCs w:val="22"/>
              </w:rPr>
              <w:t>dB(A)。为减少噪声对外界影响，建设单位采取的降噪措施：</w:t>
            </w:r>
            <w:r>
              <w:rPr>
                <w:rFonts w:hint="eastAsia"/>
                <w:sz w:val="24"/>
                <w:szCs w:val="22"/>
              </w:rPr>
              <w:t>厂房内</w:t>
            </w:r>
            <w:r>
              <w:rPr>
                <w:sz w:val="24"/>
                <w:szCs w:val="22"/>
              </w:rPr>
              <w:t>合理布局，生产设备置于</w:t>
            </w:r>
            <w:r>
              <w:rPr>
                <w:rFonts w:hint="eastAsia"/>
                <w:sz w:val="24"/>
                <w:szCs w:val="22"/>
              </w:rPr>
              <w:t>车间</w:t>
            </w:r>
            <w:r>
              <w:rPr>
                <w:sz w:val="24"/>
                <w:szCs w:val="22"/>
              </w:rPr>
              <w:t>内，利用厂房隔声，降噪值可达</w:t>
            </w:r>
            <w:r>
              <w:rPr>
                <w:rFonts w:hint="eastAsia"/>
                <w:sz w:val="24"/>
                <w:szCs w:val="22"/>
              </w:rPr>
              <w:t>20</w:t>
            </w:r>
            <w:r>
              <w:rPr>
                <w:sz w:val="24"/>
                <w:szCs w:val="22"/>
              </w:rPr>
              <w:t>dB(A)以上</w:t>
            </w:r>
            <w:r>
              <w:rPr>
                <w:rFonts w:hint="eastAsia"/>
                <w:sz w:val="24"/>
                <w:szCs w:val="22"/>
              </w:rPr>
              <w:t>。</w:t>
            </w:r>
          </w:p>
          <w:p>
            <w:pPr>
              <w:adjustRightInd w:val="0"/>
              <w:snapToGrid w:val="0"/>
              <w:spacing w:line="360" w:lineRule="auto"/>
              <w:jc w:val="center"/>
              <w:rPr>
                <w:rFonts w:hint="eastAsia"/>
                <w:b/>
                <w:bCs/>
                <w:sz w:val="24"/>
                <w:szCs w:val="22"/>
              </w:rPr>
            </w:pPr>
          </w:p>
          <w:p>
            <w:pPr>
              <w:adjustRightInd w:val="0"/>
              <w:snapToGrid w:val="0"/>
              <w:spacing w:line="360" w:lineRule="auto"/>
              <w:ind w:firstLine="420" w:firstLineChars="200"/>
              <w:rPr>
                <w:szCs w:val="21"/>
              </w:rPr>
            </w:pPr>
          </w:p>
        </w:tc>
      </w:tr>
    </w:tbl>
    <w:p>
      <w:pPr>
        <w:adjustRightInd w:val="0"/>
        <w:snapToGrid w:val="0"/>
        <w:spacing w:line="360" w:lineRule="auto"/>
        <w:rPr>
          <w:rFonts w:ascii="宋体" w:cs="宋体"/>
          <w:b/>
          <w:kern w:val="0"/>
          <w:sz w:val="28"/>
          <w:szCs w:val="28"/>
        </w:rPr>
        <w:sectPr>
          <w:pgSz w:w="11907" w:h="16840"/>
          <w:pgMar w:top="1701" w:right="1531" w:bottom="2127" w:left="1531" w:header="851" w:footer="851" w:gutter="0"/>
          <w:pgNumType w:fmt="decimal"/>
          <w:cols w:space="720" w:num="1"/>
          <w:docGrid w:linePitch="312" w:charSpace="0"/>
        </w:sectPr>
      </w:pPr>
    </w:p>
    <w:tbl>
      <w:tblPr>
        <w:tblStyle w:val="31"/>
        <w:tblW w:w="13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3" w:type="dxa"/>
            <w:vAlign w:val="center"/>
          </w:tcPr>
          <w:p>
            <w:pPr>
              <w:pStyle w:val="2"/>
              <w:ind w:firstLine="0" w:firstLineChars="0"/>
              <w:jc w:val="center"/>
              <w:rPr>
                <w:vertAlign w:val="baseline"/>
              </w:rPr>
            </w:pPr>
            <w:r>
              <w:rPr>
                <w:rFonts w:hint="eastAsia"/>
                <w:vertAlign w:val="baseline"/>
              </w:rPr>
              <w:t>运营期环境影响和保护措施</w:t>
            </w:r>
          </w:p>
        </w:tc>
        <w:tc>
          <w:tcPr>
            <w:tcW w:w="12725" w:type="dxa"/>
          </w:tcPr>
          <w:p>
            <w:pPr>
              <w:adjustRightInd w:val="0"/>
              <w:snapToGrid w:val="0"/>
              <w:spacing w:line="360" w:lineRule="auto"/>
              <w:jc w:val="center"/>
              <w:rPr>
                <w:b/>
                <w:bCs/>
                <w:sz w:val="24"/>
                <w:szCs w:val="22"/>
              </w:rPr>
            </w:pPr>
            <w:r>
              <w:rPr>
                <w:rFonts w:hint="eastAsia"/>
                <w:b/>
                <w:bCs/>
                <w:sz w:val="24"/>
                <w:szCs w:val="22"/>
              </w:rPr>
              <w:t>表4-</w:t>
            </w:r>
            <w:r>
              <w:rPr>
                <w:rFonts w:hint="eastAsia"/>
                <w:b/>
                <w:bCs/>
                <w:sz w:val="24"/>
                <w:szCs w:val="22"/>
                <w:lang w:val="en-US" w:eastAsia="zh-CN"/>
              </w:rPr>
              <w:t>12</w:t>
            </w:r>
            <w:r>
              <w:rPr>
                <w:rFonts w:hint="eastAsia"/>
                <w:b/>
                <w:bCs/>
                <w:sz w:val="24"/>
                <w:szCs w:val="22"/>
              </w:rPr>
              <w:t xml:space="preserve">  建设项目主要噪声源强调查清单（室内声源）</w:t>
            </w:r>
          </w:p>
          <w:tbl>
            <w:tblPr>
              <w:tblStyle w:val="30"/>
              <w:tblW w:w="1250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
            <w:tblGrid>
              <w:gridCol w:w="528"/>
              <w:gridCol w:w="691"/>
              <w:gridCol w:w="388"/>
              <w:gridCol w:w="653"/>
              <w:gridCol w:w="736"/>
              <w:gridCol w:w="436"/>
              <w:gridCol w:w="486"/>
              <w:gridCol w:w="269"/>
              <w:gridCol w:w="314"/>
              <w:gridCol w:w="361"/>
              <w:gridCol w:w="361"/>
              <w:gridCol w:w="329"/>
              <w:gridCol w:w="609"/>
              <w:gridCol w:w="532"/>
              <w:gridCol w:w="622"/>
              <w:gridCol w:w="740"/>
              <w:gridCol w:w="597"/>
              <w:gridCol w:w="772"/>
              <w:gridCol w:w="592"/>
              <w:gridCol w:w="607"/>
              <w:gridCol w:w="592"/>
              <w:gridCol w:w="582"/>
              <w:gridCol w:w="71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建筑物名称</w:t>
                  </w:r>
                </w:p>
              </w:tc>
              <w:tc>
                <w:tcPr>
                  <w:tcW w:w="691"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声源名称</w:t>
                  </w:r>
                </w:p>
              </w:tc>
              <w:tc>
                <w:tcPr>
                  <w:tcW w:w="388"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color w:val="auto"/>
                      <w:szCs w:val="21"/>
                      <w:lang w:val="en-US" w:eastAsia="zh-CN"/>
                    </w:rPr>
                    <w:t>数量</w:t>
                  </w:r>
                </w:p>
              </w:tc>
              <w:tc>
                <w:tcPr>
                  <w:tcW w:w="653" w:type="dxa"/>
                  <w:vMerge w:val="restart"/>
                  <w:vAlign w:val="center"/>
                </w:tcPr>
                <w:p>
                  <w:pPr>
                    <w:widowControl/>
                    <w:adjustRightInd w:val="0"/>
                    <w:snapToGrid w:val="0"/>
                    <w:jc w:val="center"/>
                    <w:rPr>
                      <w:rFonts w:hint="default" w:ascii="Times New Roman" w:hAnsi="Times New Roman" w:cs="Times New Roman"/>
                      <w:b/>
                      <w:bCs/>
                      <w:szCs w:val="21"/>
                    </w:rPr>
                  </w:pPr>
                  <w:r>
                    <w:rPr>
                      <w:rFonts w:hint="eastAsia" w:ascii="Times New Roman" w:hAnsi="Times New Roman" w:cs="Times New Roman"/>
                      <w:b/>
                      <w:bCs/>
                      <w:szCs w:val="21"/>
                      <w:lang w:val="en-US" w:eastAsia="zh-CN"/>
                    </w:rPr>
                    <w:t>单台</w:t>
                  </w:r>
                  <w:r>
                    <w:rPr>
                      <w:rFonts w:hint="default" w:ascii="Times New Roman" w:hAnsi="Times New Roman" w:cs="Times New Roman"/>
                      <w:b/>
                      <w:bCs/>
                      <w:szCs w:val="21"/>
                    </w:rPr>
                    <w:t>声功率级/dB(A)</w:t>
                  </w:r>
                </w:p>
              </w:tc>
              <w:tc>
                <w:tcPr>
                  <w:tcW w:w="736"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声源控制措施</w:t>
                  </w:r>
                </w:p>
              </w:tc>
              <w:tc>
                <w:tcPr>
                  <w:tcW w:w="1191" w:type="dxa"/>
                  <w:gridSpan w:val="3"/>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空间相对位置/m</w:t>
                  </w:r>
                </w:p>
              </w:tc>
              <w:tc>
                <w:tcPr>
                  <w:tcW w:w="1365" w:type="dxa"/>
                  <w:gridSpan w:val="4"/>
                  <w:vAlign w:val="center"/>
                </w:tcPr>
                <w:p>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距室内边界距离/m</w:t>
                  </w:r>
                </w:p>
              </w:tc>
              <w:tc>
                <w:tcPr>
                  <w:tcW w:w="2503" w:type="dxa"/>
                  <w:gridSpan w:val="4"/>
                  <w:vAlign w:val="center"/>
                </w:tcPr>
                <w:p>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室内边界声级 /dB(A) </w:t>
                  </w:r>
                </w:p>
              </w:tc>
              <w:tc>
                <w:tcPr>
                  <w:tcW w:w="597"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运行时段</w:t>
                  </w:r>
                </w:p>
              </w:tc>
              <w:tc>
                <w:tcPr>
                  <w:tcW w:w="772" w:type="dxa"/>
                  <w:vMerge w:val="restart"/>
                  <w:vAlign w:val="center"/>
                </w:tcPr>
                <w:p>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建筑物插入损失/ dB(A) </w:t>
                  </w:r>
                </w:p>
              </w:tc>
              <w:tc>
                <w:tcPr>
                  <w:tcW w:w="3085" w:type="dxa"/>
                  <w:gridSpan w:val="5"/>
                  <w:vAlign w:val="center"/>
                </w:tcPr>
                <w:p>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建筑物外噪声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361" w:hRule="atLeast"/>
                <w:jc w:val="center"/>
              </w:trPr>
              <w:tc>
                <w:tcPr>
                  <w:tcW w:w="528" w:type="dxa"/>
                  <w:vMerge w:val="continue"/>
                  <w:vAlign w:val="center"/>
                </w:tcPr>
                <w:p>
                  <w:pPr>
                    <w:widowControl/>
                    <w:adjustRightInd w:val="0"/>
                    <w:snapToGrid w:val="0"/>
                    <w:jc w:val="center"/>
                    <w:rPr>
                      <w:rFonts w:hint="default" w:ascii="Times New Roman" w:hAnsi="Times New Roman" w:cs="Times New Roman"/>
                      <w:b/>
                      <w:bCs/>
                      <w:szCs w:val="21"/>
                    </w:rPr>
                  </w:pPr>
                </w:p>
              </w:tc>
              <w:tc>
                <w:tcPr>
                  <w:tcW w:w="691" w:type="dxa"/>
                  <w:vMerge w:val="continue"/>
                  <w:vAlign w:val="center"/>
                </w:tcPr>
                <w:p>
                  <w:pPr>
                    <w:widowControl/>
                    <w:adjustRightInd w:val="0"/>
                    <w:snapToGrid w:val="0"/>
                    <w:jc w:val="center"/>
                    <w:rPr>
                      <w:rFonts w:hint="default" w:ascii="Times New Roman" w:hAnsi="Times New Roman" w:cs="Times New Roman"/>
                      <w:b/>
                      <w:bCs/>
                      <w:szCs w:val="21"/>
                    </w:rPr>
                  </w:pPr>
                </w:p>
              </w:tc>
              <w:tc>
                <w:tcPr>
                  <w:tcW w:w="388" w:type="dxa"/>
                  <w:vMerge w:val="continue"/>
                  <w:vAlign w:val="center"/>
                </w:tcPr>
                <w:p>
                  <w:pPr>
                    <w:widowControl/>
                    <w:adjustRightInd w:val="0"/>
                    <w:snapToGrid w:val="0"/>
                    <w:jc w:val="center"/>
                    <w:rPr>
                      <w:rFonts w:hint="default" w:ascii="Times New Roman" w:hAnsi="Times New Roman" w:cs="Times New Roman"/>
                      <w:b/>
                      <w:bCs/>
                      <w:szCs w:val="21"/>
                    </w:rPr>
                  </w:pPr>
                </w:p>
              </w:tc>
              <w:tc>
                <w:tcPr>
                  <w:tcW w:w="653" w:type="dxa"/>
                  <w:vMerge w:val="continue"/>
                  <w:vAlign w:val="center"/>
                </w:tcPr>
                <w:p>
                  <w:pPr>
                    <w:widowControl/>
                    <w:adjustRightInd w:val="0"/>
                    <w:snapToGrid w:val="0"/>
                    <w:jc w:val="center"/>
                    <w:rPr>
                      <w:rFonts w:hint="default" w:ascii="Times New Roman" w:hAnsi="Times New Roman" w:cs="Times New Roman"/>
                      <w:b/>
                      <w:bCs/>
                      <w:szCs w:val="21"/>
                    </w:rPr>
                  </w:pPr>
                </w:p>
              </w:tc>
              <w:tc>
                <w:tcPr>
                  <w:tcW w:w="736" w:type="dxa"/>
                  <w:vMerge w:val="continue"/>
                  <w:vAlign w:val="center"/>
                </w:tcPr>
                <w:p>
                  <w:pPr>
                    <w:widowControl/>
                    <w:adjustRightInd w:val="0"/>
                    <w:snapToGrid w:val="0"/>
                    <w:jc w:val="center"/>
                    <w:rPr>
                      <w:rFonts w:hint="default" w:ascii="Times New Roman" w:hAnsi="Times New Roman" w:cs="Times New Roman"/>
                      <w:b/>
                      <w:bCs/>
                      <w:szCs w:val="21"/>
                    </w:rPr>
                  </w:pPr>
                </w:p>
              </w:tc>
              <w:tc>
                <w:tcPr>
                  <w:tcW w:w="436"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X</w:t>
                  </w:r>
                </w:p>
              </w:tc>
              <w:tc>
                <w:tcPr>
                  <w:tcW w:w="486"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Y</w:t>
                  </w:r>
                </w:p>
              </w:tc>
              <w:tc>
                <w:tcPr>
                  <w:tcW w:w="269"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Z</w:t>
                  </w:r>
                </w:p>
              </w:tc>
              <w:tc>
                <w:tcPr>
                  <w:tcW w:w="314" w:type="dxa"/>
                  <w:vMerge w:val="restart"/>
                  <w:vAlign w:val="center"/>
                </w:tcPr>
                <w:p>
                  <w:pPr>
                    <w:widowControl/>
                    <w:adjustRightInd w:val="0"/>
                    <w:snapToGrid w:val="0"/>
                    <w:jc w:val="center"/>
                    <w:rPr>
                      <w:rFonts w:hint="eastAsia" w:ascii="Times New Roman" w:hAnsi="Times New Roman" w:eastAsia="宋体" w:cs="Times New Roman"/>
                      <w:b/>
                      <w:bCs/>
                      <w:szCs w:val="21"/>
                      <w:lang w:val="en-US" w:eastAsia="zh-CN"/>
                    </w:rPr>
                  </w:pPr>
                  <w:r>
                    <w:rPr>
                      <w:rFonts w:hint="eastAsia" w:cs="Times New Roman"/>
                      <w:b/>
                      <w:bCs/>
                      <w:szCs w:val="21"/>
                      <w:lang w:val="en-US" w:eastAsia="zh-CN"/>
                    </w:rPr>
                    <w:t>东</w:t>
                  </w:r>
                </w:p>
              </w:tc>
              <w:tc>
                <w:tcPr>
                  <w:tcW w:w="361" w:type="dxa"/>
                  <w:vMerge w:val="restart"/>
                  <w:vAlign w:val="center"/>
                </w:tcPr>
                <w:p>
                  <w:pPr>
                    <w:widowControl/>
                    <w:adjustRightInd w:val="0"/>
                    <w:snapToGrid w:val="0"/>
                    <w:jc w:val="center"/>
                    <w:rPr>
                      <w:rFonts w:hint="default" w:ascii="Times New Roman" w:hAnsi="Times New Roman" w:cs="Times New Roman"/>
                      <w:b/>
                      <w:bCs/>
                      <w:szCs w:val="21"/>
                    </w:rPr>
                  </w:pPr>
                  <w:r>
                    <w:rPr>
                      <w:rFonts w:hint="eastAsia" w:cs="Times New Roman"/>
                      <w:b/>
                      <w:bCs/>
                      <w:szCs w:val="21"/>
                      <w:lang w:val="en-US" w:eastAsia="zh-CN"/>
                    </w:rPr>
                    <w:t>南</w:t>
                  </w:r>
                </w:p>
              </w:tc>
              <w:tc>
                <w:tcPr>
                  <w:tcW w:w="361" w:type="dxa"/>
                  <w:vMerge w:val="restart"/>
                  <w:vAlign w:val="center"/>
                </w:tcPr>
                <w:p>
                  <w:pPr>
                    <w:widowControl/>
                    <w:adjustRightInd w:val="0"/>
                    <w:snapToGrid w:val="0"/>
                    <w:jc w:val="center"/>
                    <w:rPr>
                      <w:rFonts w:hint="default" w:ascii="Times New Roman" w:hAnsi="Times New Roman" w:cs="Times New Roman"/>
                      <w:b/>
                      <w:bCs/>
                      <w:szCs w:val="21"/>
                    </w:rPr>
                  </w:pPr>
                  <w:r>
                    <w:rPr>
                      <w:rFonts w:hint="eastAsia" w:cs="Times New Roman"/>
                      <w:b/>
                      <w:bCs/>
                      <w:szCs w:val="21"/>
                      <w:lang w:val="en-US" w:eastAsia="zh-CN"/>
                    </w:rPr>
                    <w:t>西</w:t>
                  </w:r>
                </w:p>
              </w:tc>
              <w:tc>
                <w:tcPr>
                  <w:tcW w:w="329" w:type="dxa"/>
                  <w:vMerge w:val="restart"/>
                  <w:vAlign w:val="center"/>
                </w:tcPr>
                <w:p>
                  <w:pPr>
                    <w:widowControl/>
                    <w:adjustRightInd w:val="0"/>
                    <w:snapToGrid w:val="0"/>
                    <w:jc w:val="center"/>
                    <w:rPr>
                      <w:rFonts w:hint="default" w:ascii="Times New Roman" w:hAnsi="Times New Roman" w:cs="Times New Roman"/>
                      <w:b/>
                      <w:bCs/>
                      <w:szCs w:val="21"/>
                    </w:rPr>
                  </w:pPr>
                  <w:r>
                    <w:rPr>
                      <w:rFonts w:hint="eastAsia" w:cs="Times New Roman"/>
                      <w:b/>
                      <w:bCs/>
                      <w:szCs w:val="21"/>
                      <w:lang w:val="en-US" w:eastAsia="zh-CN"/>
                    </w:rPr>
                    <w:t>北</w:t>
                  </w:r>
                </w:p>
              </w:tc>
              <w:tc>
                <w:tcPr>
                  <w:tcW w:w="609" w:type="dxa"/>
                  <w:vMerge w:val="restart"/>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东</w:t>
                  </w:r>
                </w:p>
              </w:tc>
              <w:tc>
                <w:tcPr>
                  <w:tcW w:w="532" w:type="dxa"/>
                  <w:vMerge w:val="restart"/>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南</w:t>
                  </w:r>
                </w:p>
              </w:tc>
              <w:tc>
                <w:tcPr>
                  <w:tcW w:w="622" w:type="dxa"/>
                  <w:vMerge w:val="restart"/>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西</w:t>
                  </w:r>
                </w:p>
              </w:tc>
              <w:tc>
                <w:tcPr>
                  <w:tcW w:w="740" w:type="dxa"/>
                  <w:vMerge w:val="restart"/>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北</w:t>
                  </w:r>
                </w:p>
              </w:tc>
              <w:tc>
                <w:tcPr>
                  <w:tcW w:w="597" w:type="dxa"/>
                  <w:vMerge w:val="continue"/>
                  <w:vAlign w:val="center"/>
                </w:tcPr>
                <w:p>
                  <w:pPr>
                    <w:widowControl/>
                    <w:adjustRightInd w:val="0"/>
                    <w:snapToGrid w:val="0"/>
                    <w:jc w:val="center"/>
                    <w:rPr>
                      <w:rFonts w:hint="default" w:ascii="Times New Roman" w:hAnsi="Times New Roman" w:cs="Times New Roman"/>
                      <w:b/>
                      <w:bCs/>
                      <w:szCs w:val="21"/>
                    </w:rPr>
                  </w:pPr>
                </w:p>
              </w:tc>
              <w:tc>
                <w:tcPr>
                  <w:tcW w:w="772" w:type="dxa"/>
                  <w:vMerge w:val="continue"/>
                  <w:vAlign w:val="center"/>
                </w:tcPr>
                <w:p>
                  <w:pPr>
                    <w:widowControl/>
                    <w:adjustRightInd w:val="0"/>
                    <w:snapToGrid w:val="0"/>
                    <w:jc w:val="center"/>
                    <w:rPr>
                      <w:rFonts w:hint="default" w:ascii="Times New Roman" w:hAnsi="Times New Roman" w:cs="Times New Roman"/>
                      <w:b/>
                      <w:bCs/>
                      <w:color w:val="auto"/>
                      <w:szCs w:val="21"/>
                    </w:rPr>
                  </w:pPr>
                </w:p>
              </w:tc>
              <w:tc>
                <w:tcPr>
                  <w:tcW w:w="2373" w:type="dxa"/>
                  <w:gridSpan w:val="4"/>
                  <w:vAlign w:val="center"/>
                </w:tcPr>
                <w:p>
                  <w:pPr>
                    <w:widowControl/>
                    <w:adjustRightInd w:val="0"/>
                    <w:snapToGrid w:val="0"/>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 xml:space="preserve">声压级/dB(A) </w:t>
                  </w:r>
                </w:p>
              </w:tc>
              <w:tc>
                <w:tcPr>
                  <w:tcW w:w="712" w:type="dxa"/>
                  <w:vMerge w:val="restart"/>
                  <w:vAlign w:val="center"/>
                </w:tcPr>
                <w:p>
                  <w:pPr>
                    <w:widowControl/>
                    <w:adjustRightInd w:val="0"/>
                    <w:snapToGrid w:val="0"/>
                    <w:jc w:val="center"/>
                    <w:rPr>
                      <w:rFonts w:hint="default" w:ascii="Times New Roman" w:hAnsi="Times New Roman" w:cs="Times New Roman"/>
                      <w:b/>
                      <w:bCs/>
                      <w:szCs w:val="21"/>
                    </w:rPr>
                  </w:pPr>
                  <w:r>
                    <w:rPr>
                      <w:rFonts w:hint="default" w:ascii="Times New Roman" w:hAnsi="Times New Roman" w:cs="Times New Roman"/>
                      <w:b/>
                      <w:bCs/>
                      <w:szCs w:val="21"/>
                    </w:rPr>
                    <w:t>建筑物外距离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361" w:hRule="atLeast"/>
                <w:jc w:val="center"/>
              </w:trPr>
              <w:tc>
                <w:tcPr>
                  <w:tcW w:w="528" w:type="dxa"/>
                  <w:vMerge w:val="continue"/>
                  <w:vAlign w:val="center"/>
                </w:tcPr>
                <w:p>
                  <w:pPr>
                    <w:widowControl/>
                    <w:adjustRightInd w:val="0"/>
                    <w:snapToGrid w:val="0"/>
                    <w:jc w:val="center"/>
                  </w:pPr>
                </w:p>
              </w:tc>
              <w:tc>
                <w:tcPr>
                  <w:tcW w:w="691" w:type="dxa"/>
                  <w:vMerge w:val="continue"/>
                  <w:vAlign w:val="center"/>
                </w:tcPr>
                <w:p>
                  <w:pPr>
                    <w:widowControl/>
                    <w:adjustRightInd w:val="0"/>
                    <w:snapToGrid w:val="0"/>
                    <w:jc w:val="center"/>
                  </w:pPr>
                </w:p>
              </w:tc>
              <w:tc>
                <w:tcPr>
                  <w:tcW w:w="388" w:type="dxa"/>
                  <w:vMerge w:val="continue"/>
                  <w:vAlign w:val="center"/>
                </w:tcPr>
                <w:p>
                  <w:pPr>
                    <w:widowControl/>
                    <w:adjustRightInd w:val="0"/>
                    <w:snapToGrid w:val="0"/>
                    <w:jc w:val="center"/>
                  </w:pPr>
                </w:p>
              </w:tc>
              <w:tc>
                <w:tcPr>
                  <w:tcW w:w="653" w:type="dxa"/>
                  <w:vMerge w:val="continue"/>
                  <w:vAlign w:val="center"/>
                </w:tcPr>
                <w:p>
                  <w:pPr>
                    <w:widowControl/>
                    <w:adjustRightInd w:val="0"/>
                    <w:snapToGrid w:val="0"/>
                    <w:jc w:val="center"/>
                  </w:pPr>
                </w:p>
              </w:tc>
              <w:tc>
                <w:tcPr>
                  <w:tcW w:w="736" w:type="dxa"/>
                  <w:vMerge w:val="continue"/>
                  <w:vAlign w:val="center"/>
                </w:tcPr>
                <w:p>
                  <w:pPr>
                    <w:widowControl/>
                    <w:adjustRightInd w:val="0"/>
                    <w:snapToGrid w:val="0"/>
                    <w:jc w:val="center"/>
                  </w:pPr>
                </w:p>
              </w:tc>
              <w:tc>
                <w:tcPr>
                  <w:tcW w:w="436" w:type="dxa"/>
                  <w:vMerge w:val="continue"/>
                  <w:vAlign w:val="center"/>
                </w:tcPr>
                <w:p>
                  <w:pPr>
                    <w:widowControl/>
                    <w:adjustRightInd w:val="0"/>
                    <w:snapToGrid w:val="0"/>
                    <w:jc w:val="center"/>
                  </w:pPr>
                </w:p>
              </w:tc>
              <w:tc>
                <w:tcPr>
                  <w:tcW w:w="486" w:type="dxa"/>
                  <w:vMerge w:val="continue"/>
                  <w:vAlign w:val="center"/>
                </w:tcPr>
                <w:p>
                  <w:pPr>
                    <w:widowControl/>
                    <w:adjustRightInd w:val="0"/>
                    <w:snapToGrid w:val="0"/>
                    <w:jc w:val="center"/>
                  </w:pPr>
                </w:p>
              </w:tc>
              <w:tc>
                <w:tcPr>
                  <w:tcW w:w="269" w:type="dxa"/>
                  <w:vMerge w:val="continue"/>
                  <w:vAlign w:val="center"/>
                </w:tcPr>
                <w:p>
                  <w:pPr>
                    <w:widowControl/>
                    <w:adjustRightInd w:val="0"/>
                    <w:snapToGrid w:val="0"/>
                    <w:jc w:val="center"/>
                  </w:pPr>
                </w:p>
              </w:tc>
              <w:tc>
                <w:tcPr>
                  <w:tcW w:w="314" w:type="dxa"/>
                  <w:vMerge w:val="continue"/>
                  <w:vAlign w:val="center"/>
                </w:tcPr>
                <w:p>
                  <w:pPr>
                    <w:widowControl/>
                    <w:adjustRightInd w:val="0"/>
                    <w:snapToGrid w:val="0"/>
                    <w:jc w:val="center"/>
                  </w:pPr>
                </w:p>
              </w:tc>
              <w:tc>
                <w:tcPr>
                  <w:tcW w:w="361" w:type="dxa"/>
                  <w:vMerge w:val="continue"/>
                  <w:vAlign w:val="center"/>
                </w:tcPr>
                <w:p>
                  <w:pPr>
                    <w:widowControl/>
                    <w:adjustRightInd w:val="0"/>
                    <w:snapToGrid w:val="0"/>
                    <w:jc w:val="center"/>
                  </w:pPr>
                </w:p>
              </w:tc>
              <w:tc>
                <w:tcPr>
                  <w:tcW w:w="361" w:type="dxa"/>
                  <w:vMerge w:val="continue"/>
                  <w:vAlign w:val="center"/>
                </w:tcPr>
                <w:p>
                  <w:pPr>
                    <w:widowControl/>
                    <w:adjustRightInd w:val="0"/>
                    <w:snapToGrid w:val="0"/>
                    <w:jc w:val="center"/>
                  </w:pPr>
                </w:p>
              </w:tc>
              <w:tc>
                <w:tcPr>
                  <w:tcW w:w="329" w:type="dxa"/>
                  <w:vMerge w:val="continue"/>
                  <w:vAlign w:val="center"/>
                </w:tcPr>
                <w:p>
                  <w:pPr>
                    <w:widowControl/>
                    <w:adjustRightInd w:val="0"/>
                    <w:snapToGrid w:val="0"/>
                    <w:jc w:val="center"/>
                  </w:pPr>
                </w:p>
              </w:tc>
              <w:tc>
                <w:tcPr>
                  <w:tcW w:w="609" w:type="dxa"/>
                  <w:vMerge w:val="continue"/>
                  <w:shd w:val="clear" w:color="auto" w:fill="auto"/>
                  <w:vAlign w:val="center"/>
                </w:tcPr>
                <w:p>
                  <w:pPr>
                    <w:widowControl/>
                    <w:adjustRightInd w:val="0"/>
                    <w:snapToGrid w:val="0"/>
                    <w:jc w:val="center"/>
                  </w:pPr>
                </w:p>
              </w:tc>
              <w:tc>
                <w:tcPr>
                  <w:tcW w:w="532" w:type="dxa"/>
                  <w:vMerge w:val="continue"/>
                  <w:shd w:val="clear" w:color="auto" w:fill="auto"/>
                  <w:vAlign w:val="center"/>
                </w:tcPr>
                <w:p>
                  <w:pPr>
                    <w:widowControl/>
                    <w:adjustRightInd w:val="0"/>
                    <w:snapToGrid w:val="0"/>
                    <w:jc w:val="center"/>
                  </w:pPr>
                </w:p>
              </w:tc>
              <w:tc>
                <w:tcPr>
                  <w:tcW w:w="622" w:type="dxa"/>
                  <w:vMerge w:val="continue"/>
                  <w:shd w:val="clear" w:color="auto" w:fill="auto"/>
                  <w:vAlign w:val="center"/>
                </w:tcPr>
                <w:p>
                  <w:pPr>
                    <w:widowControl/>
                    <w:adjustRightInd w:val="0"/>
                    <w:snapToGrid w:val="0"/>
                    <w:jc w:val="center"/>
                  </w:pPr>
                </w:p>
              </w:tc>
              <w:tc>
                <w:tcPr>
                  <w:tcW w:w="740" w:type="dxa"/>
                  <w:vMerge w:val="continue"/>
                  <w:shd w:val="clear" w:color="auto" w:fill="auto"/>
                  <w:vAlign w:val="center"/>
                </w:tcPr>
                <w:p>
                  <w:pPr>
                    <w:widowControl/>
                    <w:adjustRightInd w:val="0"/>
                    <w:snapToGrid w:val="0"/>
                    <w:jc w:val="center"/>
                  </w:pPr>
                </w:p>
              </w:tc>
              <w:tc>
                <w:tcPr>
                  <w:tcW w:w="597" w:type="dxa"/>
                  <w:vMerge w:val="continue"/>
                  <w:vAlign w:val="center"/>
                </w:tcPr>
                <w:p>
                  <w:pPr>
                    <w:widowControl/>
                    <w:adjustRightInd w:val="0"/>
                    <w:snapToGrid w:val="0"/>
                    <w:jc w:val="center"/>
                  </w:pPr>
                </w:p>
              </w:tc>
              <w:tc>
                <w:tcPr>
                  <w:tcW w:w="772" w:type="dxa"/>
                  <w:vMerge w:val="continue"/>
                  <w:vAlign w:val="center"/>
                </w:tcPr>
                <w:p>
                  <w:pPr>
                    <w:widowControl/>
                    <w:adjustRightInd w:val="0"/>
                    <w:snapToGrid w:val="0"/>
                    <w:jc w:val="center"/>
                  </w:pPr>
                </w:p>
              </w:tc>
              <w:tc>
                <w:tcPr>
                  <w:tcW w:w="592" w:type="dxa"/>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东</w:t>
                  </w:r>
                </w:p>
              </w:tc>
              <w:tc>
                <w:tcPr>
                  <w:tcW w:w="607" w:type="dxa"/>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南</w:t>
                  </w:r>
                </w:p>
              </w:tc>
              <w:tc>
                <w:tcPr>
                  <w:tcW w:w="592" w:type="dxa"/>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西</w:t>
                  </w:r>
                </w:p>
              </w:tc>
              <w:tc>
                <w:tcPr>
                  <w:tcW w:w="582" w:type="dxa"/>
                  <w:shd w:val="clear" w:color="auto" w:fill="auto"/>
                  <w:vAlign w:val="center"/>
                </w:tcPr>
                <w:p>
                  <w:pPr>
                    <w:widowControl/>
                    <w:adjustRightInd w:val="0"/>
                    <w:snapToGrid w:val="0"/>
                    <w:jc w:val="center"/>
                    <w:rPr>
                      <w:rFonts w:hint="default" w:ascii="Times New Roman" w:hAnsi="Times New Roman" w:eastAsia="宋体" w:cs="Times New Roman"/>
                      <w:b/>
                      <w:bCs/>
                      <w:kern w:val="2"/>
                      <w:sz w:val="21"/>
                      <w:szCs w:val="21"/>
                      <w:lang w:val="en-US" w:eastAsia="zh-CN" w:bidi="ar-SA"/>
                    </w:rPr>
                  </w:pPr>
                  <w:r>
                    <w:rPr>
                      <w:rFonts w:hint="eastAsia" w:cs="Times New Roman"/>
                      <w:b/>
                      <w:bCs/>
                      <w:szCs w:val="21"/>
                      <w:lang w:val="en-US" w:eastAsia="zh-CN"/>
                    </w:rPr>
                    <w:t>北</w:t>
                  </w:r>
                </w:p>
              </w:tc>
              <w:tc>
                <w:tcPr>
                  <w:tcW w:w="712" w:type="dxa"/>
                  <w:vMerge w:val="continue"/>
                  <w:vAlign w:val="center"/>
                </w:tcPr>
                <w:p>
                  <w:pPr>
                    <w:widowControl/>
                    <w:adjustRightInd w:val="0"/>
                    <w:snapToGrid w:val="0"/>
                    <w:jc w:val="center"/>
                    <w:rPr>
                      <w:rFonts w:hint="default" w:ascii="Times New Roman" w:hAnsi="Times New Roman" w:cs="Times New Roman"/>
                      <w:b/>
                      <w:bCs/>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restart"/>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生产车间</w:t>
                  </w: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预压罐</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736" w:type="dxa"/>
                  <w:vMerge w:val="restart"/>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距离衰减、隔声减振</w:t>
                  </w: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79.91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79.87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79.87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79.87 </w:t>
                  </w:r>
                </w:p>
              </w:tc>
              <w:tc>
                <w:tcPr>
                  <w:tcW w:w="597" w:type="dxa"/>
                  <w:vMerge w:val="restart"/>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color w:val="000000"/>
                      <w:kern w:val="0"/>
                      <w:szCs w:val="21"/>
                    </w:rPr>
                    <w:t>生产时同步运行</w:t>
                  </w: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53.91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53.87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53.87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53.87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空压机</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736"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170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77.13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77.09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77.09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77.09 </w:t>
                  </w:r>
                </w:p>
              </w:tc>
              <w:tc>
                <w:tcPr>
                  <w:tcW w:w="597"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51.13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51.09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51.09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51.09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成型机</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736"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72.09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72.09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72.09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72.09 </w:t>
                  </w:r>
                </w:p>
              </w:tc>
              <w:tc>
                <w:tcPr>
                  <w:tcW w:w="597"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46.09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46.09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46.09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46.09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成型机</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736"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73.85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73.85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73.85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73.85 </w:t>
                  </w:r>
                </w:p>
              </w:tc>
              <w:tc>
                <w:tcPr>
                  <w:tcW w:w="597"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47.85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47.85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47.85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47.85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烘干房</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736"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80.10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80.10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80.10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80.10 </w:t>
                  </w:r>
                </w:p>
              </w:tc>
              <w:tc>
                <w:tcPr>
                  <w:tcW w:w="597"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54.10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54.10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54.10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54.10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蒸汽储能罐</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736"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160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69.09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69.08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69.08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69.08 </w:t>
                  </w:r>
                </w:p>
              </w:tc>
              <w:tc>
                <w:tcPr>
                  <w:tcW w:w="597"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43.09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43.08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43.08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43.08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3" w:type="dxa"/>
                  <w:bottom w:w="0" w:type="dxa"/>
                  <w:right w:w="23" w:type="dxa"/>
                </w:tblCellMar>
              </w:tblPrEx>
              <w:trPr>
                <w:trHeight w:val="57" w:hRule="atLeast"/>
                <w:jc w:val="center"/>
              </w:trPr>
              <w:tc>
                <w:tcPr>
                  <w:tcW w:w="528"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69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行车</w:t>
                  </w:r>
                </w:p>
              </w:tc>
              <w:tc>
                <w:tcPr>
                  <w:tcW w:w="388"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53"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736"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43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86"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26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14"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361"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32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60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64.08 </w:t>
                  </w:r>
                </w:p>
              </w:tc>
              <w:tc>
                <w:tcPr>
                  <w:tcW w:w="53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64.08 </w:t>
                  </w:r>
                </w:p>
              </w:tc>
              <w:tc>
                <w:tcPr>
                  <w:tcW w:w="62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64.08 </w:t>
                  </w:r>
                </w:p>
              </w:tc>
              <w:tc>
                <w:tcPr>
                  <w:tcW w:w="74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64.08 </w:t>
                  </w:r>
                </w:p>
              </w:tc>
              <w:tc>
                <w:tcPr>
                  <w:tcW w:w="597" w:type="dxa"/>
                  <w:vMerge w:val="continue"/>
                </w:tcPr>
                <w:p>
                  <w:pPr>
                    <w:widowControl/>
                    <w:jc w:val="center"/>
                    <w:textAlignment w:val="center"/>
                    <w:rPr>
                      <w:rFonts w:hint="default" w:ascii="Times New Roman" w:hAnsi="Times New Roman" w:eastAsia="宋体" w:cs="Times New Roman"/>
                      <w:color w:val="000000"/>
                      <w:kern w:val="0"/>
                      <w:szCs w:val="21"/>
                      <w:lang w:val="en-US" w:eastAsia="zh-CN"/>
                    </w:rPr>
                  </w:pPr>
                </w:p>
              </w:tc>
              <w:tc>
                <w:tcPr>
                  <w:tcW w:w="77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20</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38.08 </w:t>
                  </w:r>
                </w:p>
              </w:tc>
              <w:tc>
                <w:tcPr>
                  <w:tcW w:w="607"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38.08 </w:t>
                  </w:r>
                </w:p>
              </w:tc>
              <w:tc>
                <w:tcPr>
                  <w:tcW w:w="59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38.08 </w:t>
                  </w:r>
                </w:p>
              </w:tc>
              <w:tc>
                <w:tcPr>
                  <w:tcW w:w="582"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38.08 </w:t>
                  </w:r>
                </w:p>
              </w:tc>
              <w:tc>
                <w:tcPr>
                  <w:tcW w:w="712" w:type="dxa"/>
                  <w:shd w:val="clear" w:color="auto" w:fill="auto"/>
                  <w:vAlign w:val="center"/>
                </w:tcPr>
                <w:p>
                  <w:pPr>
                    <w:widowControl/>
                    <w:jc w:val="center"/>
                    <w:textAlignment w:val="center"/>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r>
          </w:tbl>
          <w:p>
            <w:pPr>
              <w:pStyle w:val="2"/>
              <w:ind w:firstLine="0" w:firstLineChars="0"/>
              <w:rPr>
                <w:rFonts w:hint="eastAsia" w:ascii="Times New Roman" w:eastAsia="宋体" w:cs="Times New Roman"/>
                <w:b w:val="0"/>
                <w:bCs/>
                <w:color w:val="auto"/>
                <w:sz w:val="18"/>
                <w:szCs w:val="16"/>
              </w:rPr>
            </w:pPr>
            <w:r>
              <w:rPr>
                <w:rFonts w:hint="eastAsia" w:ascii="Times New Roman" w:eastAsia="宋体" w:cs="Times New Roman"/>
                <w:b w:val="0"/>
                <w:bCs/>
                <w:color w:val="auto"/>
                <w:sz w:val="18"/>
                <w:szCs w:val="16"/>
              </w:rPr>
              <w:t>注：以西南角水平地面为（0,0,0）点</w:t>
            </w:r>
          </w:p>
          <w:p>
            <w:pPr>
              <w:jc w:val="center"/>
              <w:rPr>
                <w:rFonts w:hint="eastAsia"/>
                <w:b/>
                <w:kern w:val="0"/>
                <w:sz w:val="24"/>
                <w:szCs w:val="32"/>
              </w:rPr>
            </w:pPr>
            <w:r>
              <w:rPr>
                <w:b/>
                <w:kern w:val="0"/>
                <w:sz w:val="24"/>
                <w:szCs w:val="32"/>
              </w:rPr>
              <w:t>表</w:t>
            </w:r>
            <w:r>
              <w:rPr>
                <w:rFonts w:hint="eastAsia"/>
                <w:b/>
                <w:kern w:val="0"/>
                <w:sz w:val="24"/>
                <w:szCs w:val="32"/>
              </w:rPr>
              <w:t>4</w:t>
            </w:r>
            <w:r>
              <w:rPr>
                <w:b/>
                <w:kern w:val="0"/>
                <w:sz w:val="24"/>
                <w:szCs w:val="32"/>
              </w:rPr>
              <w:t>-</w:t>
            </w:r>
            <w:r>
              <w:rPr>
                <w:rFonts w:hint="eastAsia"/>
                <w:b/>
                <w:kern w:val="0"/>
                <w:sz w:val="24"/>
                <w:szCs w:val="32"/>
              </w:rPr>
              <w:t>1</w:t>
            </w:r>
            <w:r>
              <w:rPr>
                <w:rFonts w:hint="eastAsia"/>
                <w:b/>
                <w:kern w:val="0"/>
                <w:sz w:val="24"/>
                <w:szCs w:val="32"/>
                <w:lang w:val="en-US" w:eastAsia="zh-CN"/>
              </w:rPr>
              <w:t>3</w:t>
            </w:r>
            <w:r>
              <w:rPr>
                <w:rFonts w:hint="eastAsia"/>
                <w:b/>
                <w:kern w:val="0"/>
                <w:sz w:val="24"/>
                <w:szCs w:val="32"/>
              </w:rPr>
              <w:t>工业企业噪声源强调查清单（室外声源）</w:t>
            </w:r>
          </w:p>
          <w:tbl>
            <w:tblPr>
              <w:tblStyle w:val="30"/>
              <w:tblW w:w="1250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42"/>
              <w:gridCol w:w="771"/>
              <w:gridCol w:w="718"/>
              <w:gridCol w:w="718"/>
              <w:gridCol w:w="573"/>
              <w:gridCol w:w="1952"/>
              <w:gridCol w:w="3183"/>
              <w:gridCol w:w="19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70" w:type="dxa"/>
                  <w:vMerge w:val="restart"/>
                  <w:noWrap w:val="0"/>
                  <w:vAlign w:val="center"/>
                </w:tcPr>
                <w:p>
                  <w:pPr>
                    <w:adjustRightInd w:val="0"/>
                    <w:snapToGrid w:val="0"/>
                    <w:jc w:val="center"/>
                  </w:pPr>
                  <w:r>
                    <w:rPr>
                      <w:b/>
                    </w:rPr>
                    <w:t>序号</w:t>
                  </w:r>
                </w:p>
              </w:tc>
              <w:tc>
                <w:tcPr>
                  <w:tcW w:w="1842" w:type="dxa"/>
                  <w:vMerge w:val="restart"/>
                  <w:noWrap w:val="0"/>
                  <w:vAlign w:val="center"/>
                </w:tcPr>
                <w:p>
                  <w:pPr>
                    <w:adjustRightInd w:val="0"/>
                    <w:snapToGrid w:val="0"/>
                    <w:jc w:val="center"/>
                  </w:pPr>
                  <w:r>
                    <w:rPr>
                      <w:b/>
                    </w:rPr>
                    <w:t>声源名称</w:t>
                  </w:r>
                </w:p>
              </w:tc>
              <w:tc>
                <w:tcPr>
                  <w:tcW w:w="771" w:type="dxa"/>
                  <w:vMerge w:val="restart"/>
                  <w:noWrap w:val="0"/>
                  <w:vAlign w:val="center"/>
                </w:tcPr>
                <w:p>
                  <w:pPr>
                    <w:adjustRightInd w:val="0"/>
                    <w:snapToGrid w:val="0"/>
                    <w:jc w:val="center"/>
                  </w:pPr>
                  <w:r>
                    <w:rPr>
                      <w:b/>
                    </w:rPr>
                    <w:t>型号</w:t>
                  </w:r>
                </w:p>
              </w:tc>
              <w:tc>
                <w:tcPr>
                  <w:tcW w:w="2009" w:type="dxa"/>
                  <w:gridSpan w:val="3"/>
                  <w:noWrap w:val="0"/>
                  <w:vAlign w:val="center"/>
                </w:tcPr>
                <w:p>
                  <w:pPr>
                    <w:adjustRightInd w:val="0"/>
                    <w:snapToGrid w:val="0"/>
                    <w:jc w:val="center"/>
                  </w:pPr>
                  <w:r>
                    <w:rPr>
                      <w:b/>
                    </w:rPr>
                    <w:t>空间相对位置/m</w:t>
                  </w:r>
                </w:p>
              </w:tc>
              <w:tc>
                <w:tcPr>
                  <w:tcW w:w="1952" w:type="dxa"/>
                  <w:vMerge w:val="restart"/>
                  <w:noWrap w:val="0"/>
                  <w:vAlign w:val="center"/>
                </w:tcPr>
                <w:p>
                  <w:pPr>
                    <w:adjustRightInd w:val="0"/>
                    <w:snapToGrid w:val="0"/>
                    <w:jc w:val="center"/>
                    <w:rPr>
                      <w:b/>
                      <w:bCs/>
                    </w:rPr>
                  </w:pPr>
                  <w:r>
                    <w:rPr>
                      <w:b/>
                      <w:bCs/>
                    </w:rPr>
                    <w:t>声功率级/dB(A)</w:t>
                  </w:r>
                </w:p>
              </w:tc>
              <w:tc>
                <w:tcPr>
                  <w:tcW w:w="3183" w:type="dxa"/>
                  <w:vMerge w:val="restart"/>
                  <w:noWrap w:val="0"/>
                  <w:vAlign w:val="center"/>
                </w:tcPr>
                <w:p>
                  <w:pPr>
                    <w:adjustRightInd w:val="0"/>
                    <w:snapToGrid w:val="0"/>
                    <w:jc w:val="center"/>
                  </w:pPr>
                  <w:r>
                    <w:rPr>
                      <w:b/>
                    </w:rPr>
                    <w:t>声源控制措施</w:t>
                  </w:r>
                </w:p>
              </w:tc>
              <w:tc>
                <w:tcPr>
                  <w:tcW w:w="1977" w:type="dxa"/>
                  <w:vMerge w:val="restart"/>
                  <w:noWrap w:val="0"/>
                  <w:vAlign w:val="center"/>
                </w:tcPr>
                <w:p>
                  <w:pPr>
                    <w:adjustRightInd w:val="0"/>
                    <w:snapToGrid w:val="0"/>
                    <w:jc w:val="center"/>
                  </w:pPr>
                  <w:r>
                    <w:rPr>
                      <w:b/>
                    </w:rPr>
                    <w:t>运行时段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70" w:type="dxa"/>
                  <w:vMerge w:val="continue"/>
                  <w:shd w:val="clear" w:color="auto" w:fill="FFFFFF"/>
                  <w:noWrap w:val="0"/>
                  <w:vAlign w:val="center"/>
                </w:tcPr>
                <w:p>
                  <w:pPr>
                    <w:adjustRightInd w:val="0"/>
                    <w:snapToGrid w:val="0"/>
                    <w:jc w:val="center"/>
                  </w:pPr>
                </w:p>
              </w:tc>
              <w:tc>
                <w:tcPr>
                  <w:tcW w:w="1842" w:type="dxa"/>
                  <w:vMerge w:val="continue"/>
                  <w:shd w:val="clear" w:color="auto" w:fill="FFFFFF"/>
                  <w:noWrap w:val="0"/>
                  <w:vAlign w:val="center"/>
                </w:tcPr>
                <w:p>
                  <w:pPr>
                    <w:adjustRightInd w:val="0"/>
                    <w:snapToGrid w:val="0"/>
                    <w:jc w:val="center"/>
                  </w:pPr>
                </w:p>
              </w:tc>
              <w:tc>
                <w:tcPr>
                  <w:tcW w:w="771" w:type="dxa"/>
                  <w:vMerge w:val="continue"/>
                  <w:shd w:val="clear" w:color="auto" w:fill="FFFFFF"/>
                  <w:noWrap w:val="0"/>
                  <w:vAlign w:val="center"/>
                </w:tcPr>
                <w:p>
                  <w:pPr>
                    <w:adjustRightInd w:val="0"/>
                    <w:snapToGrid w:val="0"/>
                    <w:jc w:val="center"/>
                  </w:pPr>
                </w:p>
              </w:tc>
              <w:tc>
                <w:tcPr>
                  <w:tcW w:w="718" w:type="dxa"/>
                  <w:shd w:val="clear" w:color="auto" w:fill="FFFFFF"/>
                  <w:noWrap w:val="0"/>
                  <w:vAlign w:val="center"/>
                </w:tcPr>
                <w:p>
                  <w:pPr>
                    <w:adjustRightInd w:val="0"/>
                    <w:snapToGrid w:val="0"/>
                    <w:jc w:val="center"/>
                    <w:rPr>
                      <w:b/>
                      <w:bCs/>
                    </w:rPr>
                  </w:pPr>
                  <w:r>
                    <w:rPr>
                      <w:b/>
                      <w:bCs/>
                    </w:rPr>
                    <w:t>X</w:t>
                  </w:r>
                </w:p>
              </w:tc>
              <w:tc>
                <w:tcPr>
                  <w:tcW w:w="718" w:type="dxa"/>
                  <w:shd w:val="clear" w:color="auto" w:fill="FFFFFF"/>
                  <w:noWrap w:val="0"/>
                  <w:vAlign w:val="center"/>
                </w:tcPr>
                <w:p>
                  <w:pPr>
                    <w:adjustRightInd w:val="0"/>
                    <w:snapToGrid w:val="0"/>
                    <w:jc w:val="center"/>
                    <w:rPr>
                      <w:b/>
                      <w:bCs/>
                    </w:rPr>
                  </w:pPr>
                  <w:r>
                    <w:rPr>
                      <w:b/>
                      <w:bCs/>
                    </w:rPr>
                    <w:t>Y</w:t>
                  </w:r>
                </w:p>
              </w:tc>
              <w:tc>
                <w:tcPr>
                  <w:tcW w:w="573" w:type="dxa"/>
                  <w:shd w:val="clear" w:color="auto" w:fill="FFFFFF"/>
                  <w:noWrap w:val="0"/>
                  <w:vAlign w:val="center"/>
                </w:tcPr>
                <w:p>
                  <w:pPr>
                    <w:adjustRightInd w:val="0"/>
                    <w:snapToGrid w:val="0"/>
                    <w:jc w:val="center"/>
                    <w:rPr>
                      <w:b/>
                      <w:bCs/>
                    </w:rPr>
                  </w:pPr>
                  <w:r>
                    <w:rPr>
                      <w:b/>
                      <w:bCs/>
                    </w:rPr>
                    <w:t>Z</w:t>
                  </w:r>
                </w:p>
              </w:tc>
              <w:tc>
                <w:tcPr>
                  <w:tcW w:w="1952" w:type="dxa"/>
                  <w:vMerge w:val="continue"/>
                  <w:shd w:val="clear" w:color="auto" w:fill="FFFFFF"/>
                  <w:noWrap w:val="0"/>
                  <w:vAlign w:val="center"/>
                </w:tcPr>
                <w:p>
                  <w:pPr>
                    <w:adjustRightInd w:val="0"/>
                    <w:snapToGrid w:val="0"/>
                    <w:jc w:val="center"/>
                  </w:pPr>
                </w:p>
              </w:tc>
              <w:tc>
                <w:tcPr>
                  <w:tcW w:w="3183" w:type="dxa"/>
                  <w:vMerge w:val="continue"/>
                  <w:shd w:val="clear" w:color="auto" w:fill="FFFFFF"/>
                  <w:noWrap w:val="0"/>
                  <w:vAlign w:val="center"/>
                </w:tcPr>
                <w:p>
                  <w:pPr>
                    <w:adjustRightInd w:val="0"/>
                    <w:snapToGrid w:val="0"/>
                    <w:jc w:val="center"/>
                  </w:pPr>
                </w:p>
              </w:tc>
              <w:tc>
                <w:tcPr>
                  <w:tcW w:w="1977" w:type="dxa"/>
                  <w:vMerge w:val="continue"/>
                  <w:shd w:val="clear" w:color="auto" w:fill="FFFFFF"/>
                  <w:noWrap w:val="0"/>
                  <w:vAlign w:val="center"/>
                </w:tcPr>
                <w:p>
                  <w:pPr>
                    <w:adjustRightInd w:val="0"/>
                    <w:snapToGrid w:val="0"/>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70" w:type="dxa"/>
                  <w:shd w:val="clear" w:color="auto" w:fill="FFFFFF"/>
                  <w:noWrap w:val="0"/>
                  <w:vAlign w:val="center"/>
                </w:tcPr>
                <w:p>
                  <w:pPr>
                    <w:adjustRightInd w:val="0"/>
                    <w:snapToGrid w:val="0"/>
                    <w:jc w:val="center"/>
                  </w:pPr>
                  <w:r>
                    <w:t>1</w:t>
                  </w:r>
                </w:p>
              </w:tc>
              <w:tc>
                <w:tcPr>
                  <w:tcW w:w="1842" w:type="dxa"/>
                  <w:shd w:val="clear" w:color="auto" w:fill="FFFFFF"/>
                  <w:noWrap w:val="0"/>
                  <w:vAlign w:val="center"/>
                </w:tcPr>
                <w:p>
                  <w:pPr>
                    <w:adjustRightInd w:val="0"/>
                    <w:snapToGrid w:val="0"/>
                    <w:jc w:val="center"/>
                  </w:pPr>
                  <w:r>
                    <w:rPr>
                      <w:rFonts w:hint="eastAsia" w:ascii="宋体" w:hAnsi="宋体" w:eastAsia="宋体" w:cs="宋体"/>
                      <w:i w:val="0"/>
                      <w:iCs w:val="0"/>
                      <w:color w:val="000000"/>
                      <w:kern w:val="0"/>
                      <w:sz w:val="21"/>
                      <w:szCs w:val="21"/>
                      <w:u w:val="none"/>
                      <w:lang w:val="en-US" w:eastAsia="zh-CN" w:bidi="ar"/>
                    </w:rPr>
                    <w:t>冷却塔</w:t>
                  </w:r>
                </w:p>
              </w:tc>
              <w:tc>
                <w:tcPr>
                  <w:tcW w:w="771" w:type="dxa"/>
                  <w:shd w:val="clear" w:color="auto" w:fill="FFFFFF"/>
                  <w:noWrap w:val="0"/>
                  <w:vAlign w:val="center"/>
                </w:tcPr>
                <w:p>
                  <w:pPr>
                    <w:adjustRightInd w:val="0"/>
                    <w:snapToGrid w:val="0"/>
                    <w:jc w:val="center"/>
                    <w:rPr>
                      <w:rFonts w:hint="eastAsia"/>
                    </w:rPr>
                  </w:pPr>
                  <w:r>
                    <w:rPr>
                      <w:rFonts w:hint="eastAsia"/>
                    </w:rPr>
                    <w:t>/</w:t>
                  </w:r>
                </w:p>
              </w:tc>
              <w:tc>
                <w:tcPr>
                  <w:tcW w:w="718"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21"/>
                      <w:szCs w:val="24"/>
                      <w:lang w:val="en-US" w:eastAsia="zh-CN" w:bidi="ar-SA"/>
                    </w:rPr>
                  </w:pPr>
                  <w:r>
                    <w:rPr>
                      <w:rFonts w:hint="eastAsia" w:ascii="Times New Roman" w:hAnsi="Times New Roman" w:eastAsia="宋体" w:cs="Times New Roman"/>
                      <w:i w:val="0"/>
                      <w:iCs w:val="0"/>
                      <w:kern w:val="0"/>
                      <w:sz w:val="21"/>
                      <w:szCs w:val="24"/>
                      <w:u w:val="none"/>
                      <w:lang w:val="en-US" w:eastAsia="zh-CN" w:bidi="ar"/>
                    </w:rPr>
                    <w:t>100</w:t>
                  </w:r>
                </w:p>
              </w:tc>
              <w:tc>
                <w:tcPr>
                  <w:tcW w:w="718"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21"/>
                      <w:szCs w:val="24"/>
                      <w:lang w:val="en-US" w:eastAsia="zh-CN" w:bidi="ar-SA"/>
                    </w:rPr>
                  </w:pPr>
                  <w:r>
                    <w:rPr>
                      <w:rFonts w:hint="eastAsia" w:ascii="Times New Roman" w:hAnsi="Times New Roman" w:eastAsia="宋体" w:cs="Times New Roman"/>
                      <w:i w:val="0"/>
                      <w:iCs w:val="0"/>
                      <w:kern w:val="0"/>
                      <w:sz w:val="21"/>
                      <w:szCs w:val="24"/>
                      <w:u w:val="none"/>
                      <w:lang w:val="en-US" w:eastAsia="zh-CN" w:bidi="ar"/>
                    </w:rPr>
                    <w:t>60</w:t>
                  </w:r>
                </w:p>
              </w:tc>
              <w:tc>
                <w:tcPr>
                  <w:tcW w:w="573" w:type="dxa"/>
                  <w:shd w:val="clear" w:color="auto" w:fill="auto"/>
                  <w:noWrap w:val="0"/>
                  <w:vAlign w:val="center"/>
                </w:tcPr>
                <w:p>
                  <w:pPr>
                    <w:keepNext w:val="0"/>
                    <w:keepLines w:val="0"/>
                    <w:widowControl/>
                    <w:suppressLineNumbers w:val="0"/>
                    <w:jc w:val="center"/>
                    <w:textAlignment w:val="center"/>
                    <w:rPr>
                      <w:rFonts w:hint="eastAsia" w:ascii="Times New Roman" w:hAnsi="Times New Roman" w:eastAsia="宋体" w:cs="Times New Roman"/>
                      <w:kern w:val="0"/>
                      <w:sz w:val="21"/>
                      <w:szCs w:val="24"/>
                      <w:lang w:val="en-US" w:eastAsia="zh-CN" w:bidi="ar-SA"/>
                    </w:rPr>
                  </w:pPr>
                  <w:r>
                    <w:rPr>
                      <w:rFonts w:hint="eastAsia" w:ascii="Times New Roman" w:hAnsi="Times New Roman" w:eastAsia="宋体" w:cs="Times New Roman"/>
                      <w:i w:val="0"/>
                      <w:iCs w:val="0"/>
                      <w:kern w:val="0"/>
                      <w:sz w:val="21"/>
                      <w:szCs w:val="24"/>
                      <w:u w:val="none"/>
                      <w:lang w:val="en-US" w:eastAsia="zh-CN" w:bidi="ar"/>
                    </w:rPr>
                    <w:t>1</w:t>
                  </w:r>
                </w:p>
              </w:tc>
              <w:tc>
                <w:tcPr>
                  <w:tcW w:w="1952" w:type="dxa"/>
                  <w:shd w:val="clear" w:color="auto" w:fill="auto"/>
                  <w:noWrap w:val="0"/>
                  <w:vAlign w:val="center"/>
                </w:tcPr>
                <w:p>
                  <w:pPr>
                    <w:widowControl/>
                    <w:jc w:val="center"/>
                    <w:textAlignment w:val="center"/>
                    <w:rPr>
                      <w:rFonts w:hint="default" w:eastAsia="宋体"/>
                      <w:lang w:val="en-US" w:eastAsia="zh-CN"/>
                    </w:rPr>
                  </w:pPr>
                  <w:r>
                    <w:rPr>
                      <w:rFonts w:hint="eastAsia"/>
                      <w:kern w:val="0"/>
                      <w:lang w:val="en-US" w:eastAsia="zh-CN"/>
                    </w:rPr>
                    <w:t>80</w:t>
                  </w:r>
                </w:p>
              </w:tc>
              <w:tc>
                <w:tcPr>
                  <w:tcW w:w="3183" w:type="dxa"/>
                  <w:shd w:val="clear" w:color="auto" w:fill="FFFFFF"/>
                  <w:noWrap w:val="0"/>
                  <w:vAlign w:val="center"/>
                </w:tcPr>
                <w:p>
                  <w:pPr>
                    <w:adjustRightInd w:val="0"/>
                    <w:snapToGrid w:val="0"/>
                    <w:jc w:val="center"/>
                  </w:pPr>
                  <w:r>
                    <w:rPr>
                      <w:rFonts w:hint="eastAsia"/>
                    </w:rPr>
                    <w:t>选用低噪声设备、基础减振</w:t>
                  </w:r>
                </w:p>
              </w:tc>
              <w:tc>
                <w:tcPr>
                  <w:tcW w:w="1977" w:type="dxa"/>
                  <w:shd w:val="clear" w:color="auto" w:fill="FFFFFF"/>
                  <w:noWrap w:val="0"/>
                  <w:vAlign w:val="center"/>
                </w:tcPr>
                <w:p>
                  <w:pPr>
                    <w:adjustRightInd w:val="0"/>
                    <w:snapToGrid w:val="0"/>
                    <w:jc w:val="center"/>
                    <w:rPr>
                      <w:rFonts w:hint="eastAsia"/>
                    </w:rPr>
                  </w:pPr>
                  <w:r>
                    <w:rPr>
                      <w:rFonts w:hint="eastAsia"/>
                    </w:rPr>
                    <w:t>生产时同步运行</w:t>
                  </w:r>
                </w:p>
              </w:tc>
            </w:tr>
          </w:tbl>
          <w:p>
            <w:pPr>
              <w:pStyle w:val="23"/>
              <w:tabs>
                <w:tab w:val="left" w:pos="604"/>
              </w:tabs>
              <w:spacing w:after="0" w:line="240" w:lineRule="auto"/>
              <w:ind w:left="0" w:leftChars="0"/>
              <w:jc w:val="both"/>
              <w:rPr>
                <w:rFonts w:hint="eastAsia"/>
                <w:sz w:val="18"/>
                <w:szCs w:val="16"/>
              </w:rPr>
            </w:pPr>
            <w:r>
              <w:rPr>
                <w:rFonts w:hint="eastAsia"/>
                <w:sz w:val="18"/>
                <w:szCs w:val="16"/>
              </w:rPr>
              <w:t>注：以西南角水平地面为（0,0,0）点</w:t>
            </w:r>
          </w:p>
          <w:p>
            <w:pPr>
              <w:pStyle w:val="2"/>
              <w:ind w:firstLine="0" w:firstLineChars="0"/>
              <w:rPr>
                <w:rFonts w:hint="eastAsia"/>
                <w:sz w:val="18"/>
                <w:szCs w:val="16"/>
              </w:rPr>
            </w:pPr>
          </w:p>
        </w:tc>
      </w:tr>
    </w:tbl>
    <w:p>
      <w:pPr>
        <w:pStyle w:val="2"/>
        <w:sectPr>
          <w:pgSz w:w="16840" w:h="11907" w:orient="landscape"/>
          <w:pgMar w:top="1531" w:right="1701" w:bottom="1531" w:left="2127" w:header="851" w:footer="851" w:gutter="0"/>
          <w:pgNumType w:fmt="decimal"/>
          <w:cols w:space="720" w:num="1"/>
          <w:docGrid w:linePitch="312" w:charSpace="0"/>
        </w:sectPr>
      </w:pPr>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4" w:type="dxa"/>
            <w:vAlign w:val="center"/>
          </w:tcPr>
          <w:p>
            <w:pPr>
              <w:pStyle w:val="2"/>
              <w:ind w:firstLine="0" w:firstLineChars="0"/>
              <w:jc w:val="center"/>
              <w:rPr>
                <w:vertAlign w:val="baseline"/>
              </w:rPr>
            </w:pPr>
            <w:r>
              <w:rPr>
                <w:rFonts w:hint="eastAsia"/>
                <w:vertAlign w:val="baseline"/>
              </w:rPr>
              <w:t>运营期环境影响和保护措施</w:t>
            </w:r>
          </w:p>
        </w:tc>
        <w:tc>
          <w:tcPr>
            <w:tcW w:w="8607" w:type="dxa"/>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kern w:val="0"/>
                <w:sz w:val="24"/>
                <w:szCs w:val="32"/>
              </w:rPr>
            </w:pPr>
            <w:r>
              <w:rPr>
                <w:kern w:val="0"/>
                <w:sz w:val="24"/>
                <w:szCs w:val="32"/>
              </w:rPr>
              <w:t>根据《环境影响评价技术导则 声环境》（HJ2.4-20</w:t>
            </w:r>
            <w:r>
              <w:rPr>
                <w:rFonts w:hint="eastAsia"/>
                <w:kern w:val="0"/>
                <w:sz w:val="24"/>
                <w:szCs w:val="32"/>
              </w:rPr>
              <w:t>21</w:t>
            </w:r>
            <w:r>
              <w:rPr>
                <w:kern w:val="0"/>
                <w:sz w:val="24"/>
                <w:szCs w:val="32"/>
              </w:rPr>
              <w:t>）的规定，</w:t>
            </w:r>
            <w:r>
              <w:rPr>
                <w:rFonts w:hint="eastAsia"/>
                <w:kern w:val="0"/>
                <w:sz w:val="24"/>
                <w:szCs w:val="32"/>
              </w:rPr>
              <w:t>进行预测计算与评价</w:t>
            </w:r>
            <w:r>
              <w:rPr>
                <w:kern w:val="0"/>
                <w:sz w:val="24"/>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1</w:t>
            </w:r>
            <w:r>
              <w:rPr>
                <w:rFonts w:hint="eastAsia"/>
                <w:kern w:val="0"/>
                <w:sz w:val="24"/>
                <w:szCs w:val="32"/>
                <w:lang w:eastAsia="zh-CN"/>
              </w:rPr>
              <w:t>）</w:t>
            </w:r>
            <w:r>
              <w:rPr>
                <w:rFonts w:hint="eastAsia"/>
                <w:kern w:val="0"/>
                <w:sz w:val="24"/>
                <w:szCs w:val="32"/>
              </w:rPr>
              <w:t>室内声源等效室外声源声功率级计算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本项目评价范围内无环境敏感目标，仅需预测厂界噪声值，按如下公式预测：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kern w:val="0"/>
                <w:sz w:val="24"/>
                <w:szCs w:val="32"/>
              </w:rPr>
            </w:pPr>
            <w:r>
              <w:rPr>
                <w:rFonts w:hint="eastAsia"/>
                <w:kern w:val="0"/>
                <w:sz w:val="24"/>
                <w:szCs w:val="32"/>
              </w:rPr>
              <w:t>L</w:t>
            </w:r>
            <w:r>
              <w:rPr>
                <w:rFonts w:hint="eastAsia"/>
                <w:kern w:val="0"/>
                <w:sz w:val="24"/>
                <w:szCs w:val="32"/>
                <w:vertAlign w:val="subscript"/>
              </w:rPr>
              <w:t>p2</w:t>
            </w:r>
            <w:r>
              <w:rPr>
                <w:rFonts w:hint="eastAsia"/>
                <w:kern w:val="0"/>
                <w:sz w:val="24"/>
                <w:szCs w:val="32"/>
              </w:rPr>
              <w:t>=L</w:t>
            </w:r>
            <w:r>
              <w:rPr>
                <w:rFonts w:hint="eastAsia"/>
                <w:kern w:val="0"/>
                <w:sz w:val="24"/>
                <w:szCs w:val="32"/>
                <w:vertAlign w:val="subscript"/>
              </w:rPr>
              <w:t>p1</w:t>
            </w:r>
            <w:r>
              <w:rPr>
                <w:rFonts w:hint="eastAsia"/>
                <w:kern w:val="0"/>
                <w:sz w:val="24"/>
                <w:szCs w:val="32"/>
              </w:rPr>
              <w:t>—（TL+6）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w:t>
            </w:r>
            <w:r>
              <w:rPr>
                <w:rFonts w:hint="eastAsia"/>
                <w:kern w:val="0"/>
                <w:sz w:val="24"/>
                <w:szCs w:val="32"/>
                <w:vertAlign w:val="subscript"/>
              </w:rPr>
              <w:t>p2</w:t>
            </w:r>
            <w:r>
              <w:rPr>
                <w:rFonts w:hint="eastAsia"/>
                <w:kern w:val="0"/>
                <w:sz w:val="24"/>
                <w:szCs w:val="32"/>
              </w:rPr>
              <w:t>—靠近开口处（或窗户）室外A声级，dB；L</w:t>
            </w:r>
            <w:r>
              <w:rPr>
                <w:rFonts w:hint="eastAsia"/>
                <w:kern w:val="0"/>
                <w:sz w:val="24"/>
                <w:szCs w:val="32"/>
                <w:vertAlign w:val="subscript"/>
              </w:rPr>
              <w:t>p1</w:t>
            </w:r>
            <w:r>
              <w:rPr>
                <w:rFonts w:hint="eastAsia"/>
                <w:kern w:val="0"/>
                <w:sz w:val="24"/>
                <w:szCs w:val="32"/>
              </w:rPr>
              <w:t>—靠近开口处（或窗户）室内A声级，dB；TL—隔墙（或窗户）A声级的隔声量，dB；</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其中L</w:t>
            </w:r>
            <w:r>
              <w:rPr>
                <w:rFonts w:hint="eastAsia"/>
                <w:kern w:val="0"/>
                <w:sz w:val="24"/>
                <w:szCs w:val="32"/>
                <w:vertAlign w:val="subscript"/>
              </w:rPr>
              <w:t>p1</w:t>
            </w:r>
            <w:r>
              <w:rPr>
                <w:rFonts w:hint="eastAsia"/>
                <w:kern w:val="0"/>
                <w:sz w:val="24"/>
                <w:szCs w:val="32"/>
              </w:rPr>
              <w:t>=Lw+10lg（Q/4πr</w:t>
            </w:r>
            <w:r>
              <w:rPr>
                <w:rFonts w:hint="eastAsia"/>
                <w:kern w:val="0"/>
                <w:sz w:val="24"/>
                <w:szCs w:val="32"/>
                <w:vertAlign w:val="superscript"/>
              </w:rPr>
              <w:t>2</w:t>
            </w:r>
            <w:r>
              <w:rPr>
                <w:rFonts w:hint="eastAsia"/>
                <w:kern w:val="0"/>
                <w:sz w:val="24"/>
                <w:szCs w:val="32"/>
              </w:rPr>
              <w:t>+4/R）</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式中：Lw—点声源声功率级，dB；Q—指向性因数；通常对无指向性声源，当声源放在房间中心时，Q=1；当放在一面墙的中心时，Q=2；当放在三面墙夹角处时，Q=3。R—房间常数；R=Sα/（1-α），S为房间内表面面积，m</w:t>
            </w:r>
            <w:r>
              <w:rPr>
                <w:rFonts w:hint="eastAsia" w:ascii="华文宋体" w:hAnsi="华文宋体" w:eastAsia="华文宋体" w:cs="华文宋体"/>
                <w:kern w:val="0"/>
                <w:sz w:val="24"/>
                <w:szCs w:val="32"/>
                <w:vertAlign w:val="superscript"/>
              </w:rPr>
              <w:t>2</w:t>
            </w:r>
            <w:r>
              <w:rPr>
                <w:rFonts w:hint="eastAsia"/>
                <w:kern w:val="0"/>
                <w:sz w:val="24"/>
                <w:szCs w:val="32"/>
              </w:rPr>
              <w:t>；α为平均吸声系数；r—声源到靠近围栏结构某点处的距离，m。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rFonts w:hint="eastAsia"/>
                <w:kern w:val="0"/>
                <w:sz w:val="24"/>
                <w:szCs w:val="32"/>
              </w:rPr>
              <w:t>室外噪声点声源衰减预测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本项目仅考虑几何发散衰减，采用如下公式预测：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L</w:t>
            </w:r>
            <w:r>
              <w:rPr>
                <w:rFonts w:hint="eastAsia"/>
                <w:kern w:val="0"/>
                <w:sz w:val="24"/>
                <w:szCs w:val="32"/>
                <w:vertAlign w:val="subscript"/>
              </w:rPr>
              <w:t>A</w:t>
            </w:r>
            <w:r>
              <w:rPr>
                <w:rFonts w:hint="eastAsia"/>
                <w:kern w:val="0"/>
                <w:sz w:val="24"/>
                <w:szCs w:val="32"/>
              </w:rPr>
              <w:t>（r）=L</w:t>
            </w:r>
            <w:r>
              <w:rPr>
                <w:rFonts w:hint="eastAsia"/>
                <w:kern w:val="0"/>
                <w:sz w:val="24"/>
                <w:szCs w:val="32"/>
                <w:vertAlign w:val="subscript"/>
              </w:rPr>
              <w:t>AW</w:t>
            </w:r>
            <w:r>
              <w:rPr>
                <w:rFonts w:hint="eastAsia"/>
                <w:kern w:val="0"/>
                <w:sz w:val="24"/>
                <w:szCs w:val="32"/>
              </w:rPr>
              <w:t>—20lgr—11</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w:t>
            </w:r>
            <w:r>
              <w:rPr>
                <w:rFonts w:hint="eastAsia"/>
                <w:kern w:val="0"/>
                <w:sz w:val="24"/>
                <w:szCs w:val="32"/>
                <w:vertAlign w:val="subscript"/>
              </w:rPr>
              <w:t>A</w:t>
            </w:r>
            <w:r>
              <w:rPr>
                <w:rFonts w:hint="eastAsia"/>
                <w:kern w:val="0"/>
                <w:sz w:val="24"/>
                <w:szCs w:val="32"/>
              </w:rPr>
              <w:t>（r）—距点声源r处的A声级，dB(A)；L</w:t>
            </w:r>
            <w:r>
              <w:rPr>
                <w:rFonts w:hint="eastAsia"/>
                <w:kern w:val="0"/>
                <w:sz w:val="24"/>
                <w:szCs w:val="32"/>
                <w:vertAlign w:val="subscript"/>
              </w:rPr>
              <w:t>AW</w:t>
            </w:r>
            <w:r>
              <w:rPr>
                <w:rFonts w:hint="eastAsia"/>
                <w:kern w:val="0"/>
                <w:sz w:val="24"/>
                <w:szCs w:val="32"/>
              </w:rPr>
              <w:t>—点声源A计权声功率级，dB；r—预测点距离声源的距离。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3</w:t>
            </w:r>
            <w:r>
              <w:rPr>
                <w:rFonts w:hint="eastAsia"/>
                <w:kern w:val="0"/>
                <w:sz w:val="24"/>
                <w:szCs w:val="32"/>
                <w:lang w:eastAsia="zh-CN"/>
              </w:rPr>
              <w:t>）</w:t>
            </w:r>
            <w:r>
              <w:rPr>
                <w:rFonts w:hint="eastAsia"/>
                <w:kern w:val="0"/>
                <w:sz w:val="24"/>
                <w:szCs w:val="32"/>
              </w:rPr>
              <w:t>工业企业噪声贡献值计算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设第i个室外声源在预测点产生的A声级为L</w:t>
            </w:r>
            <w:r>
              <w:rPr>
                <w:rFonts w:hint="eastAsia"/>
                <w:kern w:val="0"/>
                <w:sz w:val="24"/>
                <w:szCs w:val="32"/>
                <w:vertAlign w:val="subscript"/>
              </w:rPr>
              <w:t>Ai</w:t>
            </w:r>
            <w:r>
              <w:rPr>
                <w:rFonts w:hint="eastAsia"/>
                <w:kern w:val="0"/>
                <w:sz w:val="24"/>
                <w:szCs w:val="32"/>
              </w:rPr>
              <w:t>，在T事件内该声源工作时间为t</w:t>
            </w:r>
            <w:r>
              <w:rPr>
                <w:rFonts w:hint="eastAsia"/>
                <w:kern w:val="0"/>
                <w:sz w:val="24"/>
                <w:szCs w:val="32"/>
                <w:vertAlign w:val="subscript"/>
              </w:rPr>
              <w:t>i</w:t>
            </w:r>
            <w:r>
              <w:rPr>
                <w:rFonts w:hint="eastAsia"/>
                <w:kern w:val="0"/>
                <w:sz w:val="24"/>
                <w:szCs w:val="32"/>
              </w:rPr>
              <w:t>；第j个等效室外声源在预测点产生的A声级为L</w:t>
            </w:r>
            <w:r>
              <w:rPr>
                <w:rFonts w:hint="eastAsia"/>
                <w:kern w:val="0"/>
                <w:sz w:val="24"/>
                <w:szCs w:val="32"/>
                <w:vertAlign w:val="subscript"/>
              </w:rPr>
              <w:t>Aj</w:t>
            </w:r>
            <w:r>
              <w:rPr>
                <w:rFonts w:hint="eastAsia"/>
                <w:kern w:val="0"/>
                <w:sz w:val="24"/>
                <w:szCs w:val="32"/>
              </w:rPr>
              <w:t>，在T时间内该声源工作时间为t</w:t>
            </w:r>
            <w:r>
              <w:rPr>
                <w:rFonts w:hint="eastAsia"/>
                <w:kern w:val="0"/>
                <w:sz w:val="24"/>
                <w:szCs w:val="32"/>
                <w:vertAlign w:val="subscript"/>
              </w:rPr>
              <w:t>j</w:t>
            </w:r>
            <w:r>
              <w:rPr>
                <w:rFonts w:hint="eastAsia"/>
                <w:kern w:val="0"/>
                <w:sz w:val="24"/>
                <w:szCs w:val="32"/>
              </w:rPr>
              <w:t>；则</w:t>
            </w:r>
            <w:r>
              <w:rPr>
                <w:rFonts w:hint="eastAsia"/>
                <w:kern w:val="0"/>
                <w:sz w:val="24"/>
                <w:szCs w:val="32"/>
                <w:lang w:val="en-US" w:eastAsia="zh-CN"/>
              </w:rPr>
              <w:t>项目</w:t>
            </w:r>
            <w:r>
              <w:rPr>
                <w:rFonts w:hint="eastAsia"/>
                <w:kern w:val="0"/>
                <w:sz w:val="24"/>
                <w:szCs w:val="32"/>
              </w:rPr>
              <w:t>工程声源对预测点产生的贡献值（Leqg）为：</w:t>
            </w:r>
          </w:p>
          <w:p>
            <w:pPr>
              <w:pStyle w:val="7"/>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rPr>
            </w:pPr>
            <w:r>
              <w:rPr>
                <w:sz w:val="24"/>
                <w:szCs w:val="32"/>
              </w:rPr>
              <w:drawing>
                <wp:inline distT="0" distB="0" distL="114300" distR="114300">
                  <wp:extent cx="2187575" cy="467995"/>
                  <wp:effectExtent l="0" t="0" r="3175" b="8255"/>
                  <wp:docPr id="51" name="图片 8" descr="16499839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8" descr="1649983942(1)"/>
                          <pic:cNvPicPr>
                            <a:picLocks noChangeAspect="1"/>
                          </pic:cNvPicPr>
                        </pic:nvPicPr>
                        <pic:blipFill>
                          <a:blip r:embed="rId14"/>
                          <a:stretch>
                            <a:fillRect/>
                          </a:stretch>
                        </pic:blipFill>
                        <pic:spPr>
                          <a:xfrm>
                            <a:off x="0" y="0"/>
                            <a:ext cx="2187575" cy="467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式中：Leqg—建设项目声源在预测点产生的噪声贡献值，dB；T—用于计算等效声级的时间，s；N—室外声源个数；t</w:t>
            </w:r>
            <w:r>
              <w:rPr>
                <w:rFonts w:hint="eastAsia"/>
                <w:kern w:val="0"/>
                <w:sz w:val="24"/>
                <w:szCs w:val="32"/>
                <w:vertAlign w:val="subscript"/>
              </w:rPr>
              <w:t>i</w:t>
            </w:r>
            <w:r>
              <w:rPr>
                <w:rFonts w:hint="eastAsia"/>
                <w:kern w:val="0"/>
                <w:sz w:val="24"/>
                <w:szCs w:val="32"/>
              </w:rPr>
              <w:t>—在T时间内i声源工作时间，s；M—等效室外声源个数；t</w:t>
            </w:r>
            <w:r>
              <w:rPr>
                <w:rFonts w:hint="eastAsia"/>
                <w:kern w:val="0"/>
                <w:sz w:val="24"/>
                <w:szCs w:val="32"/>
                <w:vertAlign w:val="subscript"/>
              </w:rPr>
              <w:t>j</w:t>
            </w:r>
            <w:r>
              <w:rPr>
                <w:rFonts w:hint="eastAsia"/>
                <w:kern w:val="0"/>
                <w:sz w:val="24"/>
                <w:szCs w:val="32"/>
              </w:rPr>
              <w:t>—在T时间内j声源工作时间，s。</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lang w:eastAsia="zh-CN"/>
              </w:rPr>
              <w:t>（</w:t>
            </w:r>
            <w:r>
              <w:rPr>
                <w:rFonts w:hint="eastAsia"/>
                <w:kern w:val="0"/>
                <w:sz w:val="24"/>
                <w:szCs w:val="32"/>
                <w:lang w:val="en-US" w:eastAsia="zh-CN"/>
              </w:rPr>
              <w:t>4</w:t>
            </w:r>
            <w:r>
              <w:rPr>
                <w:rFonts w:hint="eastAsia"/>
                <w:kern w:val="0"/>
                <w:sz w:val="24"/>
                <w:szCs w:val="32"/>
                <w:lang w:eastAsia="zh-CN"/>
              </w:rPr>
              <w:t>）</w:t>
            </w:r>
            <w:r>
              <w:rPr>
                <w:rFonts w:hint="eastAsia"/>
                <w:kern w:val="0"/>
                <w:sz w:val="24"/>
                <w:szCs w:val="32"/>
              </w:rPr>
              <w:t>噪声预测值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噪声预测值（Leq）计算公式为：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kern w:val="0"/>
                <w:sz w:val="24"/>
                <w:szCs w:val="32"/>
              </w:rPr>
            </w:pPr>
            <w:r>
              <w:rPr>
                <w:rFonts w:hint="eastAsia"/>
                <w:kern w:val="0"/>
                <w:sz w:val="24"/>
                <w:szCs w:val="32"/>
              </w:rPr>
              <w:t>Leq=10lg（10</w:t>
            </w:r>
            <w:r>
              <w:rPr>
                <w:rFonts w:hint="eastAsia"/>
                <w:kern w:val="0"/>
                <w:sz w:val="24"/>
                <w:szCs w:val="32"/>
                <w:vertAlign w:val="superscript"/>
              </w:rPr>
              <w:t>0.1Leqg</w:t>
            </w:r>
            <w:r>
              <w:rPr>
                <w:rFonts w:hint="eastAsia"/>
                <w:kern w:val="0"/>
                <w:sz w:val="24"/>
                <w:szCs w:val="32"/>
              </w:rPr>
              <w:t>+10</w:t>
            </w:r>
            <w:r>
              <w:rPr>
                <w:rFonts w:hint="eastAsia"/>
                <w:kern w:val="0"/>
                <w:sz w:val="24"/>
                <w:szCs w:val="32"/>
                <w:vertAlign w:val="superscript"/>
              </w:rPr>
              <w:t>0.1Leqb</w:t>
            </w:r>
            <w:r>
              <w:rPr>
                <w:rFonts w:hint="eastAsia"/>
                <w:kern w:val="0"/>
                <w:sz w:val="24"/>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b/>
                <w:bCs/>
                <w:sz w:val="24"/>
                <w:szCs w:val="22"/>
              </w:rPr>
            </w:pPr>
            <w:r>
              <w:rPr>
                <w:rFonts w:hint="eastAsia"/>
                <w:kern w:val="0"/>
                <w:sz w:val="24"/>
                <w:szCs w:val="32"/>
              </w:rPr>
              <w:t>式中：Leq—预测点的噪声预测值；Leqg—建设项目声源在预测点产生的噪声贡献值，dB；Leqb—预测点的背景噪声值，dB。</w:t>
            </w:r>
          </w:p>
          <w:p>
            <w:pPr>
              <w:adjustRightInd w:val="0"/>
              <w:snapToGrid w:val="0"/>
              <w:spacing w:line="360" w:lineRule="auto"/>
              <w:jc w:val="center"/>
              <w:rPr>
                <w:rFonts w:hint="eastAsia"/>
                <w:sz w:val="24"/>
                <w:szCs w:val="24"/>
              </w:rPr>
            </w:pPr>
            <w:r>
              <w:rPr>
                <w:rFonts w:hint="eastAsia"/>
                <w:b/>
                <w:bCs/>
                <w:sz w:val="24"/>
                <w:szCs w:val="22"/>
              </w:rPr>
              <w:t>表</w:t>
            </w:r>
            <w:r>
              <w:rPr>
                <w:rFonts w:hint="eastAsia"/>
                <w:b/>
                <w:bCs/>
                <w:sz w:val="24"/>
                <w:szCs w:val="22"/>
                <w:lang w:val="en-US" w:eastAsia="zh-CN"/>
              </w:rPr>
              <w:t>4-13</w:t>
            </w:r>
            <w:r>
              <w:rPr>
                <w:rFonts w:hint="eastAsia"/>
                <w:b/>
                <w:bCs/>
                <w:sz w:val="24"/>
                <w:szCs w:val="22"/>
              </w:rPr>
              <w:t xml:space="preserve"> 各预测点声环境影响预测结果（单位：dB(A)）</w:t>
            </w:r>
          </w:p>
          <w:tbl>
            <w:tblPr>
              <w:tblStyle w:val="30"/>
              <w:tblW w:w="838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2633"/>
              <w:gridCol w:w="16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072" w:type="dxa"/>
                  <w:tcBorders>
                    <w:tl2br w:val="nil"/>
                    <w:tr2bl w:val="nil"/>
                  </w:tcBorders>
                  <w:vAlign w:val="center"/>
                </w:tcPr>
                <w:p>
                  <w:pPr>
                    <w:widowControl/>
                    <w:adjustRightInd w:val="0"/>
                    <w:snapToGrid w:val="0"/>
                    <w:jc w:val="center"/>
                    <w:rPr>
                      <w:b/>
                      <w:bCs/>
                    </w:rPr>
                  </w:pPr>
                  <w:r>
                    <w:rPr>
                      <w:rFonts w:hint="eastAsia"/>
                      <w:b/>
                      <w:bCs/>
                    </w:rPr>
                    <w:t>预测点</w:t>
                  </w:r>
                </w:p>
              </w:tc>
              <w:tc>
                <w:tcPr>
                  <w:tcW w:w="2633" w:type="dxa"/>
                  <w:tcBorders>
                    <w:tl2br w:val="nil"/>
                    <w:tr2bl w:val="nil"/>
                  </w:tcBorders>
                  <w:vAlign w:val="center"/>
                </w:tcPr>
                <w:p>
                  <w:pPr>
                    <w:widowControl/>
                    <w:adjustRightInd w:val="0"/>
                    <w:snapToGrid w:val="0"/>
                    <w:jc w:val="center"/>
                    <w:rPr>
                      <w:b/>
                      <w:bCs/>
                    </w:rPr>
                  </w:pPr>
                  <w:r>
                    <w:rPr>
                      <w:rFonts w:hint="eastAsia"/>
                      <w:b/>
                      <w:bCs/>
                    </w:rPr>
                    <w:t>预测值</w:t>
                  </w:r>
                </w:p>
              </w:tc>
              <w:tc>
                <w:tcPr>
                  <w:tcW w:w="1683" w:type="dxa"/>
                  <w:tcBorders>
                    <w:tl2br w:val="nil"/>
                    <w:tr2bl w:val="nil"/>
                  </w:tcBorders>
                  <w:vAlign w:val="center"/>
                </w:tcPr>
                <w:p>
                  <w:pPr>
                    <w:widowControl/>
                    <w:adjustRightInd w:val="0"/>
                    <w:snapToGrid w:val="0"/>
                    <w:jc w:val="center"/>
                    <w:rPr>
                      <w:b/>
                      <w:bCs/>
                    </w:rPr>
                  </w:pPr>
                  <w:r>
                    <w:rPr>
                      <w:rFonts w:hint="eastAsia"/>
                      <w:b/>
                      <w:bCs/>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072" w:type="dxa"/>
                  <w:tcBorders>
                    <w:tl2br w:val="nil"/>
                    <w:tr2bl w:val="nil"/>
                  </w:tcBorders>
                  <w:vAlign w:val="center"/>
                </w:tcPr>
                <w:p>
                  <w:pPr>
                    <w:widowControl/>
                    <w:adjustRightInd w:val="0"/>
                    <w:snapToGrid w:val="0"/>
                    <w:jc w:val="center"/>
                  </w:pPr>
                  <w:r>
                    <w:rPr>
                      <w:rFonts w:hint="eastAsia"/>
                      <w:color w:val="000000"/>
                      <w:kern w:val="0"/>
                    </w:rPr>
                    <w:t>东</w:t>
                  </w:r>
                  <w:r>
                    <w:rPr>
                      <w:color w:val="000000"/>
                      <w:kern w:val="0"/>
                    </w:rPr>
                    <w:t>厂界</w:t>
                  </w:r>
                </w:p>
              </w:tc>
              <w:tc>
                <w:tcPr>
                  <w:tcW w:w="2633" w:type="dxa"/>
                  <w:tcBorders>
                    <w:tl2br w:val="nil"/>
                    <w:tr2bl w:val="nil"/>
                  </w:tcBorders>
                  <w:vAlign w:val="center"/>
                </w:tcPr>
                <w:p>
                  <w:pPr>
                    <w:widowControl/>
                    <w:jc w:val="center"/>
                    <w:textAlignment w:val="center"/>
                    <w:rPr>
                      <w:rFonts w:hint="default" w:eastAsia="宋体"/>
                      <w:lang w:val="en-US" w:eastAsia="zh-CN"/>
                    </w:rPr>
                  </w:pPr>
                  <w:r>
                    <w:rPr>
                      <w:rFonts w:hint="eastAsia"/>
                      <w:lang w:val="en-US" w:eastAsia="zh-CN"/>
                    </w:rPr>
                    <w:t>48.1</w:t>
                  </w:r>
                </w:p>
              </w:tc>
              <w:tc>
                <w:tcPr>
                  <w:tcW w:w="1683" w:type="dxa"/>
                  <w:vMerge w:val="restart"/>
                  <w:tcBorders>
                    <w:tl2br w:val="nil"/>
                    <w:tr2bl w:val="nil"/>
                  </w:tcBorders>
                  <w:vAlign w:val="center"/>
                </w:tcPr>
                <w:p>
                  <w:pPr>
                    <w:widowControl/>
                    <w:adjustRightInd w:val="0"/>
                    <w:snapToGrid w:val="0"/>
                    <w:jc w:val="center"/>
                    <w:rPr>
                      <w:rFonts w:hint="eastAsia" w:eastAsia="宋体"/>
                      <w:lang w:val="en-US" w:eastAsia="zh-CN"/>
                    </w:rPr>
                  </w:pPr>
                  <w:r>
                    <w:rPr>
                      <w:rFonts w:hint="eastAsia"/>
                      <w:lang w:val="en-US" w:eastAsia="zh-CN"/>
                    </w:rPr>
                    <w:t>昼间：</w:t>
                  </w:r>
                  <w:r>
                    <w:rPr>
                      <w:rFonts w:hint="eastAsia" w:eastAsia="宋体"/>
                      <w:lang w:val="en-US" w:eastAsia="zh-CN"/>
                    </w:rPr>
                    <w:t>65</w:t>
                  </w:r>
                </w:p>
                <w:p>
                  <w:pPr>
                    <w:widowControl/>
                    <w:adjustRightInd w:val="0"/>
                    <w:snapToGrid w:val="0"/>
                    <w:jc w:val="center"/>
                    <w:rPr>
                      <w:rFonts w:hint="default" w:eastAsia="宋体"/>
                      <w:lang w:val="en-US" w:eastAsia="zh-CN"/>
                    </w:rPr>
                  </w:pPr>
                  <w:r>
                    <w:rPr>
                      <w:rFonts w:hint="eastAsia"/>
                      <w:lang w:val="en-US" w:eastAsia="zh-CN"/>
                    </w:rPr>
                    <w:t>夜间：55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072" w:type="dxa"/>
                  <w:tcBorders>
                    <w:tl2br w:val="nil"/>
                    <w:tr2bl w:val="nil"/>
                  </w:tcBorders>
                  <w:vAlign w:val="center"/>
                </w:tcPr>
                <w:p>
                  <w:pPr>
                    <w:widowControl/>
                    <w:adjustRightInd w:val="0"/>
                    <w:snapToGrid w:val="0"/>
                    <w:jc w:val="center"/>
                  </w:pPr>
                  <w:r>
                    <w:rPr>
                      <w:rFonts w:hint="eastAsia"/>
                      <w:color w:val="000000"/>
                      <w:kern w:val="0"/>
                    </w:rPr>
                    <w:t>南</w:t>
                  </w:r>
                  <w:r>
                    <w:rPr>
                      <w:color w:val="000000"/>
                      <w:kern w:val="0"/>
                    </w:rPr>
                    <w:t>厂界</w:t>
                  </w:r>
                </w:p>
              </w:tc>
              <w:tc>
                <w:tcPr>
                  <w:tcW w:w="2633" w:type="dxa"/>
                  <w:tcBorders>
                    <w:tl2br w:val="nil"/>
                    <w:tr2bl w:val="nil"/>
                  </w:tcBorders>
                  <w:vAlign w:val="center"/>
                </w:tcPr>
                <w:p>
                  <w:pPr>
                    <w:widowControl/>
                    <w:jc w:val="center"/>
                    <w:textAlignment w:val="center"/>
                    <w:rPr>
                      <w:rFonts w:hint="default" w:eastAsia="宋体"/>
                      <w:lang w:val="en-US" w:eastAsia="zh-CN"/>
                    </w:rPr>
                  </w:pPr>
                  <w:r>
                    <w:rPr>
                      <w:rFonts w:hint="eastAsia"/>
                      <w:lang w:val="en-US" w:eastAsia="zh-CN"/>
                    </w:rPr>
                    <w:t>48.1</w:t>
                  </w:r>
                </w:p>
              </w:tc>
              <w:tc>
                <w:tcPr>
                  <w:tcW w:w="1683" w:type="dxa"/>
                  <w:vMerge w:val="continue"/>
                  <w:tcBorders>
                    <w:tl2br w:val="nil"/>
                    <w:tr2bl w:val="nil"/>
                  </w:tcBorders>
                  <w:vAlign w:val="center"/>
                </w:tcPr>
                <w:p>
                  <w:pPr>
                    <w:widowControl/>
                    <w:adjustRightInd w:val="0"/>
                    <w:snapToGrid w:val="0"/>
                    <w:jc w:val="center"/>
                    <w:rPr>
                      <w:rFonts w:hint="eastAsia" w:eastAsia="宋体"/>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072" w:type="dxa"/>
                  <w:tcBorders>
                    <w:tl2br w:val="nil"/>
                    <w:tr2bl w:val="nil"/>
                  </w:tcBorders>
                  <w:vAlign w:val="center"/>
                </w:tcPr>
                <w:p>
                  <w:pPr>
                    <w:widowControl/>
                    <w:adjustRightInd w:val="0"/>
                    <w:snapToGrid w:val="0"/>
                    <w:jc w:val="center"/>
                  </w:pPr>
                  <w:r>
                    <w:rPr>
                      <w:rFonts w:hint="eastAsia"/>
                      <w:color w:val="000000"/>
                      <w:kern w:val="0"/>
                    </w:rPr>
                    <w:t>西</w:t>
                  </w:r>
                  <w:r>
                    <w:rPr>
                      <w:color w:val="000000"/>
                      <w:kern w:val="0"/>
                    </w:rPr>
                    <w:t>厂界</w:t>
                  </w:r>
                </w:p>
              </w:tc>
              <w:tc>
                <w:tcPr>
                  <w:tcW w:w="2633" w:type="dxa"/>
                  <w:tcBorders>
                    <w:tl2br w:val="nil"/>
                    <w:tr2bl w:val="nil"/>
                  </w:tcBorders>
                  <w:vAlign w:val="center"/>
                </w:tcPr>
                <w:p>
                  <w:pPr>
                    <w:widowControl/>
                    <w:jc w:val="center"/>
                    <w:textAlignment w:val="center"/>
                    <w:rPr>
                      <w:rFonts w:hint="default" w:eastAsia="宋体"/>
                      <w:lang w:val="en-US" w:eastAsia="zh-CN"/>
                    </w:rPr>
                  </w:pPr>
                  <w:r>
                    <w:rPr>
                      <w:rFonts w:hint="eastAsia"/>
                      <w:lang w:val="en-US" w:eastAsia="zh-CN"/>
                    </w:rPr>
                    <w:t>48.1</w:t>
                  </w:r>
                </w:p>
              </w:tc>
              <w:tc>
                <w:tcPr>
                  <w:tcW w:w="1683" w:type="dxa"/>
                  <w:vMerge w:val="continue"/>
                  <w:tcBorders>
                    <w:tl2br w:val="nil"/>
                    <w:tr2bl w:val="nil"/>
                  </w:tcBorders>
                  <w:vAlign w:val="center"/>
                </w:tcPr>
                <w:p>
                  <w:pPr>
                    <w:widowControl/>
                    <w:adjustRightInd w:val="0"/>
                    <w:snapToGrid w:val="0"/>
                    <w:jc w:val="center"/>
                    <w:rPr>
                      <w:rFonts w:hint="eastAsia" w:eastAsia="宋体"/>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072" w:type="dxa"/>
                  <w:tcBorders>
                    <w:tl2br w:val="nil"/>
                    <w:tr2bl w:val="nil"/>
                  </w:tcBorders>
                  <w:vAlign w:val="center"/>
                </w:tcPr>
                <w:p>
                  <w:pPr>
                    <w:widowControl/>
                    <w:adjustRightInd w:val="0"/>
                    <w:snapToGrid w:val="0"/>
                    <w:jc w:val="center"/>
                  </w:pPr>
                  <w:r>
                    <w:rPr>
                      <w:rFonts w:hint="eastAsia"/>
                      <w:color w:val="000000"/>
                      <w:kern w:val="0"/>
                    </w:rPr>
                    <w:t>北</w:t>
                  </w:r>
                  <w:r>
                    <w:rPr>
                      <w:color w:val="000000"/>
                      <w:kern w:val="0"/>
                    </w:rPr>
                    <w:t>厂界</w:t>
                  </w:r>
                </w:p>
              </w:tc>
              <w:tc>
                <w:tcPr>
                  <w:tcW w:w="2633" w:type="dxa"/>
                  <w:tcBorders>
                    <w:tl2br w:val="nil"/>
                    <w:tr2bl w:val="nil"/>
                  </w:tcBorders>
                  <w:vAlign w:val="center"/>
                </w:tcPr>
                <w:p>
                  <w:pPr>
                    <w:widowControl/>
                    <w:jc w:val="center"/>
                    <w:textAlignment w:val="center"/>
                    <w:rPr>
                      <w:rFonts w:hint="default" w:eastAsia="宋体"/>
                      <w:lang w:val="en-US" w:eastAsia="zh-CN"/>
                    </w:rPr>
                  </w:pPr>
                  <w:r>
                    <w:rPr>
                      <w:rFonts w:hint="eastAsia"/>
                      <w:lang w:val="en-US" w:eastAsia="zh-CN"/>
                    </w:rPr>
                    <w:t>49.2</w:t>
                  </w:r>
                </w:p>
              </w:tc>
              <w:tc>
                <w:tcPr>
                  <w:tcW w:w="1683" w:type="dxa"/>
                  <w:vMerge w:val="continue"/>
                  <w:tcBorders>
                    <w:tl2br w:val="nil"/>
                    <w:tr2bl w:val="nil"/>
                  </w:tcBorders>
                  <w:vAlign w:val="center"/>
                </w:tcPr>
                <w:p>
                  <w:pPr>
                    <w:widowControl/>
                    <w:adjustRightInd w:val="0"/>
                    <w:snapToGrid w:val="0"/>
                    <w:jc w:val="center"/>
                    <w:rPr>
                      <w:rFonts w:hint="default" w:eastAsia="宋体"/>
                      <w:lang w:val="en-US" w:eastAsia="zh-CN"/>
                    </w:rPr>
                  </w:pPr>
                </w:p>
              </w:tc>
            </w:tr>
          </w:tbl>
          <w:p>
            <w:pPr>
              <w:pStyle w:val="23"/>
              <w:tabs>
                <w:tab w:val="left" w:pos="604"/>
              </w:tabs>
              <w:spacing w:after="0" w:line="360" w:lineRule="auto"/>
              <w:ind w:left="0" w:leftChars="0" w:firstLine="420" w:firstLineChars="200"/>
              <w:rPr>
                <w:rFonts w:hint="eastAsia"/>
                <w:sz w:val="21"/>
                <w:szCs w:val="21"/>
              </w:rPr>
            </w:pPr>
          </w:p>
          <w:p>
            <w:pPr>
              <w:pStyle w:val="23"/>
              <w:tabs>
                <w:tab w:val="left" w:pos="604"/>
              </w:tabs>
              <w:spacing w:after="0" w:line="360" w:lineRule="auto"/>
              <w:ind w:left="0" w:leftChars="0" w:firstLine="480" w:firstLineChars="200"/>
              <w:rPr>
                <w:sz w:val="24"/>
                <w:szCs w:val="24"/>
              </w:rPr>
            </w:pPr>
            <w:r>
              <w:rPr>
                <w:rFonts w:hint="eastAsia"/>
                <w:sz w:val="24"/>
                <w:szCs w:val="24"/>
              </w:rPr>
              <w:t>建设项目高噪声设备经厂房隔声和距离衰减后，经预测厂界昼间噪声预测</w:t>
            </w:r>
            <w:r>
              <w:rPr>
                <w:sz w:val="24"/>
                <w:szCs w:val="24"/>
              </w:rPr>
              <w:t>值</w:t>
            </w:r>
            <w:r>
              <w:rPr>
                <w:rFonts w:hint="eastAsia"/>
                <w:sz w:val="24"/>
                <w:szCs w:val="24"/>
              </w:rPr>
              <w:t>满足《工业企业厂界环境噪声排放标准》（GB12348-2008）</w:t>
            </w:r>
            <w:r>
              <w:rPr>
                <w:rFonts w:hint="eastAsia"/>
                <w:sz w:val="24"/>
                <w:szCs w:val="24"/>
                <w:lang w:val="en-US" w:eastAsia="zh-CN"/>
              </w:rPr>
              <w:t>3</w:t>
            </w:r>
            <w:r>
              <w:rPr>
                <w:rFonts w:hint="eastAsia"/>
                <w:sz w:val="24"/>
                <w:szCs w:val="24"/>
              </w:rPr>
              <w:t>类标准</w:t>
            </w:r>
            <w:r>
              <w:rPr>
                <w:rFonts w:hint="eastAsia"/>
                <w:sz w:val="24"/>
                <w:szCs w:val="24"/>
                <w:lang w:eastAsia="zh-CN"/>
              </w:rPr>
              <w:t>。</w:t>
            </w:r>
            <w:r>
              <w:rPr>
                <w:rFonts w:hint="eastAsia"/>
                <w:sz w:val="24"/>
                <w:szCs w:val="24"/>
              </w:rPr>
              <w:t>建设项目</w:t>
            </w:r>
            <w:r>
              <w:rPr>
                <w:sz w:val="24"/>
                <w:szCs w:val="24"/>
              </w:rPr>
              <w:t>营运期</w:t>
            </w:r>
            <w:r>
              <w:rPr>
                <w:rFonts w:hint="eastAsia"/>
                <w:sz w:val="24"/>
                <w:szCs w:val="24"/>
              </w:rPr>
              <w:t>采取有效降噪措施后，噪声排放对周围环境影响较小。</w:t>
            </w:r>
          </w:p>
          <w:p>
            <w:pPr>
              <w:widowControl/>
              <w:adjustRightInd w:val="0"/>
              <w:snapToGrid w:val="0"/>
              <w:spacing w:line="360" w:lineRule="auto"/>
              <w:ind w:firstLine="482" w:firstLineChars="200"/>
              <w:jc w:val="left"/>
              <w:rPr>
                <w:b/>
                <w:bCs/>
                <w:color w:val="000000"/>
                <w:sz w:val="24"/>
                <w:szCs w:val="24"/>
              </w:rPr>
            </w:pPr>
            <w:r>
              <w:rPr>
                <w:rFonts w:hint="eastAsia"/>
                <w:b/>
                <w:bCs/>
                <w:color w:val="000000"/>
                <w:sz w:val="24"/>
                <w:szCs w:val="24"/>
                <w:lang w:val="en-US" w:eastAsia="zh-CN"/>
              </w:rPr>
              <w:t>2.</w:t>
            </w:r>
            <w:r>
              <w:rPr>
                <w:rFonts w:hint="eastAsia"/>
                <w:b/>
                <w:bCs/>
                <w:color w:val="000000"/>
                <w:sz w:val="24"/>
                <w:szCs w:val="24"/>
              </w:rPr>
              <w:t>监测要求</w:t>
            </w:r>
          </w:p>
          <w:p>
            <w:pPr>
              <w:adjustRightInd w:val="0"/>
              <w:snapToGrid w:val="0"/>
              <w:spacing w:line="360" w:lineRule="auto"/>
              <w:ind w:firstLine="480" w:firstLineChars="200"/>
              <w:rPr>
                <w:sz w:val="24"/>
                <w:szCs w:val="32"/>
              </w:rPr>
            </w:pPr>
            <w:r>
              <w:rPr>
                <w:rFonts w:hint="eastAsia"/>
                <w:kern w:val="0"/>
                <w:sz w:val="24"/>
                <w:szCs w:val="32"/>
                <w:lang w:eastAsia="zh-CN"/>
              </w:rPr>
              <w:t>（</w:t>
            </w:r>
            <w:r>
              <w:rPr>
                <w:rFonts w:hint="eastAsia"/>
                <w:kern w:val="0"/>
                <w:sz w:val="24"/>
                <w:szCs w:val="32"/>
                <w:lang w:val="en-US" w:eastAsia="zh-CN"/>
              </w:rPr>
              <w:t>1</w:t>
            </w:r>
            <w:r>
              <w:rPr>
                <w:rFonts w:hint="eastAsia"/>
                <w:kern w:val="0"/>
                <w:sz w:val="24"/>
                <w:szCs w:val="32"/>
                <w:lang w:eastAsia="zh-CN"/>
              </w:rPr>
              <w:t>）</w:t>
            </w:r>
            <w:r>
              <w:rPr>
                <w:sz w:val="24"/>
                <w:szCs w:val="32"/>
              </w:rPr>
              <w:t>污染源监测计划</w:t>
            </w:r>
          </w:p>
          <w:p>
            <w:pPr>
              <w:adjustRightInd w:val="0"/>
              <w:snapToGrid w:val="0"/>
              <w:spacing w:line="360" w:lineRule="auto"/>
              <w:ind w:firstLine="480" w:firstLineChars="200"/>
              <w:jc w:val="left"/>
              <w:rPr>
                <w:bCs/>
                <w:sz w:val="24"/>
                <w:szCs w:val="32"/>
              </w:rPr>
            </w:pPr>
            <w:r>
              <w:rPr>
                <w:bCs/>
                <w:sz w:val="24"/>
                <w:szCs w:val="32"/>
              </w:rPr>
              <w:t>定期监测厂界四周</w:t>
            </w:r>
            <w:r>
              <w:rPr>
                <w:rFonts w:hint="eastAsia"/>
                <w:bCs/>
                <w:sz w:val="24"/>
                <w:szCs w:val="32"/>
              </w:rPr>
              <w:t>及敏感点</w:t>
            </w:r>
            <w:r>
              <w:rPr>
                <w:bCs/>
                <w:sz w:val="24"/>
                <w:szCs w:val="32"/>
              </w:rPr>
              <w:t>噪声，监测频率为每季度一次，并在监测点附近设置环境保护图形标志牌。</w:t>
            </w:r>
          </w:p>
          <w:p>
            <w:pPr>
              <w:tabs>
                <w:tab w:val="left" w:pos="1593"/>
              </w:tabs>
              <w:adjustRightInd w:val="0"/>
              <w:snapToGrid w:val="0"/>
              <w:spacing w:line="360" w:lineRule="auto"/>
              <w:jc w:val="center"/>
              <w:rPr>
                <w:b/>
                <w:sz w:val="24"/>
                <w:szCs w:val="32"/>
              </w:rPr>
            </w:pPr>
            <w:r>
              <w:rPr>
                <w:b/>
                <w:sz w:val="24"/>
                <w:szCs w:val="32"/>
              </w:rPr>
              <w:t>表4-</w:t>
            </w:r>
            <w:r>
              <w:rPr>
                <w:rFonts w:hint="eastAsia"/>
                <w:b/>
                <w:sz w:val="24"/>
                <w:szCs w:val="32"/>
                <w:lang w:val="en-US" w:eastAsia="zh-CN"/>
              </w:rPr>
              <w:t>14</w:t>
            </w:r>
            <w:r>
              <w:rPr>
                <w:b/>
                <w:sz w:val="24"/>
                <w:szCs w:val="32"/>
              </w:rPr>
              <w:t>噪声污染源监测计划</w:t>
            </w:r>
          </w:p>
          <w:tbl>
            <w:tblPr>
              <w:tblStyle w:val="30"/>
              <w:tblW w:w="8383"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286"/>
              <w:gridCol w:w="1434"/>
              <w:gridCol w:w="1348"/>
              <w:gridCol w:w="31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142" w:type="dxa"/>
                  <w:noWrap w:val="0"/>
                  <w:vAlign w:val="center"/>
                </w:tcPr>
                <w:p>
                  <w:pPr>
                    <w:jc w:val="center"/>
                    <w:rPr>
                      <w:b/>
                      <w:bCs/>
                      <w:kern w:val="0"/>
                    </w:rPr>
                  </w:pPr>
                  <w:r>
                    <w:rPr>
                      <w:b/>
                      <w:bCs/>
                      <w:kern w:val="0"/>
                    </w:rPr>
                    <w:t>监测对象</w:t>
                  </w:r>
                </w:p>
              </w:tc>
              <w:tc>
                <w:tcPr>
                  <w:tcW w:w="1286" w:type="dxa"/>
                  <w:noWrap w:val="0"/>
                  <w:vAlign w:val="center"/>
                </w:tcPr>
                <w:p>
                  <w:pPr>
                    <w:jc w:val="center"/>
                    <w:rPr>
                      <w:b/>
                      <w:bCs/>
                      <w:kern w:val="0"/>
                    </w:rPr>
                  </w:pPr>
                  <w:r>
                    <w:rPr>
                      <w:b/>
                      <w:bCs/>
                      <w:kern w:val="0"/>
                    </w:rPr>
                    <w:t>监测点位</w:t>
                  </w:r>
                </w:p>
              </w:tc>
              <w:tc>
                <w:tcPr>
                  <w:tcW w:w="1434" w:type="dxa"/>
                  <w:noWrap w:val="0"/>
                  <w:vAlign w:val="center"/>
                </w:tcPr>
                <w:p>
                  <w:pPr>
                    <w:jc w:val="center"/>
                    <w:rPr>
                      <w:b/>
                      <w:bCs/>
                      <w:kern w:val="0"/>
                    </w:rPr>
                  </w:pPr>
                  <w:r>
                    <w:rPr>
                      <w:b/>
                      <w:bCs/>
                      <w:kern w:val="0"/>
                    </w:rPr>
                    <w:t>监测指标</w:t>
                  </w:r>
                </w:p>
              </w:tc>
              <w:tc>
                <w:tcPr>
                  <w:tcW w:w="1348" w:type="dxa"/>
                  <w:noWrap w:val="0"/>
                  <w:vAlign w:val="center"/>
                </w:tcPr>
                <w:p>
                  <w:pPr>
                    <w:jc w:val="center"/>
                    <w:rPr>
                      <w:b/>
                      <w:bCs/>
                      <w:kern w:val="0"/>
                    </w:rPr>
                  </w:pPr>
                  <w:r>
                    <w:rPr>
                      <w:b/>
                      <w:bCs/>
                      <w:kern w:val="0"/>
                    </w:rPr>
                    <w:t>监测频次</w:t>
                  </w:r>
                </w:p>
              </w:tc>
              <w:tc>
                <w:tcPr>
                  <w:tcW w:w="3173" w:type="dxa"/>
                  <w:noWrap w:val="0"/>
                  <w:vAlign w:val="center"/>
                </w:tcPr>
                <w:p>
                  <w:pPr>
                    <w:jc w:val="center"/>
                    <w:rPr>
                      <w:b/>
                      <w:bCs/>
                    </w:rPr>
                  </w:pPr>
                  <w:r>
                    <w:rPr>
                      <w:b/>
                      <w:bCs/>
                      <w:kern w:val="0"/>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1142" w:type="dxa"/>
                  <w:noWrap w:val="0"/>
                  <w:vAlign w:val="center"/>
                </w:tcPr>
                <w:p>
                  <w:pPr>
                    <w:autoSpaceDE w:val="0"/>
                    <w:autoSpaceDN w:val="0"/>
                    <w:adjustRightInd w:val="0"/>
                    <w:jc w:val="center"/>
                    <w:rPr>
                      <w:kern w:val="0"/>
                    </w:rPr>
                  </w:pPr>
                  <w:r>
                    <w:rPr>
                      <w:kern w:val="0"/>
                    </w:rPr>
                    <w:t>噪声</w:t>
                  </w:r>
                </w:p>
              </w:tc>
              <w:tc>
                <w:tcPr>
                  <w:tcW w:w="1286" w:type="dxa"/>
                  <w:noWrap w:val="0"/>
                  <w:vAlign w:val="center"/>
                </w:tcPr>
                <w:p>
                  <w:pPr>
                    <w:autoSpaceDE w:val="0"/>
                    <w:autoSpaceDN w:val="0"/>
                    <w:adjustRightInd w:val="0"/>
                    <w:jc w:val="center"/>
                    <w:rPr>
                      <w:kern w:val="0"/>
                    </w:rPr>
                  </w:pPr>
                  <w:r>
                    <w:rPr>
                      <w:kern w:val="0"/>
                    </w:rPr>
                    <w:t>厂界噪声</w:t>
                  </w:r>
                </w:p>
              </w:tc>
              <w:tc>
                <w:tcPr>
                  <w:tcW w:w="1434" w:type="dxa"/>
                  <w:noWrap w:val="0"/>
                  <w:vAlign w:val="center"/>
                </w:tcPr>
                <w:p>
                  <w:pPr>
                    <w:jc w:val="center"/>
                    <w:rPr>
                      <w:kern w:val="0"/>
                    </w:rPr>
                  </w:pPr>
                  <w:r>
                    <w:rPr>
                      <w:kern w:val="0"/>
                    </w:rPr>
                    <w:t>LAeq</w:t>
                  </w:r>
                </w:p>
              </w:tc>
              <w:tc>
                <w:tcPr>
                  <w:tcW w:w="1348" w:type="dxa"/>
                  <w:noWrap w:val="0"/>
                  <w:vAlign w:val="center"/>
                </w:tcPr>
                <w:p>
                  <w:pPr>
                    <w:jc w:val="center"/>
                  </w:pPr>
                  <w:r>
                    <w:rPr>
                      <w:kern w:val="0"/>
                    </w:rPr>
                    <w:t>每季度一次</w:t>
                  </w:r>
                </w:p>
              </w:tc>
              <w:tc>
                <w:tcPr>
                  <w:tcW w:w="3173" w:type="dxa"/>
                  <w:noWrap w:val="0"/>
                  <w:vAlign w:val="center"/>
                </w:tcPr>
                <w:p>
                  <w:pPr>
                    <w:jc w:val="center"/>
                  </w:pPr>
                  <w:r>
                    <w:rPr>
                      <w:kern w:val="0"/>
                    </w:rPr>
                    <w:t>《工业企业厂界环境噪声排放标准》（GB12348-2008）</w:t>
                  </w:r>
                  <w:r>
                    <w:rPr>
                      <w:rFonts w:hint="eastAsia"/>
                      <w:kern w:val="0"/>
                    </w:rPr>
                    <w:t>3</w:t>
                  </w:r>
                  <w:r>
                    <w:rPr>
                      <w:kern w:val="0"/>
                    </w:rPr>
                    <w:t>类标准</w:t>
                  </w:r>
                </w:p>
              </w:tc>
            </w:tr>
          </w:tbl>
          <w:p>
            <w:pPr>
              <w:spacing w:line="360" w:lineRule="auto"/>
              <w:ind w:firstLine="420" w:firstLineChars="200"/>
              <w:jc w:val="left"/>
              <w:rPr>
                <w:rFonts w:hint="eastAsia"/>
                <w:kern w:val="0"/>
              </w:rPr>
            </w:pPr>
          </w:p>
          <w:p>
            <w:pPr>
              <w:spacing w:line="360" w:lineRule="auto"/>
              <w:ind w:firstLine="480" w:firstLineChars="200"/>
              <w:jc w:val="left"/>
              <w:rPr>
                <w:kern w:val="0"/>
                <w:sz w:val="24"/>
                <w:szCs w:val="32"/>
              </w:rPr>
            </w:pPr>
            <w:r>
              <w:rPr>
                <w:rFonts w:hint="eastAsia"/>
                <w:kern w:val="0"/>
                <w:sz w:val="24"/>
                <w:szCs w:val="32"/>
                <w:lang w:eastAsia="zh-CN"/>
              </w:rPr>
              <w:t>（</w:t>
            </w:r>
            <w:r>
              <w:rPr>
                <w:rFonts w:hint="eastAsia"/>
                <w:kern w:val="0"/>
                <w:sz w:val="24"/>
                <w:szCs w:val="32"/>
                <w:lang w:val="en-US" w:eastAsia="zh-CN"/>
              </w:rPr>
              <w:t>2</w:t>
            </w:r>
            <w:r>
              <w:rPr>
                <w:rFonts w:hint="eastAsia"/>
                <w:kern w:val="0"/>
                <w:sz w:val="24"/>
                <w:szCs w:val="32"/>
                <w:lang w:eastAsia="zh-CN"/>
              </w:rPr>
              <w:t>）</w:t>
            </w:r>
            <w:r>
              <w:rPr>
                <w:sz w:val="24"/>
                <w:szCs w:val="32"/>
              </w:rPr>
              <w:t>“三同时”验收监测计划</w:t>
            </w:r>
          </w:p>
          <w:p>
            <w:pPr>
              <w:spacing w:line="360" w:lineRule="auto"/>
              <w:ind w:firstLine="480" w:firstLineChars="200"/>
              <w:rPr>
                <w:sz w:val="24"/>
                <w:szCs w:val="32"/>
              </w:rPr>
            </w:pPr>
            <w:r>
              <w:rPr>
                <w:sz w:val="24"/>
                <w:szCs w:val="32"/>
              </w:rPr>
              <w:t>根据《建设项目竣工环境保护验收技术指南 污染影响类》，</w:t>
            </w:r>
            <w:r>
              <w:rPr>
                <w:bCs/>
                <w:sz w:val="24"/>
                <w:szCs w:val="32"/>
              </w:rPr>
              <w:t>建设项目需针对噪声污染源制定验收监测计划。</w:t>
            </w:r>
            <w:r>
              <w:rPr>
                <w:sz w:val="24"/>
                <w:szCs w:val="32"/>
              </w:rPr>
              <w:t>本项目噪声监测点、监测项目及监测频次</w:t>
            </w:r>
            <w:r>
              <w:rPr>
                <w:bCs/>
                <w:sz w:val="24"/>
                <w:szCs w:val="32"/>
              </w:rPr>
              <w:t>见下表。</w:t>
            </w:r>
          </w:p>
          <w:p>
            <w:pPr>
              <w:tabs>
                <w:tab w:val="left" w:pos="1593"/>
              </w:tabs>
              <w:adjustRightInd w:val="0"/>
              <w:snapToGrid w:val="0"/>
              <w:spacing w:line="360" w:lineRule="auto"/>
              <w:ind w:firstLine="482" w:firstLineChars="200"/>
              <w:jc w:val="center"/>
              <w:rPr>
                <w:b/>
                <w:sz w:val="24"/>
                <w:szCs w:val="32"/>
              </w:rPr>
            </w:pPr>
            <w:r>
              <w:rPr>
                <w:b/>
                <w:sz w:val="24"/>
                <w:szCs w:val="32"/>
              </w:rPr>
              <w:t>表4-</w:t>
            </w:r>
            <w:r>
              <w:rPr>
                <w:rFonts w:hint="eastAsia"/>
                <w:b/>
                <w:sz w:val="24"/>
                <w:szCs w:val="32"/>
                <w:lang w:val="en-US" w:eastAsia="zh-CN"/>
              </w:rPr>
              <w:t>15</w:t>
            </w:r>
            <w:r>
              <w:rPr>
                <w:b/>
                <w:sz w:val="24"/>
                <w:szCs w:val="32"/>
              </w:rPr>
              <w:t>建设项目噪声验收监测方案</w:t>
            </w:r>
          </w:p>
          <w:tbl>
            <w:tblPr>
              <w:tblStyle w:val="30"/>
              <w:tblW w:w="83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848"/>
              <w:gridCol w:w="2737"/>
              <w:gridCol w:w="1340"/>
              <w:gridCol w:w="15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769" w:type="dxa"/>
                  <w:gridSpan w:val="2"/>
                  <w:noWrap w:val="0"/>
                  <w:vAlign w:val="center"/>
                </w:tcPr>
                <w:p>
                  <w:pPr>
                    <w:pStyle w:val="66"/>
                    <w:rPr>
                      <w:b/>
                    </w:rPr>
                  </w:pPr>
                  <w:r>
                    <w:rPr>
                      <w:b/>
                    </w:rPr>
                    <w:t>监测点位置</w:t>
                  </w:r>
                </w:p>
              </w:tc>
              <w:tc>
                <w:tcPr>
                  <w:tcW w:w="2737" w:type="dxa"/>
                  <w:noWrap w:val="0"/>
                  <w:vAlign w:val="center"/>
                </w:tcPr>
                <w:p>
                  <w:pPr>
                    <w:pStyle w:val="66"/>
                    <w:rPr>
                      <w:b/>
                    </w:rPr>
                  </w:pPr>
                  <w:r>
                    <w:rPr>
                      <w:b/>
                    </w:rPr>
                    <w:t>监测项目</w:t>
                  </w:r>
                </w:p>
              </w:tc>
              <w:tc>
                <w:tcPr>
                  <w:tcW w:w="1340" w:type="dxa"/>
                  <w:noWrap w:val="0"/>
                  <w:vAlign w:val="center"/>
                </w:tcPr>
                <w:p>
                  <w:pPr>
                    <w:pStyle w:val="66"/>
                    <w:rPr>
                      <w:b/>
                    </w:rPr>
                  </w:pPr>
                  <w:r>
                    <w:rPr>
                      <w:b/>
                    </w:rPr>
                    <w:t>监测频次</w:t>
                  </w:r>
                </w:p>
              </w:tc>
              <w:tc>
                <w:tcPr>
                  <w:tcW w:w="1537" w:type="dxa"/>
                  <w:noWrap w:val="0"/>
                  <w:vAlign w:val="center"/>
                </w:tcPr>
                <w:p>
                  <w:pPr>
                    <w:pStyle w:val="66"/>
                    <w:rPr>
                      <w:b/>
                    </w:rPr>
                  </w:pPr>
                  <w:r>
                    <w:rPr>
                      <w:b/>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21" w:type="dxa"/>
                  <w:noWrap w:val="0"/>
                  <w:vAlign w:val="center"/>
                </w:tcPr>
                <w:p>
                  <w:pPr>
                    <w:pStyle w:val="66"/>
                  </w:pPr>
                  <w:r>
                    <w:t>噪声</w:t>
                  </w:r>
                </w:p>
              </w:tc>
              <w:tc>
                <w:tcPr>
                  <w:tcW w:w="1848" w:type="dxa"/>
                  <w:noWrap w:val="0"/>
                  <w:vAlign w:val="center"/>
                </w:tcPr>
                <w:p>
                  <w:pPr>
                    <w:pStyle w:val="66"/>
                  </w:pPr>
                  <w:r>
                    <w:t>厂界</w:t>
                  </w:r>
                </w:p>
              </w:tc>
              <w:tc>
                <w:tcPr>
                  <w:tcW w:w="2737" w:type="dxa"/>
                  <w:noWrap w:val="0"/>
                  <w:vAlign w:val="center"/>
                </w:tcPr>
                <w:p>
                  <w:pPr>
                    <w:pStyle w:val="66"/>
                  </w:pPr>
                  <w:r>
                    <w:t>等效声级Leq（A）</w:t>
                  </w:r>
                </w:p>
              </w:tc>
              <w:tc>
                <w:tcPr>
                  <w:tcW w:w="1340" w:type="dxa"/>
                  <w:noWrap w:val="0"/>
                  <w:vAlign w:val="center"/>
                </w:tcPr>
                <w:p>
                  <w:pPr>
                    <w:pStyle w:val="66"/>
                  </w:pPr>
                  <w:r>
                    <w:rPr>
                      <w:bCs/>
                    </w:rPr>
                    <w:t>2天×1次/天</w:t>
                  </w:r>
                </w:p>
              </w:tc>
              <w:tc>
                <w:tcPr>
                  <w:tcW w:w="1537" w:type="dxa"/>
                  <w:noWrap w:val="0"/>
                  <w:vAlign w:val="center"/>
                </w:tcPr>
                <w:p>
                  <w:pPr>
                    <w:pStyle w:val="66"/>
                  </w:pPr>
                  <w:r>
                    <w:t>昼间1次/天</w:t>
                  </w:r>
                  <w:r>
                    <w:rPr>
                      <w:rFonts w:hint="eastAsia"/>
                      <w:lang w:eastAsia="zh-CN"/>
                    </w:rPr>
                    <w:t>、</w:t>
                  </w:r>
                  <w:r>
                    <w:rPr>
                      <w:rFonts w:hint="eastAsia"/>
                      <w:lang w:val="en-US" w:eastAsia="zh-CN"/>
                    </w:rPr>
                    <w:t>夜间</w:t>
                  </w:r>
                  <w:r>
                    <w:t>1次/天</w:t>
                  </w:r>
                </w:p>
              </w:tc>
            </w:tr>
          </w:tbl>
          <w:p>
            <w:pPr>
              <w:pStyle w:val="13"/>
              <w:spacing w:before="0" w:after="0" w:line="240" w:lineRule="auto"/>
              <w:ind w:right="0"/>
            </w:pPr>
          </w:p>
          <w:p>
            <w:pPr>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四</w:t>
            </w:r>
            <w:r>
              <w:rPr>
                <w:rFonts w:hint="eastAsia"/>
                <w:b/>
                <w:bCs/>
                <w:sz w:val="24"/>
                <w:szCs w:val="24"/>
                <w:lang w:eastAsia="zh-CN"/>
              </w:rPr>
              <w:t>）</w:t>
            </w:r>
            <w:r>
              <w:rPr>
                <w:rFonts w:hint="eastAsia"/>
                <w:b/>
                <w:bCs/>
                <w:sz w:val="24"/>
                <w:szCs w:val="24"/>
              </w:rPr>
              <w:t>固体废物</w:t>
            </w:r>
          </w:p>
          <w:p>
            <w:pPr>
              <w:adjustRightInd w:val="0"/>
              <w:snapToGrid w:val="0"/>
              <w:spacing w:line="360" w:lineRule="auto"/>
              <w:ind w:firstLine="480" w:firstLineChars="200"/>
              <w:rPr>
                <w:sz w:val="24"/>
                <w:szCs w:val="24"/>
              </w:rPr>
            </w:pPr>
            <w:r>
              <w:rPr>
                <w:sz w:val="24"/>
                <w:szCs w:val="24"/>
              </w:rPr>
              <w:t>根据《建设项目危险废物环境影响评价指南》对项目生产过程中产生的各类固体废物进行分析。</w:t>
            </w:r>
          </w:p>
          <w:p>
            <w:pPr>
              <w:spacing w:line="360" w:lineRule="auto"/>
              <w:ind w:firstLine="482" w:firstLineChars="200"/>
              <w:rPr>
                <w:b/>
                <w:bCs/>
                <w:sz w:val="24"/>
                <w:szCs w:val="24"/>
              </w:rPr>
            </w:pPr>
            <w:r>
              <w:rPr>
                <w:rFonts w:hint="eastAsia"/>
                <w:b/>
                <w:bCs/>
                <w:sz w:val="24"/>
                <w:szCs w:val="24"/>
                <w:lang w:val="en-US" w:eastAsia="zh-CN"/>
              </w:rPr>
              <w:t>1.</w:t>
            </w:r>
            <w:r>
              <w:rPr>
                <w:rFonts w:hint="eastAsia"/>
                <w:b/>
                <w:bCs/>
                <w:sz w:val="24"/>
                <w:szCs w:val="24"/>
              </w:rPr>
              <w:t>废弃物产生情况分析</w:t>
            </w:r>
          </w:p>
          <w:p>
            <w:pPr>
              <w:spacing w:line="360" w:lineRule="auto"/>
              <w:ind w:firstLine="480" w:firstLineChars="200"/>
              <w:rPr>
                <w:sz w:val="24"/>
                <w:szCs w:val="24"/>
              </w:rPr>
            </w:pPr>
            <w:r>
              <w:rPr>
                <w:rFonts w:hint="eastAsia"/>
                <w:sz w:val="24"/>
                <w:szCs w:val="24"/>
              </w:rPr>
              <w:t>建设项目废弃物主要为</w:t>
            </w:r>
            <w:r>
              <w:rPr>
                <w:rFonts w:hint="eastAsia"/>
                <w:sz w:val="24"/>
                <w:szCs w:val="24"/>
                <w:lang w:val="en-US" w:eastAsia="zh-CN"/>
              </w:rPr>
              <w:t>残次品</w:t>
            </w:r>
            <w:r>
              <w:rPr>
                <w:rFonts w:hint="eastAsia"/>
                <w:sz w:val="24"/>
                <w:szCs w:val="24"/>
              </w:rPr>
              <w:t>、</w:t>
            </w:r>
            <w:r>
              <w:rPr>
                <w:rFonts w:hint="eastAsia"/>
                <w:sz w:val="24"/>
                <w:szCs w:val="24"/>
                <w:lang w:val="en-US" w:eastAsia="zh-CN"/>
              </w:rPr>
              <w:t>废</w:t>
            </w:r>
            <w:r>
              <w:rPr>
                <w:rFonts w:hint="eastAsia"/>
                <w:sz w:val="24"/>
                <w:szCs w:val="24"/>
              </w:rPr>
              <w:t>包装材料</w:t>
            </w:r>
            <w:r>
              <w:rPr>
                <w:rFonts w:hint="eastAsia"/>
                <w:sz w:val="24"/>
                <w:szCs w:val="24"/>
                <w:lang w:eastAsia="zh-CN"/>
              </w:rPr>
              <w:t>、</w:t>
            </w:r>
            <w:r>
              <w:rPr>
                <w:rFonts w:hint="eastAsia"/>
                <w:sz w:val="24"/>
                <w:szCs w:val="24"/>
                <w:lang w:val="en-US" w:eastAsia="zh-CN"/>
              </w:rPr>
              <w:t>废抹布手套、废机油、空压机含油废水</w:t>
            </w:r>
            <w:r>
              <w:rPr>
                <w:rFonts w:hint="eastAsia"/>
                <w:sz w:val="24"/>
                <w:szCs w:val="24"/>
              </w:rPr>
              <w:t>和生活垃圾。</w:t>
            </w:r>
          </w:p>
          <w:p>
            <w:pPr>
              <w:spacing w:line="360" w:lineRule="auto"/>
              <w:ind w:firstLine="480" w:firstLineChars="200"/>
              <w:rPr>
                <w:rFonts w:hint="eastAsia"/>
                <w:kern w:val="24"/>
                <w:sz w:val="24"/>
                <w:szCs w:val="32"/>
              </w:rPr>
            </w:pPr>
            <w:r>
              <w:rPr>
                <w:rFonts w:hint="eastAsia"/>
                <w:kern w:val="24"/>
                <w:sz w:val="24"/>
                <w:szCs w:val="32"/>
              </w:rPr>
              <w:t>生活垃圾</w:t>
            </w:r>
            <w:r>
              <w:rPr>
                <w:rFonts w:hint="eastAsia"/>
                <w:kern w:val="24"/>
                <w:sz w:val="24"/>
                <w:szCs w:val="32"/>
                <w:lang w:eastAsia="zh-CN"/>
              </w:rPr>
              <w:t>：</w:t>
            </w:r>
            <w:r>
              <w:rPr>
                <w:rFonts w:hint="eastAsia"/>
                <w:kern w:val="24"/>
                <w:sz w:val="24"/>
                <w:szCs w:val="32"/>
              </w:rPr>
              <w:t>本项目建成投产后，共需职工</w:t>
            </w:r>
            <w:r>
              <w:rPr>
                <w:rFonts w:hint="eastAsia"/>
                <w:kern w:val="24"/>
                <w:sz w:val="24"/>
                <w:szCs w:val="32"/>
                <w:lang w:val="en-US" w:eastAsia="zh-CN"/>
              </w:rPr>
              <w:t>20</w:t>
            </w:r>
            <w:r>
              <w:rPr>
                <w:rFonts w:hint="eastAsia"/>
                <w:kern w:val="24"/>
                <w:sz w:val="24"/>
                <w:szCs w:val="32"/>
              </w:rPr>
              <w:t>人，按每人每天产生生活垃圾和办公垃圾0.5kg计，项目产生生活垃圾</w:t>
            </w:r>
            <w:r>
              <w:rPr>
                <w:rFonts w:hint="eastAsia"/>
                <w:kern w:val="24"/>
                <w:sz w:val="24"/>
                <w:szCs w:val="32"/>
                <w:lang w:val="en-US" w:eastAsia="zh-CN"/>
              </w:rPr>
              <w:t>3</w:t>
            </w:r>
            <w:r>
              <w:rPr>
                <w:rFonts w:hint="eastAsia"/>
                <w:kern w:val="24"/>
                <w:sz w:val="24"/>
                <w:szCs w:val="32"/>
              </w:rPr>
              <w:t>t/a，委托环卫清运。</w:t>
            </w:r>
          </w:p>
          <w:p>
            <w:pPr>
              <w:spacing w:line="360" w:lineRule="auto"/>
              <w:ind w:firstLine="480" w:firstLineChars="200"/>
              <w:rPr>
                <w:kern w:val="24"/>
                <w:sz w:val="24"/>
                <w:szCs w:val="32"/>
              </w:rPr>
            </w:pPr>
            <w:r>
              <w:rPr>
                <w:rFonts w:hint="eastAsia"/>
                <w:sz w:val="24"/>
                <w:szCs w:val="32"/>
                <w:lang w:val="en-US" w:eastAsia="zh-CN"/>
              </w:rPr>
              <w:t>残次品</w:t>
            </w:r>
            <w:r>
              <w:rPr>
                <w:rFonts w:hint="eastAsia"/>
                <w:sz w:val="24"/>
                <w:szCs w:val="32"/>
              </w:rPr>
              <w:t>：</w:t>
            </w:r>
            <w:r>
              <w:rPr>
                <w:rFonts w:hint="eastAsia"/>
                <w:sz w:val="24"/>
                <w:szCs w:val="32"/>
                <w:lang w:val="en-US" w:eastAsia="zh-CN"/>
              </w:rPr>
              <w:t>检验</w:t>
            </w:r>
            <w:r>
              <w:rPr>
                <w:rFonts w:hint="eastAsia"/>
                <w:sz w:val="24"/>
                <w:szCs w:val="32"/>
              </w:rPr>
              <w:t>过程会产生</w:t>
            </w:r>
            <w:r>
              <w:rPr>
                <w:rFonts w:hint="eastAsia"/>
                <w:sz w:val="24"/>
                <w:szCs w:val="32"/>
                <w:lang w:val="en-US" w:eastAsia="zh-CN"/>
              </w:rPr>
              <w:t>残次品</w:t>
            </w:r>
            <w:r>
              <w:rPr>
                <w:rFonts w:hint="eastAsia"/>
                <w:sz w:val="24"/>
                <w:szCs w:val="32"/>
              </w:rPr>
              <w:t>，产生量约为</w:t>
            </w:r>
            <w:r>
              <w:rPr>
                <w:rFonts w:hint="eastAsia"/>
                <w:sz w:val="24"/>
                <w:szCs w:val="32"/>
                <w:lang w:val="en-US" w:eastAsia="zh-CN"/>
              </w:rPr>
              <w:t>5</w:t>
            </w:r>
            <w:r>
              <w:rPr>
                <w:rFonts w:hint="eastAsia"/>
                <w:sz w:val="24"/>
                <w:szCs w:val="32"/>
              </w:rPr>
              <w:t>t/a，主要成分为</w:t>
            </w:r>
            <w:r>
              <w:rPr>
                <w:rFonts w:hint="eastAsia"/>
                <w:sz w:val="24"/>
                <w:szCs w:val="32"/>
                <w:lang w:val="en-US" w:eastAsia="zh-CN"/>
              </w:rPr>
              <w:t>EPP</w:t>
            </w:r>
            <w:r>
              <w:rPr>
                <w:rFonts w:hint="eastAsia"/>
                <w:sz w:val="24"/>
                <w:szCs w:val="32"/>
              </w:rPr>
              <w:t>，属于一般工业固废，</w:t>
            </w:r>
            <w:r>
              <w:rPr>
                <w:rFonts w:hint="eastAsia"/>
                <w:kern w:val="24"/>
                <w:sz w:val="24"/>
                <w:szCs w:val="32"/>
              </w:rPr>
              <w:t>集中收集后</w:t>
            </w:r>
            <w:r>
              <w:rPr>
                <w:rFonts w:hint="eastAsia"/>
                <w:kern w:val="24"/>
                <w:sz w:val="24"/>
                <w:szCs w:val="32"/>
                <w:lang w:val="en-US" w:eastAsia="zh-CN"/>
              </w:rPr>
              <w:t>委托利用</w:t>
            </w:r>
            <w:r>
              <w:rPr>
                <w:rFonts w:hint="eastAsia"/>
                <w:kern w:val="24"/>
                <w:sz w:val="24"/>
                <w:szCs w:val="32"/>
              </w:rPr>
              <w:t>；</w:t>
            </w:r>
          </w:p>
          <w:p>
            <w:pPr>
              <w:spacing w:line="360" w:lineRule="auto"/>
              <w:ind w:firstLine="480" w:firstLineChars="200"/>
              <w:rPr>
                <w:kern w:val="24"/>
                <w:sz w:val="24"/>
                <w:szCs w:val="32"/>
              </w:rPr>
            </w:pPr>
            <w:r>
              <w:rPr>
                <w:rFonts w:hint="eastAsia"/>
                <w:kern w:val="24"/>
                <w:sz w:val="24"/>
                <w:szCs w:val="32"/>
                <w:lang w:val="en-US" w:eastAsia="zh-CN"/>
              </w:rPr>
              <w:t>废</w:t>
            </w:r>
            <w:r>
              <w:rPr>
                <w:rFonts w:hint="eastAsia"/>
                <w:kern w:val="24"/>
                <w:sz w:val="24"/>
                <w:szCs w:val="32"/>
              </w:rPr>
              <w:t>包装材料：</w:t>
            </w:r>
            <w:r>
              <w:rPr>
                <w:rFonts w:hint="eastAsia"/>
                <w:kern w:val="24"/>
                <w:sz w:val="24"/>
                <w:szCs w:val="32"/>
                <w:lang w:val="en-US" w:eastAsia="zh-CN"/>
              </w:rPr>
              <w:t>原材料</w:t>
            </w:r>
            <w:r>
              <w:rPr>
                <w:rFonts w:hint="eastAsia"/>
                <w:kern w:val="24"/>
                <w:sz w:val="24"/>
                <w:szCs w:val="32"/>
              </w:rPr>
              <w:t>拆包过程产生</w:t>
            </w:r>
            <w:r>
              <w:rPr>
                <w:rFonts w:hint="eastAsia"/>
                <w:kern w:val="24"/>
                <w:sz w:val="24"/>
                <w:szCs w:val="32"/>
                <w:lang w:val="en-US" w:eastAsia="zh-CN"/>
              </w:rPr>
              <w:t>废</w:t>
            </w:r>
            <w:r>
              <w:rPr>
                <w:rFonts w:hint="eastAsia"/>
                <w:kern w:val="24"/>
                <w:sz w:val="24"/>
                <w:szCs w:val="32"/>
              </w:rPr>
              <w:t>包装材料，产生量为</w:t>
            </w:r>
            <w:r>
              <w:rPr>
                <w:rFonts w:hint="eastAsia"/>
                <w:kern w:val="24"/>
                <w:sz w:val="24"/>
                <w:szCs w:val="32"/>
                <w:lang w:val="en-US" w:eastAsia="zh-CN"/>
              </w:rPr>
              <w:t>0.5</w:t>
            </w:r>
            <w:r>
              <w:rPr>
                <w:rFonts w:hint="eastAsia"/>
                <w:kern w:val="24"/>
                <w:sz w:val="24"/>
                <w:szCs w:val="32"/>
              </w:rPr>
              <w:t>t/a，</w:t>
            </w:r>
            <w:r>
              <w:rPr>
                <w:rFonts w:hint="eastAsia"/>
                <w:sz w:val="24"/>
                <w:szCs w:val="32"/>
              </w:rPr>
              <w:t>主要成分为塑料绑带、塑料袋，属于一般工业固废，</w:t>
            </w:r>
            <w:r>
              <w:rPr>
                <w:rFonts w:hint="eastAsia"/>
                <w:kern w:val="24"/>
                <w:sz w:val="24"/>
                <w:szCs w:val="32"/>
              </w:rPr>
              <w:t>集中收集后</w:t>
            </w:r>
            <w:r>
              <w:rPr>
                <w:rFonts w:hint="eastAsia"/>
                <w:kern w:val="24"/>
                <w:sz w:val="24"/>
                <w:szCs w:val="32"/>
                <w:lang w:val="en-US" w:eastAsia="zh-CN"/>
              </w:rPr>
              <w:t>委托利用</w:t>
            </w:r>
            <w:r>
              <w:rPr>
                <w:rFonts w:hint="eastAsia"/>
                <w:kern w:val="24"/>
                <w:sz w:val="24"/>
                <w:szCs w:val="32"/>
              </w:rPr>
              <w:t>；</w:t>
            </w:r>
          </w:p>
          <w:p>
            <w:pPr>
              <w:spacing w:line="360" w:lineRule="auto"/>
              <w:ind w:firstLine="480" w:firstLineChars="200"/>
              <w:rPr>
                <w:rFonts w:hint="eastAsia"/>
                <w:kern w:val="24"/>
                <w:sz w:val="24"/>
                <w:szCs w:val="32"/>
              </w:rPr>
            </w:pPr>
            <w:r>
              <w:rPr>
                <w:rFonts w:hint="eastAsia"/>
                <w:kern w:val="24"/>
                <w:sz w:val="24"/>
                <w:szCs w:val="32"/>
                <w:lang w:val="en-US" w:eastAsia="zh-CN"/>
              </w:rPr>
              <w:t>废抹布手套：设备润滑及维护过程产生废抹布手套，</w:t>
            </w:r>
            <w:r>
              <w:rPr>
                <w:rFonts w:hint="eastAsia"/>
                <w:kern w:val="24"/>
                <w:sz w:val="24"/>
                <w:szCs w:val="32"/>
              </w:rPr>
              <w:t>产生量为0.0</w:t>
            </w:r>
            <w:r>
              <w:rPr>
                <w:rFonts w:hint="eastAsia"/>
                <w:kern w:val="24"/>
                <w:sz w:val="24"/>
                <w:szCs w:val="32"/>
                <w:lang w:val="en-US" w:eastAsia="zh-CN"/>
              </w:rPr>
              <w:t>1</w:t>
            </w:r>
            <w:r>
              <w:rPr>
                <w:rFonts w:hint="eastAsia"/>
                <w:kern w:val="24"/>
                <w:sz w:val="24"/>
                <w:szCs w:val="32"/>
              </w:rPr>
              <w:t>t/a</w:t>
            </w:r>
            <w:r>
              <w:rPr>
                <w:rFonts w:hint="eastAsia"/>
                <w:sz w:val="24"/>
                <w:szCs w:val="32"/>
              </w:rPr>
              <w:t>，属于</w:t>
            </w:r>
            <w:r>
              <w:rPr>
                <w:rFonts w:hint="eastAsia"/>
                <w:sz w:val="24"/>
                <w:szCs w:val="32"/>
                <w:lang w:val="en-US" w:eastAsia="zh-CN"/>
              </w:rPr>
              <w:t>危险废物</w:t>
            </w:r>
            <w:r>
              <w:rPr>
                <w:rFonts w:hint="eastAsia"/>
                <w:sz w:val="24"/>
                <w:szCs w:val="32"/>
              </w:rPr>
              <w:t>，</w:t>
            </w:r>
            <w:r>
              <w:rPr>
                <w:rFonts w:hint="eastAsia"/>
                <w:kern w:val="24"/>
                <w:sz w:val="24"/>
                <w:szCs w:val="32"/>
              </w:rPr>
              <w:t>集中收集后</w:t>
            </w:r>
            <w:r>
              <w:rPr>
                <w:rFonts w:hint="eastAsia"/>
                <w:kern w:val="24"/>
                <w:sz w:val="24"/>
                <w:szCs w:val="32"/>
                <w:lang w:val="en-US" w:eastAsia="zh-CN"/>
              </w:rPr>
              <w:t>委托处置</w:t>
            </w:r>
            <w:r>
              <w:rPr>
                <w:rFonts w:hint="eastAsia"/>
                <w:kern w:val="24"/>
                <w:sz w:val="24"/>
                <w:szCs w:val="32"/>
              </w:rPr>
              <w:t>。</w:t>
            </w:r>
          </w:p>
          <w:p>
            <w:pPr>
              <w:spacing w:line="360" w:lineRule="auto"/>
              <w:ind w:firstLine="480" w:firstLineChars="200"/>
              <w:rPr>
                <w:rFonts w:hint="eastAsia"/>
                <w:kern w:val="24"/>
                <w:sz w:val="24"/>
                <w:szCs w:val="32"/>
              </w:rPr>
            </w:pPr>
            <w:r>
              <w:rPr>
                <w:rFonts w:hint="eastAsia"/>
                <w:kern w:val="24"/>
                <w:sz w:val="24"/>
                <w:szCs w:val="32"/>
                <w:lang w:val="en-US" w:eastAsia="zh-CN"/>
              </w:rPr>
              <w:t>废机油：设备润滑及维护过程产生废机油，</w:t>
            </w:r>
            <w:r>
              <w:rPr>
                <w:rFonts w:hint="eastAsia"/>
                <w:kern w:val="24"/>
                <w:sz w:val="24"/>
                <w:szCs w:val="32"/>
              </w:rPr>
              <w:t>产生量为0.0</w:t>
            </w:r>
            <w:r>
              <w:rPr>
                <w:rFonts w:hint="eastAsia"/>
                <w:kern w:val="24"/>
                <w:sz w:val="24"/>
                <w:szCs w:val="32"/>
                <w:lang w:val="en-US" w:eastAsia="zh-CN"/>
              </w:rPr>
              <w:t>1</w:t>
            </w:r>
            <w:r>
              <w:rPr>
                <w:rFonts w:hint="eastAsia"/>
                <w:kern w:val="24"/>
                <w:sz w:val="24"/>
                <w:szCs w:val="32"/>
              </w:rPr>
              <w:t>t/a</w:t>
            </w:r>
            <w:r>
              <w:rPr>
                <w:rFonts w:hint="eastAsia"/>
                <w:sz w:val="24"/>
                <w:szCs w:val="32"/>
              </w:rPr>
              <w:t>，属于</w:t>
            </w:r>
            <w:r>
              <w:rPr>
                <w:rFonts w:hint="eastAsia"/>
                <w:sz w:val="24"/>
                <w:szCs w:val="32"/>
                <w:lang w:val="en-US" w:eastAsia="zh-CN"/>
              </w:rPr>
              <w:t>危险废物</w:t>
            </w:r>
            <w:r>
              <w:rPr>
                <w:rFonts w:hint="eastAsia"/>
                <w:sz w:val="24"/>
                <w:szCs w:val="32"/>
              </w:rPr>
              <w:t>，</w:t>
            </w:r>
            <w:r>
              <w:rPr>
                <w:rFonts w:hint="eastAsia"/>
                <w:kern w:val="24"/>
                <w:sz w:val="24"/>
                <w:szCs w:val="32"/>
              </w:rPr>
              <w:t>集中收集后</w:t>
            </w:r>
            <w:r>
              <w:rPr>
                <w:rFonts w:hint="eastAsia"/>
                <w:kern w:val="24"/>
                <w:sz w:val="24"/>
                <w:szCs w:val="32"/>
                <w:lang w:val="en-US" w:eastAsia="zh-CN"/>
              </w:rPr>
              <w:t>委托处置</w:t>
            </w:r>
            <w:r>
              <w:rPr>
                <w:rFonts w:hint="eastAsia"/>
                <w:kern w:val="24"/>
                <w:sz w:val="24"/>
                <w:szCs w:val="32"/>
              </w:rPr>
              <w:t>。</w:t>
            </w:r>
          </w:p>
          <w:p>
            <w:pPr>
              <w:spacing w:line="360" w:lineRule="auto"/>
              <w:ind w:firstLine="480" w:firstLineChars="200"/>
              <w:rPr>
                <w:rFonts w:hint="eastAsia"/>
                <w:kern w:val="24"/>
                <w:sz w:val="24"/>
                <w:szCs w:val="32"/>
              </w:rPr>
            </w:pPr>
            <w:r>
              <w:rPr>
                <w:rFonts w:hint="eastAsia"/>
                <w:sz w:val="24"/>
                <w:szCs w:val="24"/>
                <w:lang w:val="en-US" w:eastAsia="zh-CN"/>
              </w:rPr>
              <w:t>空压机含油废水</w:t>
            </w:r>
            <w:r>
              <w:rPr>
                <w:rFonts w:hint="eastAsia"/>
                <w:kern w:val="24"/>
                <w:sz w:val="24"/>
                <w:szCs w:val="32"/>
                <w:lang w:val="en-US" w:eastAsia="zh-CN"/>
              </w:rPr>
              <w:t>：</w:t>
            </w:r>
            <w:r>
              <w:rPr>
                <w:rFonts w:hint="eastAsia"/>
                <w:sz w:val="24"/>
                <w:szCs w:val="24"/>
                <w:lang w:val="en-US" w:eastAsia="zh-CN"/>
              </w:rPr>
              <w:t>空压机运行</w:t>
            </w:r>
            <w:r>
              <w:rPr>
                <w:rFonts w:hint="eastAsia"/>
                <w:kern w:val="24"/>
                <w:sz w:val="24"/>
                <w:szCs w:val="32"/>
                <w:lang w:val="en-US" w:eastAsia="zh-CN"/>
              </w:rPr>
              <w:t>过程产生含油废水，</w:t>
            </w:r>
            <w:r>
              <w:rPr>
                <w:rFonts w:hint="eastAsia"/>
                <w:kern w:val="24"/>
                <w:sz w:val="24"/>
                <w:szCs w:val="32"/>
              </w:rPr>
              <w:t>产生量</w:t>
            </w:r>
            <w:r>
              <w:rPr>
                <w:rFonts w:hint="eastAsia"/>
                <w:kern w:val="24"/>
                <w:sz w:val="24"/>
                <w:szCs w:val="32"/>
                <w:lang w:val="en-US" w:eastAsia="zh-CN"/>
              </w:rPr>
              <w:t>约</w:t>
            </w:r>
            <w:r>
              <w:rPr>
                <w:rFonts w:hint="eastAsia"/>
                <w:kern w:val="24"/>
                <w:sz w:val="24"/>
                <w:szCs w:val="32"/>
              </w:rPr>
              <w:t>为</w:t>
            </w:r>
            <w:r>
              <w:rPr>
                <w:rFonts w:hint="eastAsia"/>
                <w:kern w:val="24"/>
                <w:sz w:val="24"/>
                <w:szCs w:val="32"/>
                <w:lang w:val="en-US" w:eastAsia="zh-CN"/>
              </w:rPr>
              <w:t>0.5</w:t>
            </w:r>
            <w:r>
              <w:rPr>
                <w:rFonts w:hint="eastAsia"/>
                <w:kern w:val="24"/>
                <w:sz w:val="24"/>
                <w:szCs w:val="32"/>
              </w:rPr>
              <w:t>t/a</w:t>
            </w:r>
            <w:r>
              <w:rPr>
                <w:rFonts w:hint="eastAsia"/>
                <w:sz w:val="24"/>
                <w:szCs w:val="32"/>
              </w:rPr>
              <w:t>，属于</w:t>
            </w:r>
            <w:r>
              <w:rPr>
                <w:rFonts w:hint="eastAsia"/>
                <w:sz w:val="24"/>
                <w:szCs w:val="32"/>
                <w:lang w:val="en-US" w:eastAsia="zh-CN"/>
              </w:rPr>
              <w:t>危险废物</w:t>
            </w:r>
            <w:r>
              <w:rPr>
                <w:rFonts w:hint="eastAsia"/>
                <w:sz w:val="24"/>
                <w:szCs w:val="32"/>
              </w:rPr>
              <w:t>，</w:t>
            </w:r>
            <w:r>
              <w:rPr>
                <w:rFonts w:hint="eastAsia"/>
                <w:kern w:val="24"/>
                <w:sz w:val="24"/>
                <w:szCs w:val="32"/>
              </w:rPr>
              <w:t>集中收集后</w:t>
            </w:r>
            <w:r>
              <w:rPr>
                <w:rFonts w:hint="eastAsia"/>
                <w:kern w:val="24"/>
                <w:sz w:val="24"/>
                <w:szCs w:val="32"/>
                <w:lang w:val="en-US" w:eastAsia="zh-CN"/>
              </w:rPr>
              <w:t>委托处置</w:t>
            </w:r>
            <w:r>
              <w:rPr>
                <w:rFonts w:hint="eastAsia"/>
                <w:kern w:val="24"/>
                <w:sz w:val="24"/>
                <w:szCs w:val="32"/>
              </w:rPr>
              <w:t>。</w:t>
            </w:r>
          </w:p>
          <w:p>
            <w:pPr>
              <w:spacing w:line="360" w:lineRule="auto"/>
              <w:ind w:firstLine="482" w:firstLineChars="200"/>
              <w:rPr>
                <w:b/>
                <w:bCs/>
                <w:sz w:val="24"/>
                <w:szCs w:val="24"/>
              </w:rPr>
            </w:pPr>
            <w:r>
              <w:rPr>
                <w:rFonts w:hint="eastAsia"/>
                <w:b/>
                <w:bCs/>
                <w:sz w:val="24"/>
                <w:szCs w:val="24"/>
                <w:lang w:val="en-US" w:eastAsia="zh-CN"/>
              </w:rPr>
              <w:t>2.</w:t>
            </w:r>
            <w:r>
              <w:rPr>
                <w:rFonts w:hint="eastAsia"/>
                <w:b/>
                <w:bCs/>
                <w:sz w:val="24"/>
                <w:szCs w:val="24"/>
              </w:rPr>
              <w:t>废弃物属性判定</w:t>
            </w:r>
          </w:p>
          <w:p>
            <w:pPr>
              <w:snapToGrid w:val="0"/>
              <w:spacing w:line="360" w:lineRule="auto"/>
              <w:ind w:firstLine="482"/>
              <w:rPr>
                <w:b/>
                <w:sz w:val="24"/>
                <w:szCs w:val="24"/>
              </w:rPr>
            </w:pPr>
            <w:r>
              <w:rPr>
                <w:rFonts w:hint="eastAsia"/>
                <w:sz w:val="24"/>
                <w:szCs w:val="24"/>
              </w:rPr>
              <w:t>根据《固体废物鉴别标准 通则》（GB 34330-2017 ），判断项目生产过程中产生的废弃物是否属于固体废物，判定依据及结果见表4-1</w:t>
            </w:r>
            <w:r>
              <w:rPr>
                <w:rFonts w:hint="eastAsia"/>
                <w:sz w:val="24"/>
                <w:szCs w:val="24"/>
                <w:lang w:val="en-US" w:eastAsia="zh-CN"/>
              </w:rPr>
              <w:t>6</w:t>
            </w:r>
            <w:r>
              <w:rPr>
                <w:rFonts w:hint="eastAsia"/>
                <w:sz w:val="24"/>
                <w:szCs w:val="24"/>
              </w:rPr>
              <w:t>。</w:t>
            </w:r>
          </w:p>
          <w:p>
            <w:pPr>
              <w:pStyle w:val="15"/>
              <w:spacing w:line="360" w:lineRule="auto"/>
              <w:jc w:val="center"/>
              <w:rPr>
                <w:rFonts w:ascii="Times New Roman" w:hAnsi="Times New Roman"/>
                <w:b/>
                <w:sz w:val="24"/>
                <w:szCs w:val="24"/>
              </w:rPr>
            </w:pPr>
            <w:r>
              <w:rPr>
                <w:rFonts w:hint="eastAsia" w:ascii="Times New Roman" w:hAnsi="Times New Roman"/>
                <w:b/>
                <w:sz w:val="24"/>
                <w:szCs w:val="24"/>
              </w:rPr>
              <w:t>表4-1</w:t>
            </w:r>
            <w:r>
              <w:rPr>
                <w:rFonts w:hint="eastAsia" w:ascii="Times New Roman" w:hAnsi="Times New Roman"/>
                <w:b/>
                <w:sz w:val="24"/>
                <w:szCs w:val="24"/>
                <w:lang w:val="en-US" w:eastAsia="zh-CN"/>
              </w:rPr>
              <w:t>6</w:t>
            </w:r>
            <w:r>
              <w:rPr>
                <w:rFonts w:hint="eastAsia" w:ascii="Times New Roman" w:hAnsi="Times New Roman"/>
                <w:b/>
                <w:sz w:val="24"/>
                <w:szCs w:val="24"/>
              </w:rPr>
              <w:t xml:space="preserve"> 建设项目废弃物产生情况汇总表</w:t>
            </w:r>
          </w:p>
          <w:tbl>
            <w:tblPr>
              <w:tblStyle w:val="30"/>
              <w:tblW w:w="839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385"/>
              <w:gridCol w:w="1167"/>
              <w:gridCol w:w="1021"/>
              <w:gridCol w:w="421"/>
              <w:gridCol w:w="1723"/>
              <w:gridCol w:w="887"/>
              <w:gridCol w:w="650"/>
              <w:gridCol w:w="517"/>
              <w:gridCol w:w="16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124" w:hRule="atLeast"/>
                <w:jc w:val="center"/>
              </w:trPr>
              <w:tc>
                <w:tcPr>
                  <w:tcW w:w="385" w:type="dxa"/>
                  <w:vMerge w:val="restart"/>
                  <w:vAlign w:val="center"/>
                </w:tcPr>
                <w:p>
                  <w:pPr>
                    <w:jc w:val="center"/>
                    <w:rPr>
                      <w:b/>
                      <w:szCs w:val="21"/>
                    </w:rPr>
                  </w:pPr>
                  <w:r>
                    <w:rPr>
                      <w:rFonts w:hint="eastAsia"/>
                      <w:b/>
                      <w:szCs w:val="21"/>
                    </w:rPr>
                    <w:t>序号</w:t>
                  </w:r>
                </w:p>
              </w:tc>
              <w:tc>
                <w:tcPr>
                  <w:tcW w:w="1167" w:type="dxa"/>
                  <w:vMerge w:val="restart"/>
                  <w:vAlign w:val="center"/>
                </w:tcPr>
                <w:p>
                  <w:pPr>
                    <w:jc w:val="center"/>
                    <w:rPr>
                      <w:b/>
                      <w:szCs w:val="21"/>
                    </w:rPr>
                  </w:pPr>
                  <w:r>
                    <w:rPr>
                      <w:rFonts w:hint="eastAsia"/>
                      <w:b/>
                      <w:szCs w:val="21"/>
                    </w:rPr>
                    <w:t>废弃物名称</w:t>
                  </w:r>
                </w:p>
              </w:tc>
              <w:tc>
                <w:tcPr>
                  <w:tcW w:w="1021" w:type="dxa"/>
                  <w:vMerge w:val="restart"/>
                  <w:vAlign w:val="center"/>
                </w:tcPr>
                <w:p>
                  <w:pPr>
                    <w:jc w:val="center"/>
                    <w:rPr>
                      <w:b/>
                      <w:szCs w:val="21"/>
                    </w:rPr>
                  </w:pPr>
                  <w:r>
                    <w:rPr>
                      <w:rFonts w:hint="eastAsia"/>
                      <w:b/>
                      <w:szCs w:val="21"/>
                    </w:rPr>
                    <w:t>产生工序及装置</w:t>
                  </w:r>
                </w:p>
              </w:tc>
              <w:tc>
                <w:tcPr>
                  <w:tcW w:w="421" w:type="dxa"/>
                  <w:vMerge w:val="restart"/>
                  <w:vAlign w:val="center"/>
                </w:tcPr>
                <w:p>
                  <w:pPr>
                    <w:jc w:val="center"/>
                    <w:rPr>
                      <w:b/>
                      <w:szCs w:val="21"/>
                    </w:rPr>
                  </w:pPr>
                  <w:r>
                    <w:rPr>
                      <w:rFonts w:hint="eastAsia"/>
                      <w:b/>
                      <w:szCs w:val="21"/>
                    </w:rPr>
                    <w:t>形态</w:t>
                  </w:r>
                </w:p>
              </w:tc>
              <w:tc>
                <w:tcPr>
                  <w:tcW w:w="1723" w:type="dxa"/>
                  <w:vMerge w:val="restart"/>
                  <w:vAlign w:val="center"/>
                </w:tcPr>
                <w:p>
                  <w:pPr>
                    <w:jc w:val="center"/>
                    <w:rPr>
                      <w:b/>
                      <w:szCs w:val="21"/>
                    </w:rPr>
                  </w:pPr>
                  <w:r>
                    <w:rPr>
                      <w:rFonts w:hint="eastAsia"/>
                      <w:b/>
                      <w:szCs w:val="21"/>
                    </w:rPr>
                    <w:t>主要成分</w:t>
                  </w:r>
                </w:p>
              </w:tc>
              <w:tc>
                <w:tcPr>
                  <w:tcW w:w="887" w:type="dxa"/>
                  <w:vMerge w:val="restart"/>
                  <w:vAlign w:val="center"/>
                </w:tcPr>
                <w:p>
                  <w:pPr>
                    <w:jc w:val="center"/>
                    <w:rPr>
                      <w:b/>
                      <w:szCs w:val="21"/>
                    </w:rPr>
                  </w:pPr>
                  <w:r>
                    <w:rPr>
                      <w:rFonts w:hint="eastAsia"/>
                      <w:b/>
                      <w:szCs w:val="21"/>
                    </w:rPr>
                    <w:t>产生量（吨/年）</w:t>
                  </w:r>
                </w:p>
              </w:tc>
              <w:tc>
                <w:tcPr>
                  <w:tcW w:w="2787" w:type="dxa"/>
                  <w:gridSpan w:val="3"/>
                  <w:vAlign w:val="center"/>
                </w:tcPr>
                <w:p>
                  <w:pPr>
                    <w:jc w:val="center"/>
                    <w:rPr>
                      <w:rFonts w:hint="eastAsia"/>
                      <w:b/>
                      <w:szCs w:val="21"/>
                    </w:rPr>
                  </w:pPr>
                  <w:r>
                    <w:rPr>
                      <w:rFonts w:hint="eastAsia"/>
                      <w:b/>
                      <w:szCs w:val="21"/>
                    </w:rPr>
                    <w:t>种类判断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92" w:hRule="atLeast"/>
                <w:jc w:val="center"/>
              </w:trPr>
              <w:tc>
                <w:tcPr>
                  <w:tcW w:w="385" w:type="dxa"/>
                  <w:vMerge w:val="continue"/>
                  <w:vAlign w:val="center"/>
                </w:tcPr>
                <w:p>
                  <w:pPr>
                    <w:jc w:val="center"/>
                    <w:rPr>
                      <w:b/>
                      <w:szCs w:val="21"/>
                    </w:rPr>
                  </w:pPr>
                </w:p>
              </w:tc>
              <w:tc>
                <w:tcPr>
                  <w:tcW w:w="1167" w:type="dxa"/>
                  <w:vMerge w:val="continue"/>
                  <w:vAlign w:val="center"/>
                </w:tcPr>
                <w:p>
                  <w:pPr>
                    <w:jc w:val="center"/>
                    <w:rPr>
                      <w:b/>
                      <w:szCs w:val="21"/>
                    </w:rPr>
                  </w:pPr>
                </w:p>
              </w:tc>
              <w:tc>
                <w:tcPr>
                  <w:tcW w:w="1021" w:type="dxa"/>
                  <w:vMerge w:val="continue"/>
                  <w:vAlign w:val="center"/>
                </w:tcPr>
                <w:p>
                  <w:pPr>
                    <w:jc w:val="center"/>
                    <w:rPr>
                      <w:b/>
                      <w:szCs w:val="21"/>
                    </w:rPr>
                  </w:pPr>
                </w:p>
              </w:tc>
              <w:tc>
                <w:tcPr>
                  <w:tcW w:w="421" w:type="dxa"/>
                  <w:vMerge w:val="continue"/>
                  <w:vAlign w:val="center"/>
                </w:tcPr>
                <w:p>
                  <w:pPr>
                    <w:jc w:val="center"/>
                    <w:rPr>
                      <w:b/>
                      <w:szCs w:val="21"/>
                    </w:rPr>
                  </w:pPr>
                </w:p>
              </w:tc>
              <w:tc>
                <w:tcPr>
                  <w:tcW w:w="1723" w:type="dxa"/>
                  <w:vMerge w:val="continue"/>
                  <w:vAlign w:val="center"/>
                </w:tcPr>
                <w:p>
                  <w:pPr>
                    <w:jc w:val="center"/>
                    <w:rPr>
                      <w:b/>
                      <w:szCs w:val="21"/>
                    </w:rPr>
                  </w:pPr>
                </w:p>
              </w:tc>
              <w:tc>
                <w:tcPr>
                  <w:tcW w:w="887" w:type="dxa"/>
                  <w:vMerge w:val="continue"/>
                  <w:vAlign w:val="center"/>
                </w:tcPr>
                <w:p>
                  <w:pPr>
                    <w:jc w:val="center"/>
                    <w:rPr>
                      <w:b/>
                      <w:szCs w:val="21"/>
                    </w:rPr>
                  </w:pPr>
                </w:p>
              </w:tc>
              <w:tc>
                <w:tcPr>
                  <w:tcW w:w="650" w:type="dxa"/>
                  <w:shd w:val="clear" w:color="auto" w:fill="auto"/>
                  <w:vAlign w:val="center"/>
                </w:tcPr>
                <w:p>
                  <w:pPr>
                    <w:jc w:val="center"/>
                    <w:rPr>
                      <w:rFonts w:ascii="Times New Roman" w:hAnsi="Times New Roman" w:eastAsia="宋体" w:cs="Times New Roman"/>
                      <w:b/>
                      <w:kern w:val="2"/>
                      <w:sz w:val="21"/>
                      <w:szCs w:val="24"/>
                      <w:lang w:val="en-US" w:eastAsia="zh-CN" w:bidi="ar-SA"/>
                    </w:rPr>
                  </w:pPr>
                  <w:r>
                    <w:rPr>
                      <w:b/>
                    </w:rPr>
                    <w:t>固体废物</w:t>
                  </w:r>
                </w:p>
              </w:tc>
              <w:tc>
                <w:tcPr>
                  <w:tcW w:w="517" w:type="dxa"/>
                  <w:shd w:val="clear" w:color="auto" w:fill="auto"/>
                  <w:vAlign w:val="center"/>
                </w:tcPr>
                <w:p>
                  <w:pPr>
                    <w:jc w:val="center"/>
                    <w:rPr>
                      <w:rFonts w:hint="eastAsia" w:ascii="Times New Roman" w:hAnsi="Times New Roman" w:eastAsia="宋体" w:cs="Times New Roman"/>
                      <w:b/>
                      <w:kern w:val="2"/>
                      <w:sz w:val="21"/>
                      <w:szCs w:val="24"/>
                      <w:lang w:val="en-US" w:eastAsia="zh-CN" w:bidi="ar-SA"/>
                    </w:rPr>
                  </w:pPr>
                  <w:r>
                    <w:rPr>
                      <w:b/>
                    </w:rPr>
                    <w:t>副</w:t>
                  </w:r>
                  <w:r>
                    <w:rPr>
                      <w:rFonts w:hint="eastAsia"/>
                      <w:b/>
                      <w:lang w:val="en-US" w:eastAsia="zh-CN"/>
                    </w:rPr>
                    <w:t>产物</w:t>
                  </w:r>
                </w:p>
              </w:tc>
              <w:tc>
                <w:tcPr>
                  <w:tcW w:w="1620" w:type="dxa"/>
                  <w:shd w:val="clear" w:color="auto" w:fill="auto"/>
                  <w:vAlign w:val="center"/>
                </w:tcPr>
                <w:p>
                  <w:pPr>
                    <w:jc w:val="center"/>
                    <w:rPr>
                      <w:rFonts w:ascii="Times New Roman" w:hAnsi="Times New Roman" w:eastAsia="宋体" w:cs="Times New Roman"/>
                      <w:b/>
                      <w:kern w:val="2"/>
                      <w:sz w:val="21"/>
                      <w:szCs w:val="24"/>
                      <w:lang w:val="en-US" w:eastAsia="zh-CN" w:bidi="ar-SA"/>
                    </w:rPr>
                  </w:pPr>
                  <w:r>
                    <w:rPr>
                      <w:b/>
                    </w:rPr>
                    <w:t>判断依据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385" w:type="dxa"/>
                  <w:vAlign w:val="center"/>
                </w:tcPr>
                <w:p>
                  <w:pPr>
                    <w:adjustRightInd w:val="0"/>
                    <w:snapToGrid w:val="0"/>
                    <w:jc w:val="center"/>
                    <w:rPr>
                      <w:szCs w:val="21"/>
                    </w:rPr>
                  </w:pPr>
                  <w:r>
                    <w:rPr>
                      <w:rFonts w:hint="eastAsia"/>
                      <w:szCs w:val="21"/>
                    </w:rPr>
                    <w:t>1</w:t>
                  </w:r>
                </w:p>
              </w:tc>
              <w:tc>
                <w:tcPr>
                  <w:tcW w:w="1167"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生活垃圾</w:t>
                  </w:r>
                </w:p>
              </w:tc>
              <w:tc>
                <w:tcPr>
                  <w:tcW w:w="1021"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员工生活</w:t>
                  </w:r>
                </w:p>
              </w:tc>
              <w:tc>
                <w:tcPr>
                  <w:tcW w:w="421" w:type="dxa"/>
                  <w:shd w:val="clear" w:color="auto" w:fill="auto"/>
                  <w:vAlign w:val="center"/>
                </w:tcPr>
                <w:p>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1723" w:type="dxa"/>
                  <w:shd w:val="clear" w:color="auto" w:fill="auto"/>
                  <w:vAlign w:val="center"/>
                </w:tcPr>
                <w:p>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t>纸张等</w:t>
                  </w:r>
                </w:p>
              </w:tc>
              <w:tc>
                <w:tcPr>
                  <w:tcW w:w="887"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w:t>
                  </w:r>
                </w:p>
              </w:tc>
              <w:tc>
                <w:tcPr>
                  <w:tcW w:w="650" w:type="dxa"/>
                  <w:shd w:val="clear" w:color="auto" w:fill="auto"/>
                  <w:vAlign w:val="center"/>
                </w:tcPr>
                <w:p>
                  <w:pPr>
                    <w:jc w:val="center"/>
                    <w:rPr>
                      <w:rFonts w:ascii="Times New Roman" w:hAnsi="Times New Roman" w:eastAsia="宋体" w:cs="Times New Roman"/>
                      <w:kern w:val="2"/>
                      <w:sz w:val="21"/>
                      <w:szCs w:val="24"/>
                      <w:lang w:val="en-US" w:eastAsia="zh-CN" w:bidi="ar-SA"/>
                    </w:rPr>
                  </w:pPr>
                  <w:r>
                    <w:t>√</w:t>
                  </w:r>
                </w:p>
              </w:tc>
              <w:tc>
                <w:tcPr>
                  <w:tcW w:w="517" w:type="dxa"/>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t>--</w:t>
                  </w:r>
                </w:p>
              </w:tc>
              <w:tc>
                <w:tcPr>
                  <w:tcW w:w="1620" w:type="dxa"/>
                  <w:vMerge w:val="restart"/>
                  <w:shd w:val="clear" w:color="auto" w:fill="auto"/>
                  <w:vAlign w:val="center"/>
                </w:tcPr>
                <w:p>
                  <w:pPr>
                    <w:jc w:val="center"/>
                    <w:rPr>
                      <w:rFonts w:hint="default" w:ascii="Times New Roman" w:hAnsi="Times New Roman" w:eastAsia="宋体" w:cs="Times New Roman"/>
                      <w:kern w:val="2"/>
                      <w:sz w:val="21"/>
                      <w:szCs w:val="24"/>
                      <w:lang w:val="en-US" w:eastAsia="zh-CN" w:bidi="ar-SA"/>
                    </w:rPr>
                  </w:pPr>
                  <w:r>
                    <w:t>《固体废物鉴别标准</w:t>
                  </w:r>
                  <w:r>
                    <w:rPr>
                      <w:rFonts w:hint="eastAsia"/>
                      <w:lang w:val="en-US" w:eastAsia="zh-CN"/>
                    </w:rPr>
                    <w:t xml:space="preserve"> 通则</w:t>
                  </w:r>
                  <w:r>
                    <w:t>》</w:t>
                  </w:r>
                  <w:r>
                    <w:rPr>
                      <w:rFonts w:hint="eastAsia"/>
                      <w:lang w:val="en-US" w:eastAsia="zh-CN"/>
                    </w:rPr>
                    <w:t>GB34330-2017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385" w:type="dxa"/>
                  <w:vAlign w:val="center"/>
                </w:tcPr>
                <w:p>
                  <w:pPr>
                    <w:adjustRightInd w:val="0"/>
                    <w:snapToGrid w:val="0"/>
                    <w:jc w:val="center"/>
                    <w:rPr>
                      <w:szCs w:val="21"/>
                    </w:rPr>
                  </w:pPr>
                  <w:r>
                    <w:rPr>
                      <w:rFonts w:hint="eastAsia"/>
                      <w:szCs w:val="21"/>
                    </w:rPr>
                    <w:t>2</w:t>
                  </w:r>
                </w:p>
              </w:tc>
              <w:tc>
                <w:tcPr>
                  <w:tcW w:w="1167" w:type="dxa"/>
                  <w:shd w:val="clear" w:color="auto" w:fill="auto"/>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残次品</w:t>
                  </w:r>
                </w:p>
              </w:tc>
              <w:tc>
                <w:tcPr>
                  <w:tcW w:w="1021"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检验</w:t>
                  </w:r>
                </w:p>
              </w:tc>
              <w:tc>
                <w:tcPr>
                  <w:tcW w:w="421" w:type="dxa"/>
                  <w:shd w:val="clear" w:color="auto" w:fill="auto"/>
                  <w:vAlign w:val="center"/>
                </w:tcPr>
                <w:p>
                  <w:pPr>
                    <w:autoSpaceDE w:val="0"/>
                    <w:autoSpaceDN w:val="0"/>
                    <w:adjustRightInd w:val="0"/>
                    <w:snapToGrid w:val="0"/>
                    <w:jc w:val="center"/>
                    <w:rPr>
                      <w:rFonts w:ascii="Times New Roman" w:hAnsi="Times New Roman" w:eastAsia="宋体" w:cs="Times New Roman"/>
                      <w:kern w:val="2"/>
                      <w:sz w:val="21"/>
                      <w:szCs w:val="24"/>
                      <w:lang w:val="en-US" w:eastAsia="zh-CN" w:bidi="ar-SA"/>
                    </w:rPr>
                  </w:pPr>
                  <w:r>
                    <w:rPr>
                      <w:rFonts w:hint="eastAsia"/>
                    </w:rPr>
                    <w:t>固</w:t>
                  </w:r>
                </w:p>
              </w:tc>
              <w:tc>
                <w:tcPr>
                  <w:tcW w:w="1723"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EPP</w:t>
                  </w:r>
                </w:p>
              </w:tc>
              <w:tc>
                <w:tcPr>
                  <w:tcW w:w="887"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c>
                <w:tcPr>
                  <w:tcW w:w="650" w:type="dxa"/>
                  <w:shd w:val="clear" w:color="auto" w:fill="auto"/>
                  <w:vAlign w:val="center"/>
                </w:tcPr>
                <w:p>
                  <w:pPr>
                    <w:jc w:val="center"/>
                    <w:rPr>
                      <w:rFonts w:ascii="Times New Roman" w:hAnsi="Times New Roman" w:eastAsia="宋体" w:cs="Times New Roman"/>
                      <w:kern w:val="2"/>
                      <w:sz w:val="21"/>
                      <w:szCs w:val="21"/>
                      <w:lang w:val="en-US" w:eastAsia="zh-CN" w:bidi="ar-SA"/>
                    </w:rPr>
                  </w:pPr>
                  <w:r>
                    <w:t>√</w:t>
                  </w:r>
                </w:p>
              </w:tc>
              <w:tc>
                <w:tcPr>
                  <w:tcW w:w="517"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t>--</w:t>
                  </w:r>
                </w:p>
              </w:tc>
              <w:tc>
                <w:tcPr>
                  <w:tcW w:w="1620"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385" w:type="dxa"/>
                  <w:vAlign w:val="center"/>
                </w:tcPr>
                <w:p>
                  <w:pPr>
                    <w:adjustRightInd w:val="0"/>
                    <w:snapToGrid w:val="0"/>
                    <w:jc w:val="center"/>
                    <w:rPr>
                      <w:szCs w:val="21"/>
                    </w:rPr>
                  </w:pPr>
                  <w:r>
                    <w:rPr>
                      <w:rFonts w:hint="eastAsia"/>
                      <w:szCs w:val="21"/>
                    </w:rPr>
                    <w:t>3</w:t>
                  </w:r>
                </w:p>
              </w:tc>
              <w:tc>
                <w:tcPr>
                  <w:tcW w:w="1167"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w:t>
                  </w:r>
                  <w:r>
                    <w:rPr>
                      <w:rFonts w:hint="eastAsia"/>
                    </w:rPr>
                    <w:t>包装材料</w:t>
                  </w:r>
                </w:p>
              </w:tc>
              <w:tc>
                <w:tcPr>
                  <w:tcW w:w="1021"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生产</w:t>
                  </w:r>
                </w:p>
              </w:tc>
              <w:tc>
                <w:tcPr>
                  <w:tcW w:w="421"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1723"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塑料绑带、塑料袋</w:t>
                  </w:r>
                </w:p>
              </w:tc>
              <w:tc>
                <w:tcPr>
                  <w:tcW w:w="887"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0.5</w:t>
                  </w:r>
                </w:p>
              </w:tc>
              <w:tc>
                <w:tcPr>
                  <w:tcW w:w="650" w:type="dxa"/>
                  <w:shd w:val="clear" w:color="auto" w:fill="auto"/>
                  <w:vAlign w:val="center"/>
                </w:tcPr>
                <w:p>
                  <w:pPr>
                    <w:jc w:val="center"/>
                    <w:rPr>
                      <w:rFonts w:ascii="Times New Roman" w:hAnsi="Times New Roman" w:eastAsia="宋体" w:cs="Times New Roman"/>
                      <w:kern w:val="2"/>
                      <w:sz w:val="21"/>
                      <w:szCs w:val="21"/>
                      <w:lang w:val="en-US" w:eastAsia="zh-CN" w:bidi="ar-SA"/>
                    </w:rPr>
                  </w:pPr>
                  <w:r>
                    <w:t>√</w:t>
                  </w:r>
                </w:p>
              </w:tc>
              <w:tc>
                <w:tcPr>
                  <w:tcW w:w="517"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t>--</w:t>
                  </w:r>
                </w:p>
              </w:tc>
              <w:tc>
                <w:tcPr>
                  <w:tcW w:w="1620"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385" w:type="dxa"/>
                  <w:vAlign w:val="center"/>
                </w:tcPr>
                <w:p>
                  <w:pPr>
                    <w:adjustRightInd w:val="0"/>
                    <w:snapToGrid w:val="0"/>
                    <w:jc w:val="center"/>
                    <w:rPr>
                      <w:szCs w:val="21"/>
                    </w:rPr>
                  </w:pPr>
                  <w:r>
                    <w:rPr>
                      <w:rFonts w:hint="eastAsia"/>
                      <w:szCs w:val="21"/>
                    </w:rPr>
                    <w:t>4</w:t>
                  </w:r>
                </w:p>
              </w:tc>
              <w:tc>
                <w:tcPr>
                  <w:tcW w:w="1167" w:type="dxa"/>
                  <w:shd w:val="clear" w:color="auto" w:fill="auto"/>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1021" w:type="dxa"/>
                  <w:shd w:val="clear" w:color="auto" w:fill="auto"/>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设备维护</w:t>
                  </w:r>
                </w:p>
              </w:tc>
              <w:tc>
                <w:tcPr>
                  <w:tcW w:w="421" w:type="dxa"/>
                  <w:shd w:val="clear" w:color="auto" w:fill="auto"/>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1723" w:type="dxa"/>
                  <w:shd w:val="clear" w:color="auto" w:fill="auto"/>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手套、抹布、机油</w:t>
                  </w:r>
                </w:p>
              </w:tc>
              <w:tc>
                <w:tcPr>
                  <w:tcW w:w="887"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0.01</w:t>
                  </w:r>
                </w:p>
              </w:tc>
              <w:tc>
                <w:tcPr>
                  <w:tcW w:w="650" w:type="dxa"/>
                  <w:shd w:val="clear" w:color="auto" w:fill="auto"/>
                  <w:vAlign w:val="center"/>
                </w:tcPr>
                <w:p>
                  <w:pPr>
                    <w:jc w:val="center"/>
                    <w:rPr>
                      <w:rFonts w:ascii="Times New Roman" w:hAnsi="Times New Roman" w:eastAsia="宋体" w:cs="Times New Roman"/>
                      <w:kern w:val="2"/>
                      <w:sz w:val="21"/>
                      <w:szCs w:val="21"/>
                      <w:lang w:val="en-US" w:eastAsia="zh-CN" w:bidi="ar-SA"/>
                    </w:rPr>
                  </w:pPr>
                  <w:r>
                    <w:t>√</w:t>
                  </w:r>
                </w:p>
              </w:tc>
              <w:tc>
                <w:tcPr>
                  <w:tcW w:w="517"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t>--</w:t>
                  </w:r>
                </w:p>
              </w:tc>
              <w:tc>
                <w:tcPr>
                  <w:tcW w:w="1620"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385" w:type="dxa"/>
                  <w:vAlign w:val="center"/>
                </w:tcPr>
                <w:p>
                  <w:pPr>
                    <w:adjustRightInd w:val="0"/>
                    <w:snapToGrid w:val="0"/>
                    <w:jc w:val="center"/>
                    <w:rPr>
                      <w:rFonts w:hint="eastAsia" w:eastAsia="宋体"/>
                      <w:szCs w:val="21"/>
                      <w:lang w:val="en-US" w:eastAsia="zh-CN"/>
                    </w:rPr>
                  </w:pPr>
                  <w:r>
                    <w:rPr>
                      <w:rFonts w:hint="eastAsia"/>
                      <w:szCs w:val="21"/>
                      <w:lang w:val="en-US" w:eastAsia="zh-CN"/>
                    </w:rPr>
                    <w:t>5</w:t>
                  </w:r>
                </w:p>
              </w:tc>
              <w:tc>
                <w:tcPr>
                  <w:tcW w:w="1167" w:type="dxa"/>
                  <w:shd w:val="clear" w:color="auto" w:fill="auto"/>
                  <w:vAlign w:val="center"/>
                </w:tcPr>
                <w:p>
                  <w:pPr>
                    <w:autoSpaceDE w:val="0"/>
                    <w:autoSpaceDN w:val="0"/>
                    <w:adjustRightInd w:val="0"/>
                    <w:snapToGrid w:val="0"/>
                    <w:jc w:val="center"/>
                    <w:rPr>
                      <w:rFonts w:hint="eastAsia" w:eastAsia="宋体"/>
                      <w:lang w:val="en-US" w:eastAsia="zh-CN"/>
                    </w:rPr>
                  </w:pPr>
                  <w:r>
                    <w:rPr>
                      <w:rFonts w:hint="eastAsia"/>
                      <w:lang w:val="en-US" w:eastAsia="zh-CN"/>
                    </w:rPr>
                    <w:t>废机油</w:t>
                  </w:r>
                </w:p>
              </w:tc>
              <w:tc>
                <w:tcPr>
                  <w:tcW w:w="1021" w:type="dxa"/>
                  <w:shd w:val="clear" w:color="auto" w:fill="auto"/>
                  <w:vAlign w:val="center"/>
                </w:tcPr>
                <w:p>
                  <w:pPr>
                    <w:autoSpaceDE w:val="0"/>
                    <w:autoSpaceDN w:val="0"/>
                    <w:adjustRightInd w:val="0"/>
                    <w:snapToGrid w:val="0"/>
                    <w:jc w:val="center"/>
                    <w:rPr>
                      <w:rFonts w:hint="eastAsia"/>
                    </w:rPr>
                  </w:pPr>
                  <w:r>
                    <w:rPr>
                      <w:rFonts w:hint="eastAsia"/>
                    </w:rPr>
                    <w:t>设备维护</w:t>
                  </w:r>
                </w:p>
              </w:tc>
              <w:tc>
                <w:tcPr>
                  <w:tcW w:w="421" w:type="dxa"/>
                  <w:shd w:val="clear" w:color="auto" w:fill="auto"/>
                  <w:vAlign w:val="center"/>
                </w:tcPr>
                <w:p>
                  <w:pPr>
                    <w:autoSpaceDE w:val="0"/>
                    <w:autoSpaceDN w:val="0"/>
                    <w:adjustRightInd w:val="0"/>
                    <w:snapToGrid w:val="0"/>
                    <w:jc w:val="center"/>
                    <w:rPr>
                      <w:rFonts w:hint="eastAsia" w:eastAsia="宋体"/>
                      <w:lang w:val="en-US" w:eastAsia="zh-CN"/>
                    </w:rPr>
                  </w:pPr>
                  <w:r>
                    <w:rPr>
                      <w:rFonts w:hint="eastAsia"/>
                      <w:lang w:val="en-US" w:eastAsia="zh-CN"/>
                    </w:rPr>
                    <w:t>液</w:t>
                  </w:r>
                </w:p>
              </w:tc>
              <w:tc>
                <w:tcPr>
                  <w:tcW w:w="1723" w:type="dxa"/>
                  <w:shd w:val="clear" w:color="auto" w:fill="auto"/>
                  <w:vAlign w:val="center"/>
                </w:tcPr>
                <w:p>
                  <w:pPr>
                    <w:autoSpaceDE w:val="0"/>
                    <w:autoSpaceDN w:val="0"/>
                    <w:adjustRightInd w:val="0"/>
                    <w:snapToGrid w:val="0"/>
                    <w:jc w:val="center"/>
                    <w:rPr>
                      <w:rFonts w:hint="eastAsia" w:eastAsia="宋体"/>
                      <w:lang w:val="en-US" w:eastAsia="zh-CN"/>
                    </w:rPr>
                  </w:pPr>
                  <w:r>
                    <w:rPr>
                      <w:rFonts w:hint="eastAsia"/>
                      <w:lang w:val="en-US" w:eastAsia="zh-CN"/>
                    </w:rPr>
                    <w:t>机油</w:t>
                  </w:r>
                </w:p>
              </w:tc>
              <w:tc>
                <w:tcPr>
                  <w:tcW w:w="887" w:type="dxa"/>
                  <w:shd w:val="clear" w:color="auto" w:fill="auto"/>
                  <w:vAlign w:val="center"/>
                </w:tcPr>
                <w:p>
                  <w:pPr>
                    <w:jc w:val="center"/>
                    <w:rPr>
                      <w:rFonts w:hint="default"/>
                      <w:szCs w:val="21"/>
                      <w:lang w:val="en-US" w:eastAsia="zh-CN"/>
                    </w:rPr>
                  </w:pPr>
                  <w:r>
                    <w:rPr>
                      <w:rFonts w:hint="eastAsia"/>
                      <w:szCs w:val="21"/>
                      <w:lang w:val="en-US" w:eastAsia="zh-CN"/>
                    </w:rPr>
                    <w:t>0.01</w:t>
                  </w:r>
                </w:p>
              </w:tc>
              <w:tc>
                <w:tcPr>
                  <w:tcW w:w="650" w:type="dxa"/>
                  <w:shd w:val="clear" w:color="auto" w:fill="auto"/>
                  <w:vAlign w:val="center"/>
                </w:tcPr>
                <w:p>
                  <w:pPr>
                    <w:jc w:val="center"/>
                  </w:pPr>
                  <w:r>
                    <w:t>√</w:t>
                  </w:r>
                </w:p>
              </w:tc>
              <w:tc>
                <w:tcPr>
                  <w:tcW w:w="517" w:type="dxa"/>
                  <w:shd w:val="clear" w:color="auto" w:fill="auto"/>
                  <w:vAlign w:val="center"/>
                </w:tcPr>
                <w:p>
                  <w:pPr>
                    <w:jc w:val="center"/>
                  </w:pPr>
                  <w:r>
                    <w:t>--</w:t>
                  </w:r>
                </w:p>
              </w:tc>
              <w:tc>
                <w:tcPr>
                  <w:tcW w:w="1620" w:type="dxa"/>
                  <w:vMerge w:val="continue"/>
                  <w:vAlign w:val="center"/>
                </w:tcPr>
                <w:p>
                  <w:pPr>
                    <w:adjustRightInd w:val="0"/>
                    <w:snapToGrid w:val="0"/>
                    <w:jc w:val="center"/>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335" w:hRule="atLeast"/>
                <w:jc w:val="center"/>
              </w:trPr>
              <w:tc>
                <w:tcPr>
                  <w:tcW w:w="385" w:type="dxa"/>
                  <w:vAlign w:val="center"/>
                </w:tcPr>
                <w:p>
                  <w:pPr>
                    <w:adjustRightInd w:val="0"/>
                    <w:snapToGrid w:val="0"/>
                    <w:jc w:val="center"/>
                    <w:rPr>
                      <w:rFonts w:hint="eastAsia" w:eastAsia="宋体"/>
                      <w:szCs w:val="21"/>
                      <w:lang w:val="en-US" w:eastAsia="zh-CN"/>
                    </w:rPr>
                  </w:pPr>
                  <w:r>
                    <w:rPr>
                      <w:rFonts w:hint="eastAsia"/>
                      <w:szCs w:val="21"/>
                      <w:lang w:val="en-US" w:eastAsia="zh-CN"/>
                    </w:rPr>
                    <w:t>6</w:t>
                  </w:r>
                </w:p>
              </w:tc>
              <w:tc>
                <w:tcPr>
                  <w:tcW w:w="1167" w:type="dxa"/>
                  <w:shd w:val="clear" w:color="auto" w:fill="auto"/>
                  <w:vAlign w:val="center"/>
                </w:tcPr>
                <w:p>
                  <w:pPr>
                    <w:autoSpaceDE w:val="0"/>
                    <w:autoSpaceDN w:val="0"/>
                    <w:adjustRightInd w:val="0"/>
                    <w:snapToGrid w:val="0"/>
                    <w:jc w:val="center"/>
                    <w:rPr>
                      <w:rFonts w:hint="eastAsia" w:eastAsia="宋体"/>
                      <w:lang w:val="en-US" w:eastAsia="zh-CN"/>
                    </w:rPr>
                  </w:pPr>
                  <w:r>
                    <w:rPr>
                      <w:rFonts w:hint="eastAsia"/>
                      <w:lang w:val="en-US" w:eastAsia="zh-CN"/>
                    </w:rPr>
                    <w:t>空压机含油废水</w:t>
                  </w:r>
                </w:p>
              </w:tc>
              <w:tc>
                <w:tcPr>
                  <w:tcW w:w="1021" w:type="dxa"/>
                  <w:shd w:val="clear" w:color="auto" w:fill="auto"/>
                  <w:vAlign w:val="center"/>
                </w:tcPr>
                <w:p>
                  <w:pPr>
                    <w:autoSpaceDE w:val="0"/>
                    <w:autoSpaceDN w:val="0"/>
                    <w:adjustRightInd w:val="0"/>
                    <w:snapToGrid w:val="0"/>
                    <w:jc w:val="center"/>
                    <w:rPr>
                      <w:rFonts w:hint="eastAsia" w:eastAsia="宋体"/>
                      <w:lang w:val="en-US" w:eastAsia="zh-CN"/>
                    </w:rPr>
                  </w:pPr>
                  <w:r>
                    <w:rPr>
                      <w:rFonts w:hint="eastAsia"/>
                      <w:lang w:val="en-US" w:eastAsia="zh-CN"/>
                    </w:rPr>
                    <w:t>设备运行</w:t>
                  </w:r>
                </w:p>
              </w:tc>
              <w:tc>
                <w:tcPr>
                  <w:tcW w:w="421" w:type="dxa"/>
                  <w:shd w:val="clear" w:color="auto" w:fill="auto"/>
                  <w:vAlign w:val="center"/>
                </w:tcPr>
                <w:p>
                  <w:pPr>
                    <w:autoSpaceDE w:val="0"/>
                    <w:autoSpaceDN w:val="0"/>
                    <w:adjustRightInd w:val="0"/>
                    <w:snapToGrid w:val="0"/>
                    <w:jc w:val="center"/>
                    <w:rPr>
                      <w:rFonts w:hint="eastAsia"/>
                    </w:rPr>
                  </w:pPr>
                  <w:r>
                    <w:rPr>
                      <w:rFonts w:hint="eastAsia"/>
                      <w:lang w:val="en-US" w:eastAsia="zh-CN"/>
                    </w:rPr>
                    <w:t>液</w:t>
                  </w:r>
                </w:p>
              </w:tc>
              <w:tc>
                <w:tcPr>
                  <w:tcW w:w="1723" w:type="dxa"/>
                  <w:shd w:val="clear" w:color="auto" w:fill="auto"/>
                  <w:vAlign w:val="center"/>
                </w:tcPr>
                <w:p>
                  <w:pPr>
                    <w:autoSpaceDE w:val="0"/>
                    <w:autoSpaceDN w:val="0"/>
                    <w:adjustRightInd w:val="0"/>
                    <w:snapToGrid w:val="0"/>
                    <w:jc w:val="center"/>
                    <w:rPr>
                      <w:rFonts w:hint="eastAsia" w:eastAsia="宋体"/>
                      <w:lang w:val="en-US" w:eastAsia="zh-CN"/>
                    </w:rPr>
                  </w:pPr>
                  <w:r>
                    <w:rPr>
                      <w:rFonts w:hint="eastAsia"/>
                      <w:lang w:val="en-US" w:eastAsia="zh-CN"/>
                    </w:rPr>
                    <w:t>油水混合物</w:t>
                  </w:r>
                </w:p>
              </w:tc>
              <w:tc>
                <w:tcPr>
                  <w:tcW w:w="887" w:type="dxa"/>
                  <w:shd w:val="clear" w:color="auto" w:fill="auto"/>
                  <w:vAlign w:val="center"/>
                </w:tcPr>
                <w:p>
                  <w:pPr>
                    <w:jc w:val="center"/>
                    <w:rPr>
                      <w:rFonts w:hint="default"/>
                      <w:szCs w:val="21"/>
                      <w:lang w:val="en-US" w:eastAsia="zh-CN"/>
                    </w:rPr>
                  </w:pPr>
                  <w:r>
                    <w:rPr>
                      <w:rFonts w:hint="eastAsia"/>
                      <w:szCs w:val="21"/>
                      <w:lang w:val="en-US" w:eastAsia="zh-CN"/>
                    </w:rPr>
                    <w:t>0.5</w:t>
                  </w:r>
                </w:p>
              </w:tc>
              <w:tc>
                <w:tcPr>
                  <w:tcW w:w="650" w:type="dxa"/>
                  <w:shd w:val="clear" w:color="auto" w:fill="auto"/>
                  <w:vAlign w:val="center"/>
                </w:tcPr>
                <w:p>
                  <w:pPr>
                    <w:jc w:val="center"/>
                  </w:pPr>
                  <w:r>
                    <w:t>√</w:t>
                  </w:r>
                </w:p>
              </w:tc>
              <w:tc>
                <w:tcPr>
                  <w:tcW w:w="517" w:type="dxa"/>
                  <w:shd w:val="clear" w:color="auto" w:fill="auto"/>
                  <w:vAlign w:val="center"/>
                </w:tcPr>
                <w:p>
                  <w:pPr>
                    <w:jc w:val="center"/>
                  </w:pPr>
                  <w:r>
                    <w:t>--</w:t>
                  </w:r>
                </w:p>
              </w:tc>
              <w:tc>
                <w:tcPr>
                  <w:tcW w:w="1620" w:type="dxa"/>
                  <w:vMerge w:val="continue"/>
                  <w:vAlign w:val="center"/>
                </w:tcPr>
                <w:p>
                  <w:pPr>
                    <w:adjustRightInd w:val="0"/>
                    <w:snapToGrid w:val="0"/>
                    <w:jc w:val="center"/>
                    <w:rPr>
                      <w:szCs w:val="21"/>
                    </w:rPr>
                  </w:pPr>
                </w:p>
              </w:tc>
            </w:tr>
          </w:tbl>
          <w:p>
            <w:pPr>
              <w:snapToGrid w:val="0"/>
              <w:ind w:firstLine="420" w:firstLineChars="200"/>
              <w:rPr>
                <w:color w:val="000000"/>
                <w:szCs w:val="21"/>
              </w:rPr>
            </w:pPr>
          </w:p>
          <w:p>
            <w:pPr>
              <w:spacing w:line="360" w:lineRule="auto"/>
              <w:ind w:firstLine="482" w:firstLineChars="200"/>
              <w:rPr>
                <w:b/>
                <w:bCs/>
                <w:sz w:val="24"/>
                <w:szCs w:val="24"/>
              </w:rPr>
            </w:pPr>
            <w:r>
              <w:rPr>
                <w:rFonts w:hint="eastAsia"/>
                <w:b/>
                <w:bCs/>
                <w:sz w:val="24"/>
                <w:szCs w:val="24"/>
                <w:lang w:val="en-US" w:eastAsia="zh-CN"/>
              </w:rPr>
              <w:t>3.</w:t>
            </w:r>
            <w:r>
              <w:rPr>
                <w:rFonts w:hint="eastAsia"/>
                <w:b/>
                <w:bCs/>
                <w:sz w:val="24"/>
                <w:szCs w:val="24"/>
              </w:rPr>
              <w:t>固体废物产生情况汇总</w:t>
            </w:r>
          </w:p>
          <w:p>
            <w:pPr>
              <w:adjustRightInd w:val="0"/>
              <w:snapToGrid w:val="0"/>
              <w:spacing w:line="360" w:lineRule="auto"/>
              <w:ind w:firstLine="480" w:firstLineChars="200"/>
              <w:rPr>
                <w:sz w:val="24"/>
                <w:szCs w:val="24"/>
              </w:rPr>
            </w:pPr>
            <w:r>
              <w:rPr>
                <w:rFonts w:hint="eastAsia"/>
                <w:sz w:val="24"/>
                <w:szCs w:val="24"/>
              </w:rPr>
              <w:t>根据《建设项目危险废物环境影响评价指南》分析建设项目</w:t>
            </w:r>
            <w:r>
              <w:rPr>
                <w:rFonts w:hint="eastAsia"/>
                <w:sz w:val="24"/>
                <w:szCs w:val="24"/>
                <w:lang w:val="en-US" w:eastAsia="zh-CN"/>
              </w:rPr>
              <w:t>固体</w:t>
            </w:r>
            <w:r>
              <w:rPr>
                <w:rFonts w:hint="eastAsia"/>
                <w:sz w:val="24"/>
                <w:szCs w:val="24"/>
              </w:rPr>
              <w:t>废物产生情况汇总见</w:t>
            </w:r>
            <w:r>
              <w:rPr>
                <w:rFonts w:hint="eastAsia"/>
                <w:sz w:val="24"/>
                <w:szCs w:val="24"/>
                <w:lang w:val="en-US" w:eastAsia="zh-CN"/>
              </w:rPr>
              <w:t>下</w:t>
            </w:r>
            <w:r>
              <w:rPr>
                <w:rFonts w:hint="eastAsia"/>
                <w:sz w:val="24"/>
                <w:szCs w:val="24"/>
              </w:rPr>
              <w:t>表。</w:t>
            </w:r>
          </w:p>
          <w:p>
            <w:pPr>
              <w:spacing w:line="360" w:lineRule="auto"/>
              <w:ind w:firstLine="482"/>
              <w:jc w:val="center"/>
              <w:rPr>
                <w:b/>
                <w:sz w:val="24"/>
                <w:szCs w:val="32"/>
              </w:rPr>
            </w:pPr>
            <w:r>
              <w:rPr>
                <w:b/>
                <w:sz w:val="24"/>
                <w:szCs w:val="32"/>
              </w:rPr>
              <w:t>表4-</w:t>
            </w:r>
            <w:r>
              <w:rPr>
                <w:rFonts w:hint="eastAsia"/>
                <w:b/>
                <w:sz w:val="24"/>
                <w:szCs w:val="32"/>
                <w:lang w:val="en-US" w:eastAsia="zh-CN"/>
              </w:rPr>
              <w:t>17</w:t>
            </w:r>
            <w:r>
              <w:rPr>
                <w:b/>
                <w:sz w:val="24"/>
                <w:szCs w:val="32"/>
              </w:rPr>
              <w:t>固体废物分析结果汇总表</w:t>
            </w:r>
          </w:p>
          <w:tbl>
            <w:tblPr>
              <w:tblStyle w:val="30"/>
              <w:tblW w:w="8391"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67"/>
              <w:gridCol w:w="1279"/>
              <w:gridCol w:w="782"/>
              <w:gridCol w:w="427"/>
              <w:gridCol w:w="1291"/>
              <w:gridCol w:w="703"/>
              <w:gridCol w:w="1178"/>
              <w:gridCol w:w="1313"/>
              <w:gridCol w:w="95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noWrap w:val="0"/>
                  <w:vAlign w:val="center"/>
                </w:tcPr>
                <w:p>
                  <w:pPr>
                    <w:jc w:val="center"/>
                    <w:rPr>
                      <w:b/>
                      <w:bCs/>
                    </w:rPr>
                  </w:pPr>
                  <w:r>
                    <w:rPr>
                      <w:b/>
                      <w:bCs/>
                    </w:rPr>
                    <w:t>序号</w:t>
                  </w:r>
                </w:p>
              </w:tc>
              <w:tc>
                <w:tcPr>
                  <w:tcW w:w="1279" w:type="dxa"/>
                  <w:noWrap w:val="0"/>
                  <w:vAlign w:val="center"/>
                </w:tcPr>
                <w:p>
                  <w:pPr>
                    <w:jc w:val="center"/>
                    <w:rPr>
                      <w:b/>
                      <w:bCs/>
                    </w:rPr>
                  </w:pPr>
                  <w:r>
                    <w:rPr>
                      <w:b/>
                      <w:bCs/>
                    </w:rPr>
                    <w:t>固废名称</w:t>
                  </w:r>
                </w:p>
              </w:tc>
              <w:tc>
                <w:tcPr>
                  <w:tcW w:w="782" w:type="dxa"/>
                  <w:noWrap w:val="0"/>
                  <w:vAlign w:val="center"/>
                </w:tcPr>
                <w:p>
                  <w:pPr>
                    <w:jc w:val="center"/>
                    <w:rPr>
                      <w:b/>
                      <w:bCs/>
                    </w:rPr>
                  </w:pPr>
                  <w:r>
                    <w:rPr>
                      <w:b/>
                      <w:bCs/>
                    </w:rPr>
                    <w:t>产生工序</w:t>
                  </w:r>
                </w:p>
              </w:tc>
              <w:tc>
                <w:tcPr>
                  <w:tcW w:w="427" w:type="dxa"/>
                  <w:noWrap w:val="0"/>
                  <w:vAlign w:val="center"/>
                </w:tcPr>
                <w:p>
                  <w:pPr>
                    <w:jc w:val="center"/>
                    <w:rPr>
                      <w:b/>
                      <w:bCs/>
                    </w:rPr>
                  </w:pPr>
                  <w:r>
                    <w:rPr>
                      <w:b/>
                      <w:bCs/>
                    </w:rPr>
                    <w:t>形态</w:t>
                  </w:r>
                </w:p>
              </w:tc>
              <w:tc>
                <w:tcPr>
                  <w:tcW w:w="1291" w:type="dxa"/>
                  <w:noWrap w:val="0"/>
                  <w:vAlign w:val="center"/>
                </w:tcPr>
                <w:p>
                  <w:pPr>
                    <w:jc w:val="center"/>
                    <w:rPr>
                      <w:b/>
                      <w:bCs/>
                    </w:rPr>
                  </w:pPr>
                  <w:r>
                    <w:rPr>
                      <w:b/>
                      <w:bCs/>
                    </w:rPr>
                    <w:t>主要成分</w:t>
                  </w:r>
                </w:p>
              </w:tc>
              <w:tc>
                <w:tcPr>
                  <w:tcW w:w="703" w:type="dxa"/>
                  <w:noWrap w:val="0"/>
                  <w:vAlign w:val="center"/>
                </w:tcPr>
                <w:p>
                  <w:pPr>
                    <w:jc w:val="center"/>
                    <w:rPr>
                      <w:rFonts w:hint="eastAsia" w:eastAsia="宋体"/>
                      <w:b/>
                      <w:bCs/>
                      <w:lang w:val="en-US" w:eastAsia="zh-CN"/>
                    </w:rPr>
                  </w:pPr>
                  <w:r>
                    <w:rPr>
                      <w:rFonts w:hint="eastAsia"/>
                      <w:b/>
                      <w:bCs/>
                      <w:lang w:val="en-US" w:eastAsia="zh-CN"/>
                    </w:rPr>
                    <w:t>固体属性</w:t>
                  </w:r>
                </w:p>
              </w:tc>
              <w:tc>
                <w:tcPr>
                  <w:tcW w:w="1178" w:type="dxa"/>
                  <w:noWrap w:val="0"/>
                  <w:vAlign w:val="center"/>
                </w:tcPr>
                <w:p>
                  <w:pPr>
                    <w:jc w:val="center"/>
                    <w:rPr>
                      <w:rFonts w:hint="eastAsia" w:eastAsia="宋体"/>
                      <w:b/>
                      <w:bCs/>
                      <w:lang w:eastAsia="zh-CN"/>
                    </w:rPr>
                  </w:pPr>
                  <w:r>
                    <w:rPr>
                      <w:rFonts w:hint="eastAsia"/>
                      <w:b/>
                      <w:bCs/>
                      <w:lang w:val="en-US" w:eastAsia="zh-CN"/>
                    </w:rPr>
                    <w:t>分类依据</w:t>
                  </w:r>
                </w:p>
              </w:tc>
              <w:tc>
                <w:tcPr>
                  <w:tcW w:w="1313" w:type="dxa"/>
                  <w:noWrap w:val="0"/>
                  <w:vAlign w:val="center"/>
                </w:tcPr>
                <w:p>
                  <w:pPr>
                    <w:jc w:val="center"/>
                    <w:rPr>
                      <w:b/>
                      <w:bCs/>
                    </w:rPr>
                  </w:pPr>
                  <w:r>
                    <w:rPr>
                      <w:b/>
                      <w:bCs/>
                    </w:rPr>
                    <w:t>废物代码</w:t>
                  </w:r>
                </w:p>
              </w:tc>
              <w:tc>
                <w:tcPr>
                  <w:tcW w:w="951" w:type="dxa"/>
                  <w:noWrap w:val="0"/>
                  <w:vAlign w:val="center"/>
                </w:tcPr>
                <w:p>
                  <w:pPr>
                    <w:jc w:val="center"/>
                    <w:rPr>
                      <w:b/>
                      <w:bCs/>
                    </w:rPr>
                  </w:pPr>
                  <w:r>
                    <w:rPr>
                      <w:b/>
                      <w:bCs/>
                    </w:rPr>
                    <w:t>预计产生量t/a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noWrap w:val="0"/>
                  <w:vAlign w:val="center"/>
                </w:tcPr>
                <w:p>
                  <w:pPr>
                    <w:autoSpaceDE w:val="0"/>
                    <w:autoSpaceDN w:val="0"/>
                    <w:adjustRightInd w:val="0"/>
                    <w:snapToGrid w:val="0"/>
                    <w:jc w:val="center"/>
                    <w:rPr>
                      <w:rFonts w:cs="FangSong_GB2312-Identity-H"/>
                    </w:rPr>
                  </w:pPr>
                  <w:r>
                    <w:t>1</w:t>
                  </w:r>
                </w:p>
              </w:tc>
              <w:tc>
                <w:tcPr>
                  <w:tcW w:w="127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生活垃圾</w:t>
                  </w:r>
                </w:p>
              </w:tc>
              <w:tc>
                <w:tcPr>
                  <w:tcW w:w="782"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员工生活</w:t>
                  </w:r>
                </w:p>
              </w:tc>
              <w:tc>
                <w:tcPr>
                  <w:tcW w:w="42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1291"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t>纸张等</w:t>
                  </w:r>
                </w:p>
              </w:tc>
              <w:tc>
                <w:tcPr>
                  <w:tcW w:w="703" w:type="dxa"/>
                  <w:shd w:val="clear" w:color="auto" w:fill="auto"/>
                  <w:noWrap w:val="0"/>
                  <w:vAlign w:val="center"/>
                </w:tcPr>
                <w:p>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cs="FangSong_GB2312-Identity-H"/>
                      <w:lang w:val="en-US" w:eastAsia="zh-CN"/>
                    </w:rPr>
                    <w:t>生活垃圾</w:t>
                  </w:r>
                </w:p>
              </w:tc>
              <w:tc>
                <w:tcPr>
                  <w:tcW w:w="1178" w:type="dxa"/>
                  <w:vMerge w:val="restart"/>
                  <w:noWrap w:val="0"/>
                  <w:vAlign w:val="center"/>
                </w:tcPr>
                <w:p>
                  <w:pPr>
                    <w:adjustRightInd w:val="0"/>
                    <w:snapToGrid w:val="0"/>
                    <w:jc w:val="center"/>
                    <w:rPr>
                      <w:rFonts w:cs="FangSong_GB2312-Identity-H"/>
                    </w:rPr>
                  </w:pPr>
                  <w:r>
                    <w:rPr>
                      <w:rFonts w:hint="eastAsia" w:cs="FangSong_GB2312-Identity-H"/>
                    </w:rPr>
                    <w:t>《固体废物分类与代码目录》</w:t>
                  </w:r>
                </w:p>
              </w:tc>
              <w:tc>
                <w:tcPr>
                  <w:tcW w:w="1313" w:type="dxa"/>
                  <w:shd w:val="clear" w:color="auto" w:fill="auto"/>
                  <w:noWrap w:val="0"/>
                  <w:vAlign w:val="center"/>
                </w:tcPr>
                <w:p>
                  <w:pPr>
                    <w:adjustRightInd w:val="0"/>
                    <w:snapToGrid w:val="0"/>
                    <w:jc w:val="center"/>
                    <w:rPr>
                      <w:rFonts w:hint="default"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S64</w:t>
                  </w:r>
                </w:p>
              </w:tc>
              <w:tc>
                <w:tcPr>
                  <w:tcW w:w="951" w:type="dxa"/>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3</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noWrap w:val="0"/>
                  <w:vAlign w:val="center"/>
                </w:tcPr>
                <w:p>
                  <w:pPr>
                    <w:autoSpaceDE w:val="0"/>
                    <w:autoSpaceDN w:val="0"/>
                    <w:adjustRightInd w:val="0"/>
                    <w:snapToGrid w:val="0"/>
                    <w:jc w:val="center"/>
                    <w:rPr>
                      <w:rFonts w:cs="FangSong_GB2312-Identity-H"/>
                    </w:rPr>
                  </w:pPr>
                  <w:r>
                    <w:rPr>
                      <w:rFonts w:hint="eastAsia"/>
                    </w:rPr>
                    <w:t>2</w:t>
                  </w:r>
                </w:p>
              </w:tc>
              <w:tc>
                <w:tcPr>
                  <w:tcW w:w="127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残次品</w:t>
                  </w:r>
                </w:p>
              </w:tc>
              <w:tc>
                <w:tcPr>
                  <w:tcW w:w="782"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检验</w:t>
                  </w:r>
                </w:p>
              </w:tc>
              <w:tc>
                <w:tcPr>
                  <w:tcW w:w="42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1291"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EPP</w:t>
                  </w:r>
                </w:p>
              </w:tc>
              <w:tc>
                <w:tcPr>
                  <w:tcW w:w="703" w:type="dxa"/>
                  <w:vMerge w:val="restart"/>
                  <w:noWrap w:val="0"/>
                  <w:vAlign w:val="center"/>
                </w:tcPr>
                <w:p>
                  <w:pPr>
                    <w:adjustRightInd w:val="0"/>
                    <w:snapToGrid w:val="0"/>
                    <w:jc w:val="center"/>
                    <w:rPr>
                      <w:rFonts w:hint="eastAsia" w:eastAsia="宋体" w:cs="FangSong_GB2312-Identity-H"/>
                      <w:lang w:val="en-US" w:eastAsia="zh-CN"/>
                    </w:rPr>
                  </w:pPr>
                  <w:r>
                    <w:rPr>
                      <w:rFonts w:hint="eastAsia" w:cs="FangSong_GB2312-Identity-H"/>
                      <w:lang w:val="en-US" w:eastAsia="zh-CN"/>
                    </w:rPr>
                    <w:t>工业固体废物</w:t>
                  </w:r>
                </w:p>
              </w:tc>
              <w:tc>
                <w:tcPr>
                  <w:tcW w:w="1178" w:type="dxa"/>
                  <w:vMerge w:val="continue"/>
                  <w:noWrap w:val="0"/>
                  <w:vAlign w:val="center"/>
                </w:tcPr>
                <w:p>
                  <w:pPr>
                    <w:adjustRightInd w:val="0"/>
                    <w:snapToGrid w:val="0"/>
                    <w:jc w:val="center"/>
                    <w:rPr>
                      <w:rFonts w:cs="FangSong_GB2312-Identity-H"/>
                    </w:rPr>
                  </w:pPr>
                </w:p>
              </w:tc>
              <w:tc>
                <w:tcPr>
                  <w:tcW w:w="1313" w:type="dxa"/>
                  <w:shd w:val="clear" w:color="auto" w:fill="auto"/>
                  <w:noWrap w:val="0"/>
                  <w:vAlign w:val="center"/>
                </w:tcPr>
                <w:p>
                  <w:pPr>
                    <w:adjustRightInd w:val="0"/>
                    <w:snapToGrid w:val="0"/>
                    <w:jc w:val="center"/>
                    <w:rPr>
                      <w:rFonts w:hint="default"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003</w:t>
                  </w:r>
                  <w:r>
                    <w:rPr>
                      <w:rFonts w:hint="eastAsia" w:cs="FangSong_GB2312-Identity-H"/>
                    </w:rPr>
                    <w:t>-</w:t>
                  </w:r>
                  <w:r>
                    <w:rPr>
                      <w:rFonts w:hint="eastAsia" w:cs="FangSong_GB2312-Identity-H"/>
                      <w:lang w:val="en-US" w:eastAsia="zh-CN"/>
                    </w:rPr>
                    <w:t>S17</w:t>
                  </w:r>
                </w:p>
              </w:tc>
              <w:tc>
                <w:tcPr>
                  <w:tcW w:w="951" w:type="dxa"/>
                  <w:shd w:val="clear" w:color="auto" w:fill="auto"/>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noWrap w:val="0"/>
                  <w:vAlign w:val="center"/>
                </w:tcPr>
                <w:p>
                  <w:pPr>
                    <w:autoSpaceDE w:val="0"/>
                    <w:autoSpaceDN w:val="0"/>
                    <w:adjustRightInd w:val="0"/>
                    <w:snapToGrid w:val="0"/>
                    <w:jc w:val="center"/>
                    <w:rPr>
                      <w:rFonts w:cs="FangSong_GB2312-Identity-H"/>
                    </w:rPr>
                  </w:pPr>
                  <w:r>
                    <w:rPr>
                      <w:rFonts w:hint="eastAsia"/>
                    </w:rPr>
                    <w:t>3</w:t>
                  </w:r>
                </w:p>
              </w:tc>
              <w:tc>
                <w:tcPr>
                  <w:tcW w:w="127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一般包装材料</w:t>
                  </w:r>
                </w:p>
              </w:tc>
              <w:tc>
                <w:tcPr>
                  <w:tcW w:w="782"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生产</w:t>
                  </w:r>
                </w:p>
              </w:tc>
              <w:tc>
                <w:tcPr>
                  <w:tcW w:w="42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1291"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塑料绑带、塑料袋</w:t>
                  </w:r>
                </w:p>
              </w:tc>
              <w:tc>
                <w:tcPr>
                  <w:tcW w:w="703" w:type="dxa"/>
                  <w:vMerge w:val="continue"/>
                  <w:noWrap w:val="0"/>
                  <w:vAlign w:val="center"/>
                </w:tcPr>
                <w:p>
                  <w:pPr>
                    <w:adjustRightInd w:val="0"/>
                    <w:snapToGrid w:val="0"/>
                    <w:jc w:val="center"/>
                    <w:rPr>
                      <w:rFonts w:hint="eastAsia" w:cs="FangSong_GB2312-Identity-H"/>
                    </w:rPr>
                  </w:pPr>
                </w:p>
              </w:tc>
              <w:tc>
                <w:tcPr>
                  <w:tcW w:w="1178" w:type="dxa"/>
                  <w:vMerge w:val="continue"/>
                  <w:noWrap w:val="0"/>
                  <w:vAlign w:val="center"/>
                </w:tcPr>
                <w:p>
                  <w:pPr>
                    <w:adjustRightInd w:val="0"/>
                    <w:snapToGrid w:val="0"/>
                    <w:jc w:val="center"/>
                    <w:rPr>
                      <w:rFonts w:cs="FangSong_GB2312-Identity-H"/>
                    </w:rPr>
                  </w:pPr>
                </w:p>
              </w:tc>
              <w:tc>
                <w:tcPr>
                  <w:tcW w:w="1313" w:type="dxa"/>
                  <w:shd w:val="clear" w:color="auto" w:fill="auto"/>
                  <w:noWrap w:val="0"/>
                  <w:vAlign w:val="center"/>
                </w:tcPr>
                <w:p>
                  <w:pPr>
                    <w:adjustRightInd w:val="0"/>
                    <w:snapToGrid w:val="0"/>
                    <w:jc w:val="center"/>
                    <w:rPr>
                      <w:rFonts w:hint="default" w:ascii="Times New Roman" w:hAnsi="Times New Roman" w:eastAsia="宋体" w:cs="FangSong_GB2312-Identity-H"/>
                      <w:kern w:val="2"/>
                      <w:sz w:val="21"/>
                      <w:szCs w:val="24"/>
                      <w:lang w:val="en-US" w:eastAsia="zh-CN" w:bidi="ar-SA"/>
                    </w:rPr>
                  </w:pPr>
                  <w:r>
                    <w:rPr>
                      <w:rFonts w:hint="eastAsia"/>
                    </w:rPr>
                    <w:t>900</w:t>
                  </w:r>
                  <w:r>
                    <w:t>-0</w:t>
                  </w:r>
                  <w:r>
                    <w:rPr>
                      <w:rFonts w:hint="eastAsia"/>
                      <w:lang w:val="en-US" w:eastAsia="zh-CN"/>
                    </w:rPr>
                    <w:t>9</w:t>
                  </w:r>
                  <w:r>
                    <w:rPr>
                      <w:rFonts w:hint="eastAsia"/>
                    </w:rPr>
                    <w:t>9</w:t>
                  </w:r>
                  <w:r>
                    <w:t>-</w:t>
                  </w:r>
                  <w:r>
                    <w:rPr>
                      <w:rFonts w:hint="eastAsia"/>
                      <w:lang w:val="en-US" w:eastAsia="zh-CN"/>
                    </w:rPr>
                    <w:t>S17</w:t>
                  </w:r>
                </w:p>
              </w:tc>
              <w:tc>
                <w:tcPr>
                  <w:tcW w:w="951" w:type="dxa"/>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noWrap w:val="0"/>
                  <w:vAlign w:val="center"/>
                </w:tcPr>
                <w:p>
                  <w:pPr>
                    <w:autoSpaceDE w:val="0"/>
                    <w:autoSpaceDN w:val="0"/>
                    <w:adjustRightInd w:val="0"/>
                    <w:snapToGrid w:val="0"/>
                    <w:jc w:val="center"/>
                  </w:pPr>
                  <w:r>
                    <w:rPr>
                      <w:rFonts w:hint="eastAsia"/>
                    </w:rPr>
                    <w:t>4</w:t>
                  </w:r>
                </w:p>
              </w:tc>
              <w:tc>
                <w:tcPr>
                  <w:tcW w:w="1279" w:type="dxa"/>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782" w:type="dxa"/>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设备维护</w:t>
                  </w:r>
                </w:p>
              </w:tc>
              <w:tc>
                <w:tcPr>
                  <w:tcW w:w="42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固</w:t>
                  </w:r>
                </w:p>
              </w:tc>
              <w:tc>
                <w:tcPr>
                  <w:tcW w:w="1291" w:type="dxa"/>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手套、抹布、机油</w:t>
                  </w:r>
                </w:p>
              </w:tc>
              <w:tc>
                <w:tcPr>
                  <w:tcW w:w="703" w:type="dxa"/>
                  <w:vMerge w:val="restart"/>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危险废物</w:t>
                  </w:r>
                </w:p>
              </w:tc>
              <w:tc>
                <w:tcPr>
                  <w:tcW w:w="1178" w:type="dxa"/>
                  <w:vMerge w:val="restart"/>
                  <w:shd w:val="clear" w:color="auto" w:fill="auto"/>
                  <w:noWrap w:val="0"/>
                  <w:vAlign w:val="center"/>
                </w:tcPr>
                <w:p>
                  <w:pPr>
                    <w:adjustRightInd w:val="0"/>
                    <w:snapToGrid w:val="0"/>
                    <w:jc w:val="center"/>
                    <w:rPr>
                      <w:rFonts w:ascii="Times New Roman" w:hAnsi="Times New Roman" w:eastAsia="宋体" w:cs="FangSong_GB2312-Identity-H"/>
                      <w:kern w:val="2"/>
                      <w:sz w:val="21"/>
                      <w:szCs w:val="24"/>
                      <w:lang w:val="en-US" w:eastAsia="zh-CN" w:bidi="ar-SA"/>
                    </w:rPr>
                  </w:pPr>
                  <w:r>
                    <w:rPr>
                      <w:rFonts w:hint="eastAsia" w:cs="FangSong_GB2312-Identity-H"/>
                    </w:rPr>
                    <w:t>《国家危险废物名录》</w:t>
                  </w:r>
                  <w:r>
                    <w:rPr>
                      <w:rFonts w:hint="eastAsia" w:cs="FangSong_GB2312-Identity-H"/>
                      <w:lang w:eastAsia="zh-CN"/>
                    </w:rPr>
                    <w:t>（</w:t>
                  </w:r>
                  <w:r>
                    <w:rPr>
                      <w:rFonts w:hint="eastAsia" w:cs="FangSong_GB2312-Identity-H"/>
                      <w:lang w:val="en-US" w:eastAsia="zh-CN"/>
                    </w:rPr>
                    <w:t>2025年版</w:t>
                  </w:r>
                  <w:r>
                    <w:rPr>
                      <w:rFonts w:hint="eastAsia" w:cs="FangSong_GB2312-Identity-H"/>
                      <w:lang w:eastAsia="zh-CN"/>
                    </w:rPr>
                    <w:t>）</w:t>
                  </w:r>
                </w:p>
              </w:tc>
              <w:tc>
                <w:tcPr>
                  <w:tcW w:w="1313" w:type="dxa"/>
                  <w:shd w:val="clear" w:color="auto" w:fill="auto"/>
                  <w:noWrap w:val="0"/>
                  <w:vAlign w:val="center"/>
                </w:tcPr>
                <w:p>
                  <w:pPr>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900</w:t>
                  </w:r>
                  <w:r>
                    <w:t>-</w:t>
                  </w:r>
                  <w:r>
                    <w:rPr>
                      <w:rFonts w:hint="eastAsia"/>
                      <w:lang w:val="en-US" w:eastAsia="zh-CN"/>
                    </w:rPr>
                    <w:t>041</w:t>
                  </w:r>
                  <w:r>
                    <w:t>-</w:t>
                  </w:r>
                  <w:r>
                    <w:rPr>
                      <w:rFonts w:hint="eastAsia"/>
                      <w:lang w:val="en-US" w:eastAsia="zh-CN"/>
                    </w:rPr>
                    <w:t>49</w:t>
                  </w:r>
                </w:p>
              </w:tc>
              <w:tc>
                <w:tcPr>
                  <w:tcW w:w="951" w:type="dxa"/>
                  <w:shd w:val="clear" w:color="auto" w:fill="auto"/>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0.01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w:t>
                  </w:r>
                </w:p>
              </w:tc>
              <w:tc>
                <w:tcPr>
                  <w:tcW w:w="127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废机油</w:t>
                  </w:r>
                </w:p>
              </w:tc>
              <w:tc>
                <w:tcPr>
                  <w:tcW w:w="782"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w:t>
                  </w:r>
                </w:p>
              </w:tc>
              <w:tc>
                <w:tcPr>
                  <w:tcW w:w="42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液</w:t>
                  </w:r>
                </w:p>
              </w:tc>
              <w:tc>
                <w:tcPr>
                  <w:tcW w:w="1291"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机油</w:t>
                  </w:r>
                </w:p>
              </w:tc>
              <w:tc>
                <w:tcPr>
                  <w:tcW w:w="703" w:type="dxa"/>
                  <w:vMerge w:val="continue"/>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p>
              </w:tc>
              <w:tc>
                <w:tcPr>
                  <w:tcW w:w="1178" w:type="dxa"/>
                  <w:vMerge w:val="continue"/>
                  <w:shd w:val="clear" w:color="auto" w:fill="auto"/>
                  <w:noWrap w:val="0"/>
                  <w:vAlign w:val="center"/>
                </w:tcPr>
                <w:p>
                  <w:pPr>
                    <w:adjustRightInd w:val="0"/>
                    <w:snapToGrid w:val="0"/>
                    <w:jc w:val="center"/>
                    <w:rPr>
                      <w:rFonts w:hint="eastAsia" w:cs="FangSong_GB2312-Identity-H"/>
                    </w:rPr>
                  </w:pPr>
                </w:p>
              </w:tc>
              <w:tc>
                <w:tcPr>
                  <w:tcW w:w="1313" w:type="dxa"/>
                  <w:shd w:val="clear" w:color="auto" w:fill="auto"/>
                  <w:noWrap w:val="0"/>
                  <w:vAlign w:val="center"/>
                </w:tcPr>
                <w:p>
                  <w:pPr>
                    <w:adjustRightInd w:val="0"/>
                    <w:snapToGrid w:val="0"/>
                    <w:jc w:val="center"/>
                    <w:rPr>
                      <w:rFonts w:hint="default" w:eastAsia="宋体"/>
                      <w:lang w:val="en-US" w:eastAsia="zh-CN"/>
                    </w:rPr>
                  </w:pPr>
                  <w:r>
                    <w:rPr>
                      <w:rFonts w:hint="eastAsia"/>
                      <w:lang w:val="en-US" w:eastAsia="zh-CN"/>
                    </w:rPr>
                    <w:t>900-249-08</w:t>
                  </w:r>
                </w:p>
              </w:tc>
              <w:tc>
                <w:tcPr>
                  <w:tcW w:w="951" w:type="dxa"/>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0.01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23" w:hRule="atLeast"/>
              </w:trPr>
              <w:tc>
                <w:tcPr>
                  <w:tcW w:w="467"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6</w:t>
                  </w:r>
                </w:p>
              </w:tc>
              <w:tc>
                <w:tcPr>
                  <w:tcW w:w="127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空压机含油废水</w:t>
                  </w:r>
                </w:p>
              </w:tc>
              <w:tc>
                <w:tcPr>
                  <w:tcW w:w="782"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设备运行</w:t>
                  </w:r>
                </w:p>
              </w:tc>
              <w:tc>
                <w:tcPr>
                  <w:tcW w:w="427"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液</w:t>
                  </w:r>
                </w:p>
              </w:tc>
              <w:tc>
                <w:tcPr>
                  <w:tcW w:w="1291"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油水混合物</w:t>
                  </w:r>
                </w:p>
              </w:tc>
              <w:tc>
                <w:tcPr>
                  <w:tcW w:w="703" w:type="dxa"/>
                  <w:vMerge w:val="continue"/>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p>
              </w:tc>
              <w:tc>
                <w:tcPr>
                  <w:tcW w:w="1178" w:type="dxa"/>
                  <w:vMerge w:val="continue"/>
                  <w:shd w:val="clear" w:color="auto" w:fill="auto"/>
                  <w:noWrap w:val="0"/>
                  <w:vAlign w:val="center"/>
                </w:tcPr>
                <w:p>
                  <w:pPr>
                    <w:adjustRightInd w:val="0"/>
                    <w:snapToGrid w:val="0"/>
                    <w:jc w:val="center"/>
                    <w:rPr>
                      <w:rFonts w:hint="eastAsia" w:cs="FangSong_GB2312-Identity-H"/>
                    </w:rPr>
                  </w:pPr>
                </w:p>
              </w:tc>
              <w:tc>
                <w:tcPr>
                  <w:tcW w:w="1313" w:type="dxa"/>
                  <w:shd w:val="clear" w:color="auto" w:fill="auto"/>
                  <w:noWrap w:val="0"/>
                  <w:vAlign w:val="center"/>
                </w:tcPr>
                <w:p>
                  <w:pPr>
                    <w:adjustRightInd w:val="0"/>
                    <w:snapToGrid w:val="0"/>
                    <w:jc w:val="center"/>
                    <w:rPr>
                      <w:rFonts w:hint="default" w:eastAsia="宋体"/>
                      <w:lang w:val="en-US" w:eastAsia="zh-CN"/>
                    </w:rPr>
                  </w:pPr>
                  <w:r>
                    <w:rPr>
                      <w:rFonts w:hint="eastAsia"/>
                      <w:lang w:val="en-US" w:eastAsia="zh-CN"/>
                    </w:rPr>
                    <w:t>900-007-09</w:t>
                  </w:r>
                </w:p>
              </w:tc>
              <w:tc>
                <w:tcPr>
                  <w:tcW w:w="951" w:type="dxa"/>
                  <w:shd w:val="clear" w:color="auto" w:fill="auto"/>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0.5</w:t>
                  </w:r>
                </w:p>
              </w:tc>
            </w:tr>
          </w:tbl>
          <w:p>
            <w:pPr>
              <w:pStyle w:val="15"/>
              <w:adjustRightInd w:val="0"/>
              <w:snapToGrid w:val="0"/>
              <w:jc w:val="center"/>
              <w:rPr>
                <w:rFonts w:ascii="Times New Roman" w:hAnsi="Times New Roman"/>
                <w:b/>
                <w:sz w:val="21"/>
                <w:szCs w:val="21"/>
              </w:rPr>
            </w:pPr>
          </w:p>
          <w:p>
            <w:pPr>
              <w:spacing w:line="360" w:lineRule="auto"/>
              <w:ind w:firstLine="482" w:firstLineChars="200"/>
              <w:rPr>
                <w:b/>
                <w:bCs/>
                <w:sz w:val="24"/>
                <w:szCs w:val="24"/>
              </w:rPr>
            </w:pPr>
            <w:r>
              <w:rPr>
                <w:rFonts w:hint="eastAsia"/>
                <w:b/>
                <w:bCs/>
                <w:sz w:val="24"/>
                <w:szCs w:val="24"/>
                <w:lang w:val="en-US" w:eastAsia="zh-CN"/>
              </w:rPr>
              <w:t>4.</w:t>
            </w:r>
            <w:r>
              <w:rPr>
                <w:rFonts w:hint="eastAsia"/>
                <w:b/>
                <w:bCs/>
                <w:sz w:val="24"/>
                <w:szCs w:val="24"/>
              </w:rPr>
              <w:t>固体废物</w:t>
            </w:r>
            <w:r>
              <w:rPr>
                <w:rFonts w:hint="eastAsia"/>
                <w:b/>
                <w:bCs/>
                <w:sz w:val="24"/>
                <w:szCs w:val="24"/>
                <w:lang w:val="en-US" w:eastAsia="zh-CN"/>
              </w:rPr>
              <w:t>利用处置</w:t>
            </w:r>
            <w:r>
              <w:rPr>
                <w:rFonts w:hint="eastAsia"/>
                <w:b/>
                <w:bCs/>
                <w:sz w:val="24"/>
                <w:szCs w:val="24"/>
              </w:rPr>
              <w:t>情况</w:t>
            </w:r>
          </w:p>
          <w:p>
            <w:pPr>
              <w:adjustRightInd w:val="0"/>
              <w:snapToGrid w:val="0"/>
              <w:spacing w:line="360" w:lineRule="auto"/>
              <w:ind w:firstLine="480" w:firstLineChars="200"/>
              <w:rPr>
                <w:rFonts w:hint="default" w:eastAsia="宋体"/>
                <w:sz w:val="24"/>
                <w:szCs w:val="24"/>
                <w:lang w:val="en-US" w:eastAsia="zh-CN"/>
              </w:rPr>
            </w:pPr>
            <w:r>
              <w:rPr>
                <w:rFonts w:hint="eastAsia"/>
                <w:sz w:val="24"/>
                <w:szCs w:val="24"/>
              </w:rPr>
              <w:t>本项目运营过程产生的</w:t>
            </w:r>
            <w:r>
              <w:rPr>
                <w:rFonts w:hint="eastAsia"/>
                <w:sz w:val="24"/>
                <w:szCs w:val="24"/>
                <w:lang w:val="en-US" w:eastAsia="zh-CN"/>
              </w:rPr>
              <w:t>残次品</w:t>
            </w:r>
            <w:r>
              <w:rPr>
                <w:rFonts w:hint="eastAsia"/>
                <w:sz w:val="24"/>
                <w:szCs w:val="24"/>
              </w:rPr>
              <w:t>、</w:t>
            </w:r>
            <w:r>
              <w:rPr>
                <w:rFonts w:hint="eastAsia"/>
                <w:sz w:val="24"/>
                <w:szCs w:val="24"/>
                <w:lang w:val="en-US" w:eastAsia="zh-CN"/>
              </w:rPr>
              <w:t>废</w:t>
            </w:r>
            <w:r>
              <w:rPr>
                <w:rFonts w:hint="eastAsia"/>
                <w:sz w:val="24"/>
                <w:szCs w:val="24"/>
              </w:rPr>
              <w:t>包装材料等属一般固废</w:t>
            </w:r>
            <w:r>
              <w:rPr>
                <w:rFonts w:hint="eastAsia"/>
                <w:sz w:val="24"/>
                <w:szCs w:val="24"/>
                <w:lang w:eastAsia="zh-CN"/>
              </w:rPr>
              <w:t>，</w:t>
            </w:r>
            <w:r>
              <w:rPr>
                <w:rFonts w:hint="eastAsia"/>
                <w:sz w:val="24"/>
                <w:szCs w:val="24"/>
              </w:rPr>
              <w:t>集中收集后</w:t>
            </w:r>
            <w:r>
              <w:rPr>
                <w:rFonts w:hint="eastAsia"/>
                <w:sz w:val="24"/>
                <w:szCs w:val="24"/>
                <w:lang w:val="en-US" w:eastAsia="zh-CN"/>
              </w:rPr>
              <w:t>委托利用</w:t>
            </w:r>
            <w:r>
              <w:rPr>
                <w:rFonts w:hint="eastAsia"/>
                <w:sz w:val="24"/>
                <w:szCs w:val="24"/>
              </w:rPr>
              <w:t>；废抹布手套</w:t>
            </w:r>
            <w:r>
              <w:rPr>
                <w:rFonts w:hint="eastAsia"/>
                <w:sz w:val="24"/>
                <w:szCs w:val="24"/>
                <w:lang w:eastAsia="zh-CN"/>
              </w:rPr>
              <w:t>、</w:t>
            </w:r>
            <w:r>
              <w:rPr>
                <w:rFonts w:hint="eastAsia"/>
                <w:sz w:val="24"/>
                <w:szCs w:val="24"/>
                <w:lang w:val="en-US" w:eastAsia="zh-CN"/>
              </w:rPr>
              <w:t>废机油、空压机含油废水</w:t>
            </w:r>
            <w:r>
              <w:rPr>
                <w:rFonts w:hint="eastAsia"/>
                <w:sz w:val="24"/>
                <w:szCs w:val="24"/>
              </w:rPr>
              <w:t>等属</w:t>
            </w:r>
            <w:r>
              <w:rPr>
                <w:rFonts w:hint="eastAsia"/>
                <w:sz w:val="24"/>
                <w:szCs w:val="24"/>
                <w:lang w:val="en-US" w:eastAsia="zh-CN"/>
              </w:rPr>
              <w:t>危险</w:t>
            </w:r>
            <w:r>
              <w:rPr>
                <w:rFonts w:hint="eastAsia"/>
                <w:sz w:val="24"/>
                <w:szCs w:val="24"/>
              </w:rPr>
              <w:t>固废</w:t>
            </w:r>
            <w:r>
              <w:rPr>
                <w:rFonts w:hint="eastAsia"/>
                <w:sz w:val="24"/>
                <w:szCs w:val="24"/>
                <w:lang w:eastAsia="zh-CN"/>
              </w:rPr>
              <w:t>，</w:t>
            </w:r>
            <w:r>
              <w:rPr>
                <w:rFonts w:hint="eastAsia"/>
                <w:sz w:val="24"/>
                <w:szCs w:val="24"/>
              </w:rPr>
              <w:t>集中收集后</w:t>
            </w:r>
            <w:r>
              <w:rPr>
                <w:rFonts w:hint="eastAsia"/>
                <w:sz w:val="24"/>
                <w:szCs w:val="24"/>
                <w:lang w:val="en-US" w:eastAsia="zh-CN"/>
              </w:rPr>
              <w:t>委托处置</w:t>
            </w:r>
            <w:r>
              <w:rPr>
                <w:rFonts w:hint="eastAsia"/>
                <w:sz w:val="24"/>
                <w:szCs w:val="24"/>
              </w:rPr>
              <w:t>。</w:t>
            </w:r>
            <w:r>
              <w:rPr>
                <w:rFonts w:hint="eastAsia"/>
                <w:sz w:val="24"/>
                <w:szCs w:val="24"/>
                <w:lang w:val="en-US" w:eastAsia="zh-CN"/>
              </w:rPr>
              <w:t>生活垃圾环卫清运。</w:t>
            </w:r>
          </w:p>
          <w:p>
            <w:pPr>
              <w:spacing w:line="360" w:lineRule="auto"/>
              <w:jc w:val="center"/>
              <w:rPr>
                <w:rFonts w:hint="eastAsia"/>
                <w:sz w:val="24"/>
                <w:szCs w:val="24"/>
              </w:rPr>
            </w:pPr>
            <w:r>
              <w:rPr>
                <w:b/>
                <w:sz w:val="24"/>
                <w:szCs w:val="32"/>
              </w:rPr>
              <w:t>表4-</w:t>
            </w:r>
            <w:r>
              <w:rPr>
                <w:rFonts w:hint="eastAsia"/>
                <w:b/>
                <w:sz w:val="24"/>
                <w:szCs w:val="32"/>
                <w:lang w:val="en-US" w:eastAsia="zh-CN"/>
              </w:rPr>
              <w:t>18</w:t>
            </w:r>
            <w:r>
              <w:rPr>
                <w:rFonts w:hint="eastAsia"/>
                <w:b/>
                <w:sz w:val="24"/>
                <w:szCs w:val="32"/>
              </w:rPr>
              <w:t>固体废物利用处置方式</w:t>
            </w:r>
          </w:p>
          <w:tbl>
            <w:tblPr>
              <w:tblStyle w:val="30"/>
              <w:tblW w:w="849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0"/>
              <w:gridCol w:w="1131"/>
              <w:gridCol w:w="1650"/>
              <w:gridCol w:w="1859"/>
              <w:gridCol w:w="616"/>
              <w:gridCol w:w="1153"/>
              <w:gridCol w:w="1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序号</w:t>
                  </w:r>
                </w:p>
              </w:tc>
              <w:tc>
                <w:tcPr>
                  <w:tcW w:w="1131" w:type="dxa"/>
                  <w:tcBorders>
                    <w:tl2br w:val="nil"/>
                    <w:tr2bl w:val="nil"/>
                  </w:tcBorders>
                  <w:noWrap w:val="0"/>
                  <w:vAlign w:val="center"/>
                </w:tcPr>
                <w:p>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固废名称</w:t>
                  </w:r>
                </w:p>
              </w:tc>
              <w:tc>
                <w:tcPr>
                  <w:tcW w:w="1650" w:type="dxa"/>
                  <w:tcBorders>
                    <w:tl2br w:val="nil"/>
                    <w:tr2bl w:val="nil"/>
                  </w:tcBorders>
                  <w:noWrap w:val="0"/>
                  <w:vAlign w:val="center"/>
                </w:tcPr>
                <w:p>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产生工序</w:t>
                  </w:r>
                </w:p>
              </w:tc>
              <w:tc>
                <w:tcPr>
                  <w:tcW w:w="1859" w:type="dxa"/>
                  <w:tcBorders>
                    <w:tl2br w:val="nil"/>
                    <w:tr2bl w:val="nil"/>
                  </w:tcBorders>
                  <w:noWrap w:val="0"/>
                  <w:vAlign w:val="center"/>
                </w:tcPr>
                <w:p>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主要成分</w:t>
                  </w:r>
                </w:p>
              </w:tc>
              <w:tc>
                <w:tcPr>
                  <w:tcW w:w="616" w:type="dxa"/>
                  <w:tcBorders>
                    <w:tl2br w:val="nil"/>
                    <w:tr2bl w:val="nil"/>
                  </w:tcBorders>
                  <w:noWrap w:val="0"/>
                  <w:vAlign w:val="center"/>
                </w:tcPr>
                <w:p>
                  <w:pPr>
                    <w:wordWrap w:val="0"/>
                    <w:spacing w:line="240" w:lineRule="auto"/>
                    <w:ind w:left="0" w:leftChars="0" w:right="0" w:rightChars="0"/>
                    <w:jc w:val="center"/>
                    <w:rPr>
                      <w:rFonts w:hint="eastAsia" w:ascii="Times New Roman" w:hAnsi="Times New Roman" w:eastAsia="宋体" w:cs="Times New Roman"/>
                      <w:b/>
                      <w:bCs/>
                      <w:caps w:val="0"/>
                      <w:color w:val="auto"/>
                      <w:sz w:val="21"/>
                      <w:szCs w:val="21"/>
                      <w:lang w:val="en-US" w:eastAsia="zh-CN"/>
                    </w:rPr>
                  </w:pPr>
                  <w:r>
                    <w:rPr>
                      <w:rFonts w:hint="eastAsia" w:ascii="Times New Roman" w:hAnsi="Times New Roman" w:eastAsia="宋体" w:cs="Times New Roman"/>
                      <w:b/>
                      <w:bCs/>
                      <w:caps w:val="0"/>
                      <w:color w:val="auto"/>
                      <w:sz w:val="21"/>
                      <w:szCs w:val="21"/>
                      <w:lang w:val="en-US" w:eastAsia="zh-CN"/>
                    </w:rPr>
                    <w:t>类别</w:t>
                  </w:r>
                </w:p>
              </w:tc>
              <w:tc>
                <w:tcPr>
                  <w:tcW w:w="1153" w:type="dxa"/>
                  <w:tcBorders>
                    <w:tl2br w:val="nil"/>
                    <w:tr2bl w:val="nil"/>
                  </w:tcBorders>
                  <w:noWrap w:val="0"/>
                  <w:vAlign w:val="center"/>
                </w:tcPr>
                <w:p>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废物代码</w:t>
                  </w:r>
                </w:p>
              </w:tc>
              <w:tc>
                <w:tcPr>
                  <w:tcW w:w="1650" w:type="dxa"/>
                  <w:tcBorders>
                    <w:tl2br w:val="nil"/>
                    <w:tr2bl w:val="nil"/>
                  </w:tcBorders>
                  <w:noWrap w:val="0"/>
                  <w:vAlign w:val="center"/>
                </w:tcPr>
                <w:p>
                  <w:pPr>
                    <w:wordWrap w:val="0"/>
                    <w:spacing w:line="240" w:lineRule="auto"/>
                    <w:ind w:left="0" w:leftChars="0" w:right="0" w:rightChars="0"/>
                    <w:jc w:val="center"/>
                    <w:rPr>
                      <w:rFonts w:hint="default" w:ascii="Times New Roman" w:hAnsi="Times New Roman" w:eastAsia="宋体" w:cs="Times New Roman"/>
                      <w:b/>
                      <w:bCs/>
                      <w:caps w:val="0"/>
                      <w:color w:val="auto"/>
                      <w:sz w:val="21"/>
                      <w:szCs w:val="21"/>
                    </w:rPr>
                  </w:pPr>
                  <w:r>
                    <w:rPr>
                      <w:rFonts w:hint="default" w:ascii="Times New Roman" w:hAnsi="Times New Roman" w:eastAsia="宋体" w:cs="Times New Roman"/>
                      <w:b/>
                      <w:bCs/>
                      <w:caps w:val="0"/>
                      <w:color w:val="auto"/>
                      <w:sz w:val="21"/>
                      <w:szCs w:val="21"/>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1</w:t>
                  </w:r>
                </w:p>
              </w:tc>
              <w:tc>
                <w:tcPr>
                  <w:tcW w:w="1131"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生活垃圾</w:t>
                  </w:r>
                </w:p>
              </w:tc>
              <w:tc>
                <w:tcPr>
                  <w:tcW w:w="1650"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员工生活</w:t>
                  </w:r>
                </w:p>
              </w:tc>
              <w:tc>
                <w:tcPr>
                  <w:tcW w:w="1859"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t>纸张等</w:t>
                  </w:r>
                </w:p>
              </w:tc>
              <w:tc>
                <w:tcPr>
                  <w:tcW w:w="616" w:type="dxa"/>
                  <w:tcBorders>
                    <w:tl2br w:val="nil"/>
                    <w:tr2bl w:val="nil"/>
                  </w:tcBorders>
                  <w:shd w:val="clear" w:color="auto" w:fill="auto"/>
                  <w:noWrap w:val="0"/>
                  <w:vAlign w:val="center"/>
                </w:tcPr>
                <w:p>
                  <w:pPr>
                    <w:adjustRightInd w:val="0"/>
                    <w:snapToGrid w:val="0"/>
                    <w:jc w:val="center"/>
                    <w:rPr>
                      <w:rFonts w:hint="default" w:eastAsia="宋体" w:cs="FangSong_GB2312-Identity-H"/>
                      <w:lang w:val="en-US" w:eastAsia="zh-CN"/>
                    </w:rPr>
                  </w:pPr>
                  <w:r>
                    <w:rPr>
                      <w:rFonts w:hint="eastAsia" w:cs="FangSong_GB2312-Identity-H"/>
                      <w:lang w:val="en-US" w:eastAsia="zh-CN"/>
                    </w:rPr>
                    <w:t>SW64</w:t>
                  </w:r>
                </w:p>
              </w:tc>
              <w:tc>
                <w:tcPr>
                  <w:tcW w:w="1153"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w:t>
                  </w:r>
                  <w:r>
                    <w:rPr>
                      <w:rFonts w:hint="eastAsia" w:cs="FangSong_GB2312-Identity-H"/>
                    </w:rPr>
                    <w:t>99-</w:t>
                  </w:r>
                  <w:r>
                    <w:rPr>
                      <w:rFonts w:hint="eastAsia" w:cs="FangSong_GB2312-Identity-H"/>
                      <w:lang w:val="en-US" w:eastAsia="zh-CN"/>
                    </w:rPr>
                    <w:t>S64</w:t>
                  </w:r>
                </w:p>
              </w:tc>
              <w:tc>
                <w:tcPr>
                  <w:tcW w:w="1650" w:type="dxa"/>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ascii="Times New Roman" w:hAnsi="Times New Roman" w:eastAsia="宋体" w:cs="Times New Roman"/>
                      <w:snapToGrid w:val="0"/>
                      <w:color w:val="auto"/>
                      <w:kern w:val="2"/>
                      <w:sz w:val="21"/>
                      <w:szCs w:val="21"/>
                      <w:lang w:val="en-US" w:eastAsia="zh-CN" w:bidi="ar-SA"/>
                    </w:rPr>
                  </w:pPr>
                  <w:r>
                    <w:rPr>
                      <w:rFonts w:hint="eastAsia"/>
                      <w:sz w:val="21"/>
                      <w:szCs w:val="21"/>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default" w:ascii="Times New Roman" w:hAnsi="Times New Roman" w:eastAsia="宋体" w:cs="Times New Roman"/>
                      <w:caps w:val="0"/>
                      <w:color w:val="auto"/>
                      <w:sz w:val="21"/>
                      <w:szCs w:val="21"/>
                    </w:rPr>
                    <w:t>2</w:t>
                  </w:r>
                </w:p>
              </w:tc>
              <w:tc>
                <w:tcPr>
                  <w:tcW w:w="1131"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残次品</w:t>
                  </w:r>
                </w:p>
              </w:tc>
              <w:tc>
                <w:tcPr>
                  <w:tcW w:w="1650"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lang w:val="en-US" w:eastAsia="zh-CN"/>
                    </w:rPr>
                    <w:t>检验</w:t>
                  </w:r>
                </w:p>
              </w:tc>
              <w:tc>
                <w:tcPr>
                  <w:tcW w:w="1859"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EPP</w:t>
                  </w:r>
                </w:p>
              </w:tc>
              <w:tc>
                <w:tcPr>
                  <w:tcW w:w="616" w:type="dxa"/>
                  <w:tcBorders>
                    <w:tl2br w:val="nil"/>
                    <w:tr2bl w:val="nil"/>
                  </w:tcBorders>
                  <w:shd w:val="clear" w:color="auto" w:fill="auto"/>
                  <w:noWrap w:val="0"/>
                  <w:vAlign w:val="center"/>
                </w:tcPr>
                <w:p>
                  <w:pPr>
                    <w:adjustRightInd w:val="0"/>
                    <w:snapToGrid w:val="0"/>
                    <w:jc w:val="center"/>
                    <w:rPr>
                      <w:rFonts w:hint="default" w:eastAsia="宋体" w:cs="FangSong_GB2312-Identity-H"/>
                      <w:lang w:val="en-US" w:eastAsia="zh-CN"/>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cs="FangSong_GB2312-Identity-H"/>
                    </w:rPr>
                    <w:t>900-</w:t>
                  </w:r>
                  <w:r>
                    <w:rPr>
                      <w:rFonts w:hint="eastAsia" w:cs="FangSong_GB2312-Identity-H"/>
                      <w:lang w:val="en-US" w:eastAsia="zh-CN"/>
                    </w:rPr>
                    <w:t>003</w:t>
                  </w:r>
                  <w:r>
                    <w:rPr>
                      <w:rFonts w:hint="eastAsia" w:cs="FangSong_GB2312-Identity-H"/>
                    </w:rPr>
                    <w:t>-</w:t>
                  </w:r>
                  <w:r>
                    <w:rPr>
                      <w:rFonts w:hint="eastAsia" w:cs="FangSong_GB2312-Identity-H"/>
                      <w:lang w:val="en-US" w:eastAsia="zh-CN"/>
                    </w:rPr>
                    <w:t>S17</w:t>
                  </w:r>
                </w:p>
              </w:tc>
              <w:tc>
                <w:tcPr>
                  <w:tcW w:w="1650"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aps w:val="0"/>
                      <w:color w:val="auto"/>
                      <w:sz w:val="21"/>
                      <w:szCs w:val="21"/>
                      <w:lang w:val="en-US" w:eastAsia="zh-CN"/>
                    </w:rPr>
                  </w:pPr>
                  <w:r>
                    <w:rPr>
                      <w:rFonts w:hint="eastAsia" w:eastAsia="宋体"/>
                      <w:sz w:val="21"/>
                      <w:szCs w:val="21"/>
                      <w:lang w:val="en-US" w:eastAsia="zh-CN"/>
                    </w:rPr>
                    <w:t>委托利用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default" w:ascii="Times New Roman" w:hAnsi="Times New Roman" w:eastAsia="宋体" w:cs="Times New Roman"/>
                      <w:caps w:val="0"/>
                      <w:color w:val="auto"/>
                      <w:sz w:val="21"/>
                      <w:szCs w:val="21"/>
                    </w:rPr>
                    <w:t>3</w:t>
                  </w:r>
                </w:p>
              </w:tc>
              <w:tc>
                <w:tcPr>
                  <w:tcW w:w="1131"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一般包装材料</w:t>
                  </w:r>
                </w:p>
              </w:tc>
              <w:tc>
                <w:tcPr>
                  <w:tcW w:w="1650"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原辅料拆包</w:t>
                  </w:r>
                </w:p>
              </w:tc>
              <w:tc>
                <w:tcPr>
                  <w:tcW w:w="1859"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塑料绑带、塑料袋</w:t>
                  </w:r>
                </w:p>
              </w:tc>
              <w:tc>
                <w:tcPr>
                  <w:tcW w:w="616" w:type="dxa"/>
                  <w:tcBorders>
                    <w:tl2br w:val="nil"/>
                    <w:tr2bl w:val="nil"/>
                  </w:tcBorders>
                  <w:shd w:val="clear" w:color="auto" w:fill="auto"/>
                  <w:noWrap w:val="0"/>
                  <w:vAlign w:val="center"/>
                </w:tcPr>
                <w:p>
                  <w:pPr>
                    <w:adjustRightInd w:val="0"/>
                    <w:snapToGrid w:val="0"/>
                    <w:jc w:val="center"/>
                    <w:rPr>
                      <w:rFonts w:hint="default" w:eastAsia="宋体" w:cs="FangSong_GB2312-Identity-H"/>
                      <w:lang w:val="en-US" w:eastAsia="zh-CN"/>
                    </w:rPr>
                  </w:pPr>
                  <w:r>
                    <w:rPr>
                      <w:rFonts w:hint="eastAsia" w:cs="FangSong_GB2312-Identity-H"/>
                      <w:lang w:val="en-US" w:eastAsia="zh-CN"/>
                    </w:rPr>
                    <w:t>SW17</w:t>
                  </w:r>
                </w:p>
              </w:tc>
              <w:tc>
                <w:tcPr>
                  <w:tcW w:w="1153"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FangSong_GB2312-Identity-H"/>
                      <w:kern w:val="2"/>
                      <w:sz w:val="21"/>
                      <w:szCs w:val="24"/>
                      <w:lang w:val="en-US" w:eastAsia="zh-CN" w:bidi="ar-SA"/>
                    </w:rPr>
                  </w:pPr>
                  <w:r>
                    <w:rPr>
                      <w:rFonts w:hint="eastAsia"/>
                    </w:rPr>
                    <w:t>900</w:t>
                  </w:r>
                  <w:r>
                    <w:t>-0</w:t>
                  </w:r>
                  <w:r>
                    <w:rPr>
                      <w:rFonts w:hint="eastAsia"/>
                      <w:lang w:val="en-US" w:eastAsia="zh-CN"/>
                    </w:rPr>
                    <w:t>9</w:t>
                  </w:r>
                  <w:r>
                    <w:rPr>
                      <w:rFonts w:hint="eastAsia"/>
                    </w:rPr>
                    <w:t>9</w:t>
                  </w:r>
                  <w:r>
                    <w:t>-</w:t>
                  </w:r>
                  <w:r>
                    <w:rPr>
                      <w:rFonts w:hint="eastAsia"/>
                      <w:lang w:val="en-US" w:eastAsia="zh-CN"/>
                    </w:rPr>
                    <w:t>S17</w:t>
                  </w:r>
                </w:p>
              </w:tc>
              <w:tc>
                <w:tcPr>
                  <w:tcW w:w="1650"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snapToGrid w:val="0"/>
                      <w:color w:val="auto"/>
                      <w:kern w:val="2"/>
                      <w:sz w:val="21"/>
                      <w:szCs w:val="21"/>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noWrap w:val="0"/>
                  <w:vAlign w:val="center"/>
                </w:tcPr>
                <w:p>
                  <w:pPr>
                    <w:spacing w:line="240" w:lineRule="auto"/>
                    <w:ind w:left="0" w:leftChars="0" w:right="0" w:rightChars="0"/>
                    <w:jc w:val="center"/>
                    <w:rPr>
                      <w:rFonts w:hint="eastAsia" w:ascii="Times New Roman" w:hAnsi="Times New Roman" w:eastAsia="宋体" w:cs="Times New Roman"/>
                      <w:caps w:val="0"/>
                      <w:color w:val="auto"/>
                      <w:kern w:val="2"/>
                      <w:sz w:val="21"/>
                      <w:szCs w:val="21"/>
                      <w:lang w:val="en-US" w:eastAsia="zh-CN" w:bidi="ar-SA"/>
                    </w:rPr>
                  </w:pPr>
                  <w:r>
                    <w:rPr>
                      <w:rFonts w:hint="eastAsia" w:ascii="Times New Roman" w:hAnsi="Times New Roman" w:eastAsia="宋体" w:cs="Times New Roman"/>
                      <w:caps w:val="0"/>
                      <w:color w:val="auto"/>
                      <w:sz w:val="21"/>
                      <w:szCs w:val="21"/>
                      <w:lang w:val="en-US" w:eastAsia="zh-CN"/>
                    </w:rPr>
                    <w:t>4</w:t>
                  </w:r>
                </w:p>
              </w:tc>
              <w:tc>
                <w:tcPr>
                  <w:tcW w:w="1131"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1650"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设备维护保养</w:t>
                  </w:r>
                </w:p>
              </w:tc>
              <w:tc>
                <w:tcPr>
                  <w:tcW w:w="1859"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手套、抹布、机油</w:t>
                  </w:r>
                </w:p>
              </w:tc>
              <w:tc>
                <w:tcPr>
                  <w:tcW w:w="616" w:type="dxa"/>
                  <w:tcBorders>
                    <w:tl2br w:val="nil"/>
                    <w:tr2bl w:val="nil"/>
                  </w:tcBorders>
                  <w:shd w:val="clear" w:color="auto" w:fill="auto"/>
                  <w:noWrap w:val="0"/>
                  <w:vAlign w:val="center"/>
                </w:tcPr>
                <w:p>
                  <w:pPr>
                    <w:adjustRightInd w:val="0"/>
                    <w:snapToGrid w:val="0"/>
                    <w:jc w:val="center"/>
                    <w:rPr>
                      <w:rFonts w:hint="default" w:eastAsia="宋体" w:cs="FangSong_GB2312-Identity-H"/>
                      <w:lang w:val="en-US" w:eastAsia="zh-CN"/>
                    </w:rPr>
                  </w:pPr>
                  <w:r>
                    <w:rPr>
                      <w:rFonts w:hint="eastAsia" w:cs="FangSong_GB2312-Identity-H"/>
                      <w:lang w:val="en-US" w:eastAsia="zh-CN"/>
                    </w:rPr>
                    <w:t>HW49</w:t>
                  </w:r>
                </w:p>
              </w:tc>
              <w:tc>
                <w:tcPr>
                  <w:tcW w:w="1153"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900</w:t>
                  </w:r>
                  <w:r>
                    <w:t>-</w:t>
                  </w:r>
                  <w:r>
                    <w:rPr>
                      <w:rFonts w:hint="eastAsia"/>
                      <w:lang w:val="en-US" w:eastAsia="zh-CN"/>
                    </w:rPr>
                    <w:t>041</w:t>
                  </w:r>
                  <w:r>
                    <w:t>-</w:t>
                  </w:r>
                  <w:r>
                    <w:rPr>
                      <w:rFonts w:hint="eastAsia"/>
                      <w:lang w:val="en-US" w:eastAsia="zh-CN"/>
                    </w:rPr>
                    <w:t>49</w:t>
                  </w:r>
                </w:p>
              </w:tc>
              <w:tc>
                <w:tcPr>
                  <w:tcW w:w="165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default" w:ascii="Times New Roman" w:hAnsi="Times New Roman" w:eastAsia="宋体" w:cs="Times New Roman"/>
                      <w:caps w:val="0"/>
                      <w:color w:val="auto"/>
                      <w:sz w:val="21"/>
                      <w:szCs w:val="21"/>
                      <w:lang w:val="en-US" w:eastAsia="zh-CN"/>
                    </w:rPr>
                  </w:pPr>
                  <w:r>
                    <w:rPr>
                      <w:rFonts w:hint="eastAsia" w:cs="Times New Roman"/>
                      <w:caps w:val="0"/>
                      <w:color w:val="auto"/>
                      <w:sz w:val="21"/>
                      <w:szCs w:val="21"/>
                      <w:lang w:val="en-US" w:eastAsia="zh-CN"/>
                    </w:rPr>
                    <w:t>委托处置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w:t>
                  </w:r>
                </w:p>
              </w:tc>
              <w:tc>
                <w:tcPr>
                  <w:tcW w:w="1131" w:type="dxa"/>
                  <w:tcBorders>
                    <w:tl2br w:val="nil"/>
                    <w:tr2bl w:val="nil"/>
                  </w:tcBorders>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废机油</w:t>
                  </w:r>
                </w:p>
              </w:tc>
              <w:tc>
                <w:tcPr>
                  <w:tcW w:w="1650" w:type="dxa"/>
                  <w:tcBorders>
                    <w:tl2br w:val="nil"/>
                    <w:tr2bl w:val="nil"/>
                  </w:tcBorders>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设备维护</w:t>
                  </w:r>
                </w:p>
              </w:tc>
              <w:tc>
                <w:tcPr>
                  <w:tcW w:w="1859" w:type="dxa"/>
                  <w:tcBorders>
                    <w:tl2br w:val="nil"/>
                    <w:tr2bl w:val="nil"/>
                  </w:tcBorders>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机油</w:t>
                  </w:r>
                </w:p>
              </w:tc>
              <w:tc>
                <w:tcPr>
                  <w:tcW w:w="616"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HW08</w:t>
                  </w:r>
                </w:p>
              </w:tc>
              <w:tc>
                <w:tcPr>
                  <w:tcW w:w="1153"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900-249-08</w:t>
                  </w:r>
                </w:p>
              </w:tc>
              <w:tc>
                <w:tcPr>
                  <w:tcW w:w="165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cs="Times New Roman"/>
                      <w:caps w:val="0"/>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Ex>
              <w:trPr>
                <w:trHeight w:val="23" w:hRule="atLeast"/>
                <w:jc w:val="center"/>
              </w:trPr>
              <w:tc>
                <w:tcPr>
                  <w:tcW w:w="440"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6</w:t>
                  </w:r>
                </w:p>
              </w:tc>
              <w:tc>
                <w:tcPr>
                  <w:tcW w:w="1131" w:type="dxa"/>
                  <w:tcBorders>
                    <w:tl2br w:val="nil"/>
                    <w:tr2bl w:val="nil"/>
                  </w:tcBorders>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空压机含油废水</w:t>
                  </w:r>
                </w:p>
              </w:tc>
              <w:tc>
                <w:tcPr>
                  <w:tcW w:w="1650" w:type="dxa"/>
                  <w:tcBorders>
                    <w:tl2br w:val="nil"/>
                    <w:tr2bl w:val="nil"/>
                  </w:tcBorders>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设备运行</w:t>
                  </w:r>
                </w:p>
              </w:tc>
              <w:tc>
                <w:tcPr>
                  <w:tcW w:w="1859" w:type="dxa"/>
                  <w:tcBorders>
                    <w:tl2br w:val="nil"/>
                    <w:tr2bl w:val="nil"/>
                  </w:tcBorders>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油水混合物</w:t>
                  </w:r>
                </w:p>
              </w:tc>
              <w:tc>
                <w:tcPr>
                  <w:tcW w:w="616" w:type="dxa"/>
                  <w:tcBorders>
                    <w:tl2br w:val="nil"/>
                    <w:tr2bl w:val="nil"/>
                  </w:tcBorders>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HW09</w:t>
                  </w:r>
                </w:p>
              </w:tc>
              <w:tc>
                <w:tcPr>
                  <w:tcW w:w="1153" w:type="dxa"/>
                  <w:tcBorders>
                    <w:tl2br w:val="nil"/>
                    <w:tr2bl w:val="nil"/>
                  </w:tcBorders>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900-007-09</w:t>
                  </w:r>
                </w:p>
              </w:tc>
              <w:tc>
                <w:tcPr>
                  <w:tcW w:w="165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rPr>
                      <w:rFonts w:hint="eastAsia" w:cs="Times New Roman"/>
                      <w:caps w:val="0"/>
                      <w:color w:val="auto"/>
                      <w:sz w:val="21"/>
                      <w:szCs w:val="21"/>
                      <w:lang w:val="en-US" w:eastAsia="zh-CN"/>
                    </w:rPr>
                  </w:pPr>
                </w:p>
              </w:tc>
            </w:tr>
          </w:tbl>
          <w:p>
            <w:pPr>
              <w:adjustRightInd w:val="0"/>
              <w:snapToGrid w:val="0"/>
              <w:spacing w:line="360" w:lineRule="auto"/>
              <w:ind w:firstLine="420" w:firstLineChars="200"/>
              <w:rPr>
                <w:rFonts w:hint="eastAsia"/>
                <w:bCs/>
              </w:rPr>
            </w:pPr>
          </w:p>
          <w:p>
            <w:pPr>
              <w:adjustRightInd w:val="0"/>
              <w:snapToGrid w:val="0"/>
              <w:spacing w:line="360" w:lineRule="auto"/>
              <w:ind w:firstLine="480" w:firstLineChars="200"/>
              <w:rPr>
                <w:bCs/>
                <w:sz w:val="24"/>
                <w:szCs w:val="32"/>
              </w:rPr>
            </w:pPr>
            <w:r>
              <w:rPr>
                <w:rFonts w:hint="eastAsia"/>
                <w:bCs/>
                <w:sz w:val="24"/>
                <w:szCs w:val="32"/>
              </w:rPr>
              <w:t>从项目固废利用及处置方式来分析，对产生的各类固废按其性质分类分区收集和暂存，并均能得到有效利用和妥善处置。在严格管理下，本项目的固体废物对周围环境不会产生二次污染。</w:t>
            </w:r>
          </w:p>
          <w:p>
            <w:pPr>
              <w:adjustRightInd w:val="0"/>
              <w:snapToGrid w:val="0"/>
              <w:spacing w:line="360" w:lineRule="auto"/>
              <w:ind w:firstLine="482" w:firstLineChars="200"/>
              <w:rPr>
                <w:rFonts w:hint="default" w:eastAsia="宋体"/>
                <w:b/>
                <w:bCs/>
                <w:sz w:val="24"/>
                <w:szCs w:val="24"/>
                <w:lang w:val="en-US" w:eastAsia="zh-CN"/>
              </w:rPr>
            </w:pPr>
            <w:r>
              <w:rPr>
                <w:rFonts w:hint="eastAsia"/>
                <w:b/>
                <w:bCs/>
                <w:sz w:val="24"/>
                <w:szCs w:val="24"/>
                <w:lang w:val="en-US" w:eastAsia="zh-CN"/>
              </w:rPr>
              <w:t>5.固废暂存场所（设施）影响分析</w:t>
            </w:r>
          </w:p>
          <w:p>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rFonts w:hint="eastAsia"/>
                <w:sz w:val="24"/>
                <w:szCs w:val="32"/>
              </w:rPr>
              <w:t>固废的收集、贮存</w:t>
            </w:r>
          </w:p>
          <w:p>
            <w:pPr>
              <w:spacing w:line="360" w:lineRule="auto"/>
              <w:ind w:firstLine="480" w:firstLineChars="200"/>
              <w:rPr>
                <w:rFonts w:hint="eastAsia" w:eastAsia="宋体"/>
                <w:sz w:val="24"/>
                <w:szCs w:val="32"/>
                <w:lang w:eastAsia="zh-CN"/>
              </w:rPr>
            </w:pPr>
            <w:r>
              <w:rPr>
                <w:rFonts w:hint="eastAsia"/>
                <w:sz w:val="24"/>
                <w:szCs w:val="32"/>
              </w:rPr>
              <w:t>本项目产生的一般工业固体废物分类收集和贮存，可以有效地防止一般固废的交叉污染，从而减少固体废物对周围环境造成的污染</w:t>
            </w:r>
            <w:r>
              <w:rPr>
                <w:rFonts w:hint="eastAsia"/>
                <w:sz w:val="24"/>
                <w:szCs w:val="32"/>
                <w:lang w:eastAsia="zh-CN"/>
              </w:rPr>
              <w:t>。</w:t>
            </w:r>
          </w:p>
          <w:p>
            <w:pPr>
              <w:spacing w:line="360" w:lineRule="auto"/>
              <w:ind w:firstLine="480" w:firstLineChars="200"/>
              <w:rPr>
                <w:sz w:val="24"/>
                <w:szCs w:val="32"/>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sz w:val="24"/>
                <w:szCs w:val="32"/>
              </w:rPr>
              <w:t>一般工业固废环境影响分析</w:t>
            </w:r>
          </w:p>
          <w:p>
            <w:pPr>
              <w:spacing w:line="360" w:lineRule="auto"/>
              <w:ind w:firstLine="480" w:firstLineChars="200"/>
              <w:rPr>
                <w:rFonts w:hint="eastAsia"/>
                <w:sz w:val="24"/>
                <w:szCs w:val="32"/>
              </w:rPr>
            </w:pPr>
            <w:r>
              <w:rPr>
                <w:rFonts w:hint="eastAsia"/>
                <w:sz w:val="24"/>
                <w:szCs w:val="32"/>
              </w:rPr>
              <w:t>依据固体废物的种类、产生量及其管理的全过程可能造成的环境影响进行分析：</w:t>
            </w:r>
          </w:p>
          <w:p>
            <w:pPr>
              <w:numPr>
                <w:ilvl w:val="0"/>
                <w:numId w:val="0"/>
              </w:numPr>
              <w:spacing w:line="360" w:lineRule="auto"/>
              <w:ind w:firstLine="480" w:firstLineChars="200"/>
              <w:rPr>
                <w:rFonts w:hint="eastAsia"/>
                <w:sz w:val="24"/>
                <w:szCs w:val="32"/>
              </w:rPr>
            </w:pPr>
            <w:r>
              <w:rPr>
                <w:rFonts w:hint="eastAsia"/>
                <w:sz w:val="24"/>
                <w:szCs w:val="32"/>
                <w:lang w:val="en-US" w:eastAsia="zh-CN"/>
              </w:rPr>
              <w:t>①</w:t>
            </w:r>
            <w:r>
              <w:rPr>
                <w:rFonts w:hint="eastAsia"/>
                <w:sz w:val="24"/>
                <w:szCs w:val="32"/>
              </w:rPr>
              <w:t>一般固废分类收集与贮存，不混放，固废相互间不影响。</w:t>
            </w:r>
          </w:p>
          <w:p>
            <w:pPr>
              <w:numPr>
                <w:ilvl w:val="0"/>
                <w:numId w:val="0"/>
              </w:numPr>
              <w:spacing w:line="360" w:lineRule="auto"/>
              <w:ind w:firstLine="480" w:firstLineChars="200"/>
              <w:rPr>
                <w:rFonts w:hint="eastAsia"/>
                <w:sz w:val="24"/>
                <w:szCs w:val="32"/>
              </w:rPr>
            </w:pPr>
            <w:r>
              <w:rPr>
                <w:rFonts w:hint="eastAsia" w:cs="Times New Roman"/>
                <w:kern w:val="2"/>
                <w:sz w:val="24"/>
                <w:szCs w:val="32"/>
                <w:lang w:val="en-US" w:eastAsia="zh-CN" w:bidi="ar-SA"/>
              </w:rPr>
              <w:t>②</w:t>
            </w:r>
            <w:r>
              <w:rPr>
                <w:rFonts w:hint="eastAsia"/>
                <w:sz w:val="24"/>
                <w:szCs w:val="32"/>
              </w:rPr>
              <w:t>一般固废运输由专业的运输单位负责，在运输过程中采用封闭运输，运输过程中不易散落，对环境影响较小。</w:t>
            </w:r>
          </w:p>
          <w:p>
            <w:pPr>
              <w:numPr>
                <w:ilvl w:val="0"/>
                <w:numId w:val="0"/>
              </w:numPr>
              <w:spacing w:line="360" w:lineRule="auto"/>
              <w:ind w:firstLine="480" w:firstLineChars="200"/>
              <w:rPr>
                <w:rFonts w:hint="eastAsia"/>
                <w:sz w:val="24"/>
                <w:szCs w:val="32"/>
              </w:rPr>
            </w:pPr>
            <w:r>
              <w:rPr>
                <w:rFonts w:hint="eastAsia" w:cs="Times New Roman"/>
                <w:kern w:val="2"/>
                <w:sz w:val="24"/>
                <w:szCs w:val="32"/>
                <w:lang w:val="en-US" w:eastAsia="zh-CN" w:bidi="ar-SA"/>
              </w:rPr>
              <w:t>③</w:t>
            </w:r>
            <w:r>
              <w:rPr>
                <w:rFonts w:hint="eastAsia"/>
                <w:sz w:val="24"/>
                <w:szCs w:val="32"/>
              </w:rPr>
              <w:t>一般固废的贮存场所地面采用防渗地面，对土壤、地下水产生的影响较小。</w:t>
            </w:r>
          </w:p>
          <w:p>
            <w:pPr>
              <w:numPr>
                <w:ilvl w:val="0"/>
                <w:numId w:val="0"/>
              </w:numPr>
              <w:spacing w:line="360" w:lineRule="auto"/>
              <w:ind w:firstLine="480" w:firstLineChars="200"/>
              <w:rPr>
                <w:rFonts w:hint="eastAsia"/>
                <w:sz w:val="24"/>
                <w:szCs w:val="32"/>
              </w:rPr>
            </w:pPr>
            <w:r>
              <w:rPr>
                <w:rFonts w:hint="eastAsia" w:cs="Times New Roman"/>
                <w:kern w:val="2"/>
                <w:sz w:val="24"/>
                <w:szCs w:val="32"/>
                <w:lang w:val="en-US" w:eastAsia="zh-CN" w:bidi="ar-SA"/>
              </w:rPr>
              <w:t>④</w:t>
            </w:r>
            <w:r>
              <w:rPr>
                <w:rFonts w:hint="eastAsia"/>
                <w:sz w:val="24"/>
                <w:szCs w:val="32"/>
              </w:rPr>
              <w:t>一般固废通过环卫清运、</w:t>
            </w:r>
            <w:r>
              <w:rPr>
                <w:rFonts w:hint="eastAsia"/>
                <w:sz w:val="24"/>
                <w:szCs w:val="32"/>
                <w:lang w:val="en-US" w:eastAsia="zh-CN"/>
              </w:rPr>
              <w:t>委托利用</w:t>
            </w:r>
            <w:r>
              <w:rPr>
                <w:rFonts w:hint="eastAsia"/>
                <w:sz w:val="24"/>
                <w:szCs w:val="32"/>
              </w:rPr>
              <w:t>等方式处置或利用，均不在厂内自行建设施处理，对大气、水体、土壤环境基本不产生影响。</w:t>
            </w:r>
          </w:p>
          <w:p>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3</w:t>
            </w:r>
            <w:r>
              <w:rPr>
                <w:rFonts w:hint="eastAsia"/>
                <w:sz w:val="24"/>
                <w:szCs w:val="32"/>
                <w:lang w:eastAsia="zh-CN"/>
              </w:rPr>
              <w:t>）</w:t>
            </w:r>
            <w:r>
              <w:rPr>
                <w:rFonts w:hint="eastAsia"/>
                <w:sz w:val="24"/>
                <w:szCs w:val="32"/>
              </w:rPr>
              <w:t>一般工业固废暂存场所要求</w:t>
            </w:r>
          </w:p>
          <w:p>
            <w:pPr>
              <w:spacing w:line="360" w:lineRule="auto"/>
              <w:ind w:firstLine="480" w:firstLineChars="200"/>
              <w:rPr>
                <w:rFonts w:cs="Times New Roman"/>
                <w:kern w:val="24"/>
                <w:sz w:val="24"/>
                <w:szCs w:val="32"/>
              </w:rPr>
            </w:pPr>
            <w:r>
              <w:rPr>
                <w:rFonts w:cs="Times New Roman"/>
                <w:kern w:val="24"/>
                <w:sz w:val="24"/>
                <w:szCs w:val="32"/>
              </w:rPr>
              <w:t>本项目产生的固体废物贮存于一般固废</w:t>
            </w:r>
            <w:r>
              <w:rPr>
                <w:rFonts w:hint="eastAsia" w:cs="Times New Roman"/>
                <w:kern w:val="24"/>
                <w:sz w:val="24"/>
                <w:szCs w:val="32"/>
              </w:rPr>
              <w:t>仓库</w:t>
            </w:r>
            <w:r>
              <w:rPr>
                <w:rFonts w:cs="Times New Roman"/>
                <w:kern w:val="24"/>
                <w:sz w:val="24"/>
                <w:szCs w:val="32"/>
              </w:rPr>
              <w:t>。</w:t>
            </w:r>
            <w:r>
              <w:rPr>
                <w:rFonts w:hint="eastAsia" w:cs="Times New Roman"/>
                <w:kern w:val="24"/>
                <w:sz w:val="24"/>
                <w:szCs w:val="32"/>
              </w:rPr>
              <w:t>本项目一般固废年产生量约</w:t>
            </w:r>
            <w:r>
              <w:rPr>
                <w:rFonts w:hint="eastAsia" w:cs="Times New Roman"/>
                <w:kern w:val="24"/>
                <w:sz w:val="24"/>
                <w:szCs w:val="32"/>
                <w:lang w:val="en-US" w:eastAsia="zh-CN"/>
              </w:rPr>
              <w:t>5.5</w:t>
            </w:r>
            <w:r>
              <w:rPr>
                <w:rFonts w:hint="eastAsia" w:cs="Times New Roman"/>
                <w:kern w:val="24"/>
                <w:sz w:val="24"/>
                <w:szCs w:val="32"/>
              </w:rPr>
              <w:t>t/a，</w:t>
            </w:r>
            <w:r>
              <w:rPr>
                <w:rFonts w:hint="eastAsia"/>
                <w:sz w:val="24"/>
                <w:szCs w:val="32"/>
              </w:rPr>
              <w:t>厂区</w:t>
            </w:r>
            <w:r>
              <w:rPr>
                <w:rFonts w:hint="eastAsia"/>
                <w:sz w:val="24"/>
                <w:szCs w:val="32"/>
                <w:lang w:val="en-US" w:eastAsia="zh-CN"/>
              </w:rPr>
              <w:t>拟建2</w:t>
            </w:r>
            <w:r>
              <w:rPr>
                <w:rFonts w:hint="eastAsia"/>
                <w:sz w:val="24"/>
                <w:szCs w:val="32"/>
              </w:rPr>
              <w:t>0m</w:t>
            </w:r>
            <w:r>
              <w:rPr>
                <w:rFonts w:hint="eastAsia"/>
                <w:sz w:val="24"/>
                <w:szCs w:val="32"/>
                <w:vertAlign w:val="superscript"/>
              </w:rPr>
              <w:t>2</w:t>
            </w:r>
            <w:r>
              <w:rPr>
                <w:rFonts w:hint="eastAsia"/>
                <w:sz w:val="24"/>
                <w:szCs w:val="32"/>
              </w:rPr>
              <w:t>的一般固废仓库，年最大存储能力为</w:t>
            </w:r>
            <w:r>
              <w:rPr>
                <w:rFonts w:hint="eastAsia"/>
                <w:sz w:val="24"/>
                <w:szCs w:val="32"/>
                <w:lang w:val="en-US" w:eastAsia="zh-CN"/>
              </w:rPr>
              <w:t>2</w:t>
            </w:r>
            <w:r>
              <w:rPr>
                <w:rFonts w:hint="eastAsia"/>
                <w:sz w:val="24"/>
                <w:szCs w:val="32"/>
              </w:rPr>
              <w:t>0t/a，</w:t>
            </w:r>
            <w:r>
              <w:rPr>
                <w:rFonts w:hint="eastAsia" w:cs="Times New Roman"/>
                <w:kern w:val="24"/>
                <w:sz w:val="24"/>
                <w:szCs w:val="32"/>
              </w:rPr>
              <w:t>可满足存储要求，</w:t>
            </w:r>
            <w:r>
              <w:rPr>
                <w:rFonts w:cs="Times New Roman"/>
                <w:kern w:val="24"/>
                <w:sz w:val="24"/>
                <w:szCs w:val="32"/>
              </w:rPr>
              <w:t>该暂存场所</w:t>
            </w:r>
            <w:r>
              <w:rPr>
                <w:rFonts w:hint="eastAsia" w:cs="Times New Roman"/>
                <w:kern w:val="24"/>
                <w:sz w:val="24"/>
                <w:szCs w:val="32"/>
              </w:rPr>
              <w:t>已</w:t>
            </w:r>
            <w:r>
              <w:rPr>
                <w:rFonts w:cs="Times New Roman"/>
                <w:kern w:val="24"/>
                <w:sz w:val="24"/>
                <w:szCs w:val="32"/>
              </w:rPr>
              <w:t>按照</w:t>
            </w:r>
            <w:r>
              <w:rPr>
                <w:rFonts w:hint="eastAsia" w:cs="Times New Roman"/>
                <w:kern w:val="24"/>
                <w:sz w:val="24"/>
                <w:szCs w:val="32"/>
              </w:rPr>
              <w:t>《一般工业固体废物贮存和填埋污染控制标准（GB18599-2020）》</w:t>
            </w:r>
            <w:r>
              <w:rPr>
                <w:rFonts w:cs="Times New Roman"/>
                <w:kern w:val="24"/>
                <w:sz w:val="24"/>
                <w:szCs w:val="32"/>
              </w:rPr>
              <w:t>要求</w:t>
            </w:r>
            <w:r>
              <w:rPr>
                <w:rFonts w:hint="eastAsia" w:cs="Times New Roman"/>
                <w:kern w:val="24"/>
                <w:sz w:val="24"/>
                <w:szCs w:val="32"/>
              </w:rPr>
              <w:t>规范</w:t>
            </w:r>
            <w:r>
              <w:rPr>
                <w:rFonts w:cs="Times New Roman"/>
                <w:kern w:val="24"/>
                <w:sz w:val="24"/>
                <w:szCs w:val="32"/>
              </w:rPr>
              <w:t>建设。</w:t>
            </w:r>
          </w:p>
          <w:p>
            <w:pPr>
              <w:spacing w:line="360" w:lineRule="auto"/>
              <w:ind w:firstLine="480" w:firstLineChars="200"/>
              <w:rPr>
                <w:rFonts w:hint="eastAsia"/>
                <w:sz w:val="24"/>
                <w:szCs w:val="32"/>
              </w:rPr>
            </w:pPr>
            <w:r>
              <w:rPr>
                <w:rFonts w:hint="eastAsia"/>
                <w:sz w:val="24"/>
                <w:szCs w:val="32"/>
              </w:rPr>
              <w:t>本项目产生的一般工业固废属于</w:t>
            </w:r>
            <w:r>
              <w:rPr>
                <w:sz w:val="24"/>
                <w:szCs w:val="32"/>
              </w:rPr>
              <w:fldChar w:fldCharType="begin"/>
            </w:r>
            <w:r>
              <w:rPr>
                <w:sz w:val="24"/>
                <w:szCs w:val="32"/>
              </w:rPr>
              <w:instrText xml:space="preserve"> </w:instrText>
            </w:r>
            <w:r>
              <w:rPr>
                <w:rFonts w:hint="eastAsia"/>
                <w:sz w:val="24"/>
                <w:szCs w:val="32"/>
              </w:rPr>
              <w:instrText xml:space="preserve">= 1 \* ROMAN</w:instrText>
            </w:r>
            <w:r>
              <w:rPr>
                <w:sz w:val="24"/>
                <w:szCs w:val="32"/>
              </w:rPr>
              <w:instrText xml:space="preserve"> </w:instrText>
            </w:r>
            <w:r>
              <w:rPr>
                <w:sz w:val="24"/>
                <w:szCs w:val="32"/>
              </w:rPr>
              <w:fldChar w:fldCharType="separate"/>
            </w:r>
            <w:r>
              <w:rPr>
                <w:sz w:val="24"/>
                <w:szCs w:val="32"/>
              </w:rPr>
              <w:t>I</w:t>
            </w:r>
            <w:r>
              <w:rPr>
                <w:sz w:val="24"/>
                <w:szCs w:val="32"/>
              </w:rPr>
              <w:fldChar w:fldCharType="end"/>
            </w:r>
            <w:r>
              <w:rPr>
                <w:sz w:val="24"/>
                <w:szCs w:val="32"/>
              </w:rPr>
              <w:t>类，一般固废仓库为</w:t>
            </w:r>
            <w:r>
              <w:rPr>
                <w:sz w:val="24"/>
                <w:szCs w:val="32"/>
              </w:rPr>
              <w:fldChar w:fldCharType="begin"/>
            </w:r>
            <w:r>
              <w:rPr>
                <w:sz w:val="24"/>
                <w:szCs w:val="32"/>
              </w:rPr>
              <w:instrText xml:space="preserve"> </w:instrText>
            </w:r>
            <w:r>
              <w:rPr>
                <w:rFonts w:hint="eastAsia"/>
                <w:sz w:val="24"/>
                <w:szCs w:val="32"/>
              </w:rPr>
              <w:instrText xml:space="preserve">= 1 \* ROMAN</w:instrText>
            </w:r>
            <w:r>
              <w:rPr>
                <w:sz w:val="24"/>
                <w:szCs w:val="32"/>
              </w:rPr>
              <w:instrText xml:space="preserve"> </w:instrText>
            </w:r>
            <w:r>
              <w:rPr>
                <w:sz w:val="24"/>
                <w:szCs w:val="32"/>
              </w:rPr>
              <w:fldChar w:fldCharType="separate"/>
            </w:r>
            <w:r>
              <w:rPr>
                <w:sz w:val="24"/>
                <w:szCs w:val="32"/>
              </w:rPr>
              <w:t>I</w:t>
            </w:r>
            <w:r>
              <w:rPr>
                <w:sz w:val="24"/>
                <w:szCs w:val="32"/>
              </w:rPr>
              <w:fldChar w:fldCharType="end"/>
            </w:r>
            <w:r>
              <w:rPr>
                <w:sz w:val="24"/>
                <w:szCs w:val="32"/>
              </w:rPr>
              <w:t>类场，</w:t>
            </w:r>
            <w:r>
              <w:rPr>
                <w:rFonts w:hint="eastAsia"/>
                <w:sz w:val="24"/>
                <w:szCs w:val="32"/>
              </w:rPr>
              <w:t>建设要求：</w:t>
            </w:r>
          </w:p>
          <w:p>
            <w:pPr>
              <w:numPr>
                <w:ilvl w:val="0"/>
                <w:numId w:val="0"/>
              </w:numPr>
              <w:spacing w:line="360" w:lineRule="auto"/>
              <w:ind w:firstLine="480" w:firstLineChars="200"/>
              <w:rPr>
                <w:rFonts w:hint="eastAsia"/>
                <w:sz w:val="24"/>
                <w:szCs w:val="32"/>
              </w:rPr>
            </w:pPr>
            <w:r>
              <w:rPr>
                <w:rFonts w:hint="eastAsia"/>
                <w:sz w:val="24"/>
                <w:szCs w:val="32"/>
                <w:lang w:val="en-US" w:eastAsia="zh-CN"/>
              </w:rPr>
              <w:t>①</w:t>
            </w:r>
            <w:r>
              <w:rPr>
                <w:rFonts w:hint="eastAsia"/>
                <w:sz w:val="24"/>
                <w:szCs w:val="32"/>
              </w:rPr>
              <w:t>当天然基础层饱和渗透系数不大于1.0</w:t>
            </w:r>
            <w:r>
              <w:rPr>
                <w:sz w:val="24"/>
                <w:szCs w:val="32"/>
              </w:rPr>
              <w:t>×10</w:t>
            </w:r>
            <w:r>
              <w:rPr>
                <w:sz w:val="24"/>
                <w:szCs w:val="32"/>
                <w:vertAlign w:val="superscript"/>
              </w:rPr>
              <w:t>-</w:t>
            </w:r>
            <w:r>
              <w:rPr>
                <w:rFonts w:hint="eastAsia"/>
                <w:sz w:val="24"/>
                <w:szCs w:val="32"/>
                <w:vertAlign w:val="superscript"/>
              </w:rPr>
              <w:t>5</w:t>
            </w:r>
            <w:r>
              <w:rPr>
                <w:sz w:val="24"/>
                <w:szCs w:val="32"/>
              </w:rPr>
              <w:t>cm/s，且厚度不小于</w:t>
            </w:r>
            <w:r>
              <w:rPr>
                <w:rFonts w:hint="eastAsia"/>
                <w:sz w:val="24"/>
                <w:szCs w:val="32"/>
              </w:rPr>
              <w:t>0.75m时，可以采用天然基础层作为防渗衬层。</w:t>
            </w:r>
          </w:p>
          <w:p>
            <w:pPr>
              <w:numPr>
                <w:ilvl w:val="0"/>
                <w:numId w:val="0"/>
              </w:numPr>
              <w:spacing w:line="360" w:lineRule="auto"/>
              <w:ind w:firstLine="480" w:firstLineChars="200"/>
              <w:rPr>
                <w:rFonts w:cs="Times New Roman"/>
                <w:kern w:val="24"/>
                <w:sz w:val="24"/>
                <w:szCs w:val="32"/>
              </w:rPr>
            </w:pPr>
            <w:r>
              <w:rPr>
                <w:rFonts w:hint="eastAsia" w:cs="Times New Roman"/>
                <w:kern w:val="2"/>
                <w:sz w:val="24"/>
                <w:szCs w:val="32"/>
                <w:lang w:val="en-US" w:eastAsia="zh-CN" w:bidi="ar-SA"/>
              </w:rPr>
              <w:t>②</w:t>
            </w:r>
            <w:r>
              <w:rPr>
                <w:rFonts w:hint="eastAsia"/>
                <w:sz w:val="24"/>
                <w:szCs w:val="32"/>
              </w:rPr>
              <w:t>当天然基础层不能满足①中防渗要求时，可采用改性压实黏土类衬层或具有同等以上隔水效力的其他材料防渗衬层，其防渗性能应至少相当于渗透系数为1.0</w:t>
            </w:r>
            <w:r>
              <w:rPr>
                <w:sz w:val="24"/>
                <w:szCs w:val="32"/>
              </w:rPr>
              <w:t>×10</w:t>
            </w:r>
            <w:r>
              <w:rPr>
                <w:sz w:val="24"/>
                <w:szCs w:val="32"/>
                <w:vertAlign w:val="superscript"/>
              </w:rPr>
              <w:t>-</w:t>
            </w:r>
            <w:r>
              <w:rPr>
                <w:rFonts w:hint="eastAsia"/>
                <w:sz w:val="24"/>
                <w:szCs w:val="32"/>
                <w:vertAlign w:val="superscript"/>
              </w:rPr>
              <w:t>5</w:t>
            </w:r>
            <w:r>
              <w:rPr>
                <w:sz w:val="24"/>
                <w:szCs w:val="32"/>
              </w:rPr>
              <w:t>cm/s且厚度</w:t>
            </w:r>
            <w:r>
              <w:rPr>
                <w:rFonts w:hint="eastAsia"/>
                <w:sz w:val="24"/>
                <w:szCs w:val="32"/>
              </w:rPr>
              <w:t>为0.75m的天然基础层。</w:t>
            </w:r>
            <w:r>
              <w:rPr>
                <w:rFonts w:hint="eastAsia" w:cs="Times New Roman"/>
                <w:kern w:val="24"/>
                <w:sz w:val="24"/>
                <w:szCs w:val="32"/>
              </w:rPr>
              <w:t xml:space="preserve"> </w:t>
            </w:r>
          </w:p>
          <w:p>
            <w:pPr>
              <w:numPr>
                <w:ilvl w:val="0"/>
                <w:numId w:val="0"/>
              </w:numPr>
              <w:spacing w:line="360" w:lineRule="auto"/>
              <w:ind w:firstLine="480" w:firstLineChars="200"/>
              <w:rPr>
                <w:rFonts w:cs="Times New Roman"/>
                <w:kern w:val="24"/>
                <w:sz w:val="24"/>
                <w:szCs w:val="32"/>
              </w:rPr>
            </w:pPr>
            <w:r>
              <w:rPr>
                <w:rFonts w:hint="eastAsia" w:cs="Times New Roman"/>
                <w:kern w:val="2"/>
                <w:sz w:val="24"/>
                <w:szCs w:val="32"/>
                <w:lang w:val="en-US" w:eastAsia="zh-CN" w:bidi="ar-SA"/>
              </w:rPr>
              <w:t>③</w:t>
            </w:r>
            <w:r>
              <w:rPr>
                <w:rFonts w:cs="Times New Roman"/>
                <w:kern w:val="24"/>
                <w:sz w:val="24"/>
                <w:szCs w:val="32"/>
              </w:rPr>
              <w:t>贮存、处置场的建设类型，必须与将要堆放的一般工业固体废物的类别相一致；</w:t>
            </w:r>
          </w:p>
          <w:p>
            <w:pPr>
              <w:numPr>
                <w:ilvl w:val="0"/>
                <w:numId w:val="0"/>
              </w:numPr>
              <w:spacing w:line="360" w:lineRule="auto"/>
              <w:ind w:firstLine="480" w:firstLineChars="200"/>
              <w:rPr>
                <w:rFonts w:cs="Times New Roman"/>
                <w:kern w:val="24"/>
                <w:sz w:val="24"/>
                <w:szCs w:val="32"/>
              </w:rPr>
            </w:pPr>
            <w:r>
              <w:rPr>
                <w:rFonts w:hint="eastAsia" w:cs="Times New Roman"/>
                <w:kern w:val="2"/>
                <w:sz w:val="24"/>
                <w:szCs w:val="32"/>
                <w:lang w:val="en-US" w:eastAsia="zh-CN" w:bidi="ar-SA"/>
              </w:rPr>
              <w:t>④</w:t>
            </w:r>
            <w:r>
              <w:rPr>
                <w:rFonts w:cs="Times New Roman"/>
                <w:kern w:val="24"/>
                <w:sz w:val="24"/>
                <w:szCs w:val="32"/>
              </w:rPr>
              <w:t>贮存、处置场采取防止粉尘污染的措施；</w:t>
            </w:r>
          </w:p>
          <w:p>
            <w:pPr>
              <w:numPr>
                <w:ilvl w:val="0"/>
                <w:numId w:val="0"/>
              </w:numPr>
              <w:spacing w:line="360" w:lineRule="auto"/>
              <w:ind w:firstLine="480" w:firstLineChars="200"/>
              <w:rPr>
                <w:rFonts w:cs="Times New Roman"/>
                <w:kern w:val="24"/>
                <w:sz w:val="24"/>
                <w:szCs w:val="32"/>
              </w:rPr>
            </w:pPr>
            <w:r>
              <w:rPr>
                <w:rFonts w:hint="eastAsia" w:cs="Times New Roman"/>
                <w:kern w:val="24"/>
                <w:sz w:val="24"/>
                <w:szCs w:val="32"/>
                <w:lang w:val="en-US" w:eastAsia="zh-CN" w:bidi="ar-SA"/>
              </w:rPr>
              <w:t>⑤</w:t>
            </w:r>
            <w:r>
              <w:rPr>
                <w:rFonts w:cs="Times New Roman"/>
                <w:kern w:val="24"/>
                <w:sz w:val="24"/>
                <w:szCs w:val="32"/>
              </w:rPr>
              <w:t>为加强监督管理，贮存、处置场应按GB15562.2设置环境保护图形标志；</w:t>
            </w:r>
          </w:p>
          <w:p>
            <w:pPr>
              <w:numPr>
                <w:ilvl w:val="0"/>
                <w:numId w:val="0"/>
              </w:numPr>
              <w:spacing w:line="360" w:lineRule="auto"/>
              <w:ind w:firstLine="480" w:firstLineChars="200"/>
              <w:rPr>
                <w:sz w:val="24"/>
                <w:szCs w:val="32"/>
              </w:rPr>
            </w:pPr>
            <w:r>
              <w:rPr>
                <w:rFonts w:hint="eastAsia" w:cs="Times New Roman"/>
                <w:kern w:val="2"/>
                <w:sz w:val="24"/>
                <w:szCs w:val="32"/>
                <w:lang w:val="en-US" w:eastAsia="zh-CN" w:bidi="ar-SA"/>
              </w:rPr>
              <w:t>⑥</w:t>
            </w:r>
            <w:r>
              <w:rPr>
                <w:rFonts w:cs="Times New Roman"/>
                <w:kern w:val="24"/>
                <w:sz w:val="24"/>
                <w:szCs w:val="32"/>
              </w:rPr>
              <w:t>一般工业固体贮存、处置场禁止危险废物和生活垃圾混入；</w:t>
            </w:r>
          </w:p>
          <w:p>
            <w:pPr>
              <w:numPr>
                <w:ilvl w:val="0"/>
                <w:numId w:val="0"/>
              </w:numPr>
              <w:spacing w:line="360" w:lineRule="auto"/>
              <w:ind w:firstLine="480" w:firstLineChars="200"/>
              <w:rPr>
                <w:sz w:val="24"/>
                <w:szCs w:val="32"/>
              </w:rPr>
            </w:pPr>
            <w:r>
              <w:rPr>
                <w:rFonts w:hint="eastAsia" w:cs="Times New Roman"/>
                <w:kern w:val="2"/>
                <w:sz w:val="24"/>
                <w:szCs w:val="32"/>
                <w:lang w:val="en-US" w:eastAsia="zh-CN" w:bidi="ar-SA"/>
              </w:rPr>
              <w:t>⑦</w:t>
            </w:r>
            <w:r>
              <w:rPr>
                <w:rFonts w:cs="Times New Roman"/>
                <w:kern w:val="24"/>
                <w:sz w:val="24"/>
                <w:szCs w:val="32"/>
              </w:rPr>
              <w:t>贮存、处置</w:t>
            </w:r>
            <w:r>
              <w:rPr>
                <w:rFonts w:hint="eastAsia" w:cs="Times New Roman"/>
                <w:kern w:val="24"/>
                <w:sz w:val="24"/>
                <w:szCs w:val="32"/>
              </w:rPr>
              <w:t>场地</w:t>
            </w:r>
            <w:r>
              <w:rPr>
                <w:rFonts w:cs="Times New Roman"/>
                <w:kern w:val="24"/>
                <w:sz w:val="24"/>
                <w:szCs w:val="32"/>
              </w:rPr>
              <w:t>使用单位，应建立档案制度。应将入场的一般工业固体废物的种类和数量等资料详细记录在案，长期保存，供随时查阅。</w:t>
            </w:r>
          </w:p>
          <w:p>
            <w:pPr>
              <w:spacing w:line="360" w:lineRule="auto"/>
              <w:ind w:firstLine="480" w:firstLineChars="200"/>
              <w:rPr>
                <w:sz w:val="24"/>
                <w:szCs w:val="32"/>
              </w:rPr>
            </w:pPr>
            <w:r>
              <w:rPr>
                <w:rFonts w:hint="eastAsia"/>
                <w:sz w:val="24"/>
                <w:szCs w:val="32"/>
                <w:lang w:val="en-US" w:eastAsia="zh-CN"/>
              </w:rPr>
              <w:t>（4）</w:t>
            </w:r>
            <w:r>
              <w:rPr>
                <w:rFonts w:hint="eastAsia"/>
                <w:sz w:val="24"/>
                <w:szCs w:val="32"/>
              </w:rPr>
              <w:t>危险废物贮存设施污染控制要求</w:t>
            </w:r>
          </w:p>
          <w:p>
            <w:pPr>
              <w:spacing w:line="360" w:lineRule="auto"/>
              <w:ind w:firstLine="480" w:firstLineChars="200"/>
              <w:rPr>
                <w:kern w:val="24"/>
                <w:sz w:val="24"/>
                <w:szCs w:val="32"/>
              </w:rPr>
            </w:pPr>
            <w:r>
              <w:rPr>
                <w:rFonts w:hint="eastAsia"/>
                <w:kern w:val="24"/>
                <w:sz w:val="24"/>
                <w:szCs w:val="32"/>
              </w:rPr>
              <w:t>项目危险废物贮存场所应按照《危险废物贮存污染控制标准》（GB18597-2023）中相关要求设置，具体要求如下：</w:t>
            </w:r>
          </w:p>
          <w:p>
            <w:pPr>
              <w:spacing w:line="360" w:lineRule="auto"/>
              <w:ind w:firstLine="480" w:firstLineChars="200"/>
              <w:rPr>
                <w:rFonts w:hint="eastAsia"/>
                <w:kern w:val="24"/>
                <w:sz w:val="24"/>
                <w:szCs w:val="32"/>
              </w:rPr>
            </w:pPr>
            <w:r>
              <w:rPr>
                <w:rFonts w:hint="eastAsia"/>
                <w:sz w:val="24"/>
                <w:szCs w:val="32"/>
                <w:lang w:val="en-US" w:eastAsia="zh-CN"/>
              </w:rPr>
              <w:t>①</w:t>
            </w:r>
            <w:r>
              <w:rPr>
                <w:rFonts w:hint="eastAsia"/>
                <w:kern w:val="24"/>
                <w:sz w:val="24"/>
                <w:szCs w:val="32"/>
              </w:rPr>
              <w:t xml:space="preserve">贮存设施应根据危险废物的形态、物理化学性质、包装形式和污染物迁移途径，采取必要的防风、防晒、防雨、防漏、防渗、防腐以及其他环境污染防治措施，不应露天堆放危险废物。 </w:t>
            </w:r>
          </w:p>
          <w:p>
            <w:pPr>
              <w:spacing w:line="360" w:lineRule="auto"/>
              <w:ind w:firstLine="480" w:firstLineChars="200"/>
              <w:rPr>
                <w:kern w:val="24"/>
                <w:sz w:val="24"/>
                <w:szCs w:val="32"/>
              </w:rPr>
            </w:pPr>
            <w:r>
              <w:rPr>
                <w:rFonts w:hint="eastAsia" w:cs="Times New Roman"/>
                <w:kern w:val="2"/>
                <w:sz w:val="24"/>
                <w:szCs w:val="32"/>
                <w:lang w:val="en-US" w:eastAsia="zh-CN" w:bidi="ar-SA"/>
              </w:rPr>
              <w:t>②</w:t>
            </w:r>
            <w:r>
              <w:rPr>
                <w:rFonts w:hint="eastAsia"/>
                <w:kern w:val="24"/>
                <w:sz w:val="24"/>
                <w:szCs w:val="32"/>
              </w:rPr>
              <w:t>贮存设施应根据危险废物的类别、数量、形态、物理化学性质和污染防治等要求设置必要的贮存分区，避免不相容的危险废物接触、混合。</w:t>
            </w:r>
          </w:p>
          <w:p>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③</w:t>
            </w:r>
            <w:r>
              <w:rPr>
                <w:rFonts w:hint="eastAsia"/>
                <w:kern w:val="24"/>
                <w:sz w:val="24"/>
                <w:szCs w:val="32"/>
              </w:rPr>
              <w:t xml:space="preserve">贮存设施或贮存分区内地面、墙面裙脚、堵截泄漏的围堰、接触危险废物的隔板和墙体等应采用坚固的材料建造，表面无裂缝。 </w:t>
            </w:r>
          </w:p>
          <w:p>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④</w:t>
            </w:r>
            <w:r>
              <w:rPr>
                <w:rFonts w:hint="eastAsia"/>
                <w:kern w:val="24"/>
                <w:sz w:val="24"/>
                <w:szCs w:val="32"/>
              </w:rPr>
              <w:t>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 厚黏层（渗透系数不大于10</w:t>
            </w:r>
            <w:r>
              <w:rPr>
                <w:rFonts w:hint="eastAsia"/>
                <w:kern w:val="24"/>
                <w:sz w:val="24"/>
                <w:szCs w:val="32"/>
                <w:vertAlign w:val="superscript"/>
              </w:rPr>
              <w:t>-7</w:t>
            </w:r>
            <w:r>
              <w:rPr>
                <w:rFonts w:hint="eastAsia"/>
                <w:kern w:val="24"/>
                <w:sz w:val="24"/>
                <w:szCs w:val="32"/>
              </w:rPr>
              <w:t>cm/s），或至少2 mm 厚高密度聚乙烯膜等人工防渗材料（渗透系数不大于10</w:t>
            </w:r>
            <w:r>
              <w:rPr>
                <w:rFonts w:hint="eastAsia"/>
                <w:kern w:val="24"/>
                <w:sz w:val="24"/>
                <w:szCs w:val="32"/>
                <w:vertAlign w:val="superscript"/>
              </w:rPr>
              <w:t>-10</w:t>
            </w:r>
            <w:r>
              <w:rPr>
                <w:rFonts w:hint="eastAsia"/>
                <w:kern w:val="24"/>
                <w:sz w:val="24"/>
                <w:szCs w:val="32"/>
              </w:rPr>
              <w:t xml:space="preserve"> cm/s），或其他防渗性能等效的材料。</w:t>
            </w:r>
          </w:p>
          <w:p>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④</w:t>
            </w:r>
            <w:r>
              <w:rPr>
                <w:rFonts w:hint="eastAsia"/>
                <w:kern w:val="24"/>
                <w:sz w:val="24"/>
                <w:szCs w:val="32"/>
              </w:rPr>
              <w:t>同一贮存设施宜采用相同的防渗、防腐工艺（包括防渗、防腐结构或材料），防渗、防腐材料应覆盖所有可能与废物及其渗滤液、渗漏液等接触的构筑物表面：采用不同防渗、防腐工艺应分别建设贮存分区。</w:t>
            </w:r>
          </w:p>
          <w:p>
            <w:pPr>
              <w:spacing w:line="360" w:lineRule="auto"/>
              <w:ind w:firstLine="480" w:firstLineChars="200"/>
              <w:rPr>
                <w:kern w:val="24"/>
                <w:sz w:val="24"/>
                <w:szCs w:val="32"/>
              </w:rPr>
            </w:pPr>
            <w:r>
              <w:rPr>
                <w:rFonts w:hint="eastAsia" w:cs="Times New Roman"/>
                <w:kern w:val="2"/>
                <w:sz w:val="24"/>
                <w:szCs w:val="32"/>
                <w:lang w:val="en-US" w:eastAsia="zh-CN" w:bidi="ar-SA"/>
              </w:rPr>
              <w:t>⑥</w:t>
            </w:r>
            <w:r>
              <w:rPr>
                <w:rFonts w:hint="eastAsia"/>
                <w:kern w:val="24"/>
                <w:sz w:val="24"/>
                <w:szCs w:val="32"/>
              </w:rPr>
              <w:t xml:space="preserve">贮存设施应采取技术和管理措施防止无关人员进入。 </w:t>
            </w:r>
          </w:p>
          <w:p>
            <w:pPr>
              <w:spacing w:line="360" w:lineRule="auto"/>
              <w:ind w:firstLine="480" w:firstLineChars="200"/>
              <w:rPr>
                <w:rFonts w:hint="eastAsia"/>
                <w:kern w:val="24"/>
                <w:sz w:val="24"/>
                <w:szCs w:val="32"/>
              </w:rPr>
            </w:pPr>
            <w:r>
              <w:rPr>
                <w:rFonts w:hint="eastAsia"/>
                <w:kern w:val="24"/>
                <w:sz w:val="24"/>
                <w:szCs w:val="32"/>
              </w:rPr>
              <w:t xml:space="preserve">同时对危险废物存放库实施严格的管理： </w:t>
            </w:r>
          </w:p>
          <w:p>
            <w:pPr>
              <w:spacing w:line="360" w:lineRule="auto"/>
              <w:ind w:firstLine="480" w:firstLineChars="200"/>
              <w:rPr>
                <w:rFonts w:hint="eastAsia"/>
                <w:kern w:val="24"/>
                <w:sz w:val="24"/>
                <w:szCs w:val="32"/>
              </w:rPr>
            </w:pPr>
            <w:r>
              <w:rPr>
                <w:rFonts w:hint="eastAsia"/>
                <w:sz w:val="24"/>
                <w:szCs w:val="32"/>
                <w:lang w:val="en-US" w:eastAsia="zh-CN"/>
              </w:rPr>
              <w:t>①</w:t>
            </w:r>
            <w:r>
              <w:rPr>
                <w:rFonts w:hint="eastAsia"/>
                <w:kern w:val="24"/>
                <w:sz w:val="24"/>
                <w:szCs w:val="32"/>
              </w:rPr>
              <w:t xml:space="preserve">危险废物贮存设施都必须《环境保护图形标志（GB15562-1995）》及修改清单、《危险废物识别标志设置技术规范》（HJ 1276 2022）规定设置警示标志。 </w:t>
            </w:r>
          </w:p>
          <w:p>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②</w:t>
            </w:r>
            <w:r>
              <w:rPr>
                <w:rFonts w:hint="eastAsia"/>
                <w:kern w:val="24"/>
                <w:sz w:val="24"/>
                <w:szCs w:val="32"/>
              </w:rPr>
              <w:t>贮存库内不同贮存分区之间应采取隔离措施。隔离措施可根据危险废物特性采用过道、隔板或隔墙等方式。</w:t>
            </w:r>
          </w:p>
          <w:p>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③</w:t>
            </w:r>
            <w:r>
              <w:rPr>
                <w:rFonts w:hint="eastAsia"/>
                <w:kern w:val="24"/>
                <w:sz w:val="24"/>
                <w:szCs w:val="32"/>
              </w:rPr>
              <w:t>在贮存库内或通过贮存分区方式贮存液态危险废物的，应具有液体泄漏堵截设施，堵截设施最小容积不应低于对应贮存区域最大液态废物容器容积或液态废物总储量 1/10（二者取较大者）：用于贮存可能产生渗滤液的危险废物的贮存库或贮存分区应设计渗滤液收集设施，收集设施容积应满足渗滤液的收集要求。</w:t>
            </w:r>
          </w:p>
          <w:p>
            <w:pPr>
              <w:spacing w:line="360" w:lineRule="auto"/>
              <w:ind w:firstLine="480" w:firstLineChars="200"/>
              <w:rPr>
                <w:rFonts w:hint="eastAsia"/>
                <w:kern w:val="24"/>
                <w:sz w:val="24"/>
                <w:szCs w:val="32"/>
              </w:rPr>
            </w:pPr>
            <w:r>
              <w:rPr>
                <w:rFonts w:hint="eastAsia" w:cs="Times New Roman"/>
                <w:kern w:val="2"/>
                <w:sz w:val="24"/>
                <w:szCs w:val="32"/>
                <w:lang w:val="en-US" w:eastAsia="zh-CN" w:bidi="ar-SA"/>
              </w:rPr>
              <w:t>④</w:t>
            </w:r>
            <w:r>
              <w:rPr>
                <w:rFonts w:hint="eastAsia"/>
                <w:kern w:val="24"/>
                <w:sz w:val="24"/>
                <w:szCs w:val="32"/>
              </w:rPr>
              <w:t>贮存易产生粉尘、VOCs、酸雾、有毒有害大气污染物和刺激性气味气体的危险废物贮存库，应设置气体收集装置和气体净化设施：气体净化设施的排气筒高度应符合 GB 16297 要求。</w:t>
            </w:r>
          </w:p>
          <w:p>
            <w:pPr>
              <w:pStyle w:val="70"/>
              <w:spacing w:line="360" w:lineRule="auto"/>
              <w:rPr>
                <w:kern w:val="24"/>
                <w:sz w:val="24"/>
                <w:szCs w:val="24"/>
              </w:rPr>
            </w:pPr>
            <w:r>
              <w:rPr>
                <w:rFonts w:hint="eastAsia"/>
                <w:kern w:val="24"/>
                <w:sz w:val="24"/>
                <w:szCs w:val="24"/>
                <w:lang w:eastAsia="zh-CN"/>
              </w:rPr>
              <w:t>（</w:t>
            </w:r>
            <w:r>
              <w:rPr>
                <w:rFonts w:hint="eastAsia"/>
                <w:kern w:val="24"/>
                <w:sz w:val="24"/>
                <w:szCs w:val="24"/>
                <w:lang w:val="en-US" w:eastAsia="zh-CN"/>
              </w:rPr>
              <w:t>5</w:t>
            </w:r>
            <w:r>
              <w:rPr>
                <w:rFonts w:hint="eastAsia"/>
                <w:kern w:val="24"/>
                <w:sz w:val="24"/>
                <w:szCs w:val="24"/>
                <w:lang w:eastAsia="zh-CN"/>
              </w:rPr>
              <w:t>）</w:t>
            </w:r>
            <w:r>
              <w:rPr>
                <w:kern w:val="24"/>
                <w:sz w:val="24"/>
                <w:szCs w:val="24"/>
              </w:rPr>
              <w:t>危险废物收集污染防治措施分析</w:t>
            </w:r>
          </w:p>
          <w:p>
            <w:pPr>
              <w:spacing w:line="360" w:lineRule="auto"/>
              <w:ind w:firstLine="480" w:firstLineChars="200"/>
              <w:rPr>
                <w:rFonts w:hint="eastAsia"/>
                <w:kern w:val="24"/>
                <w:sz w:val="24"/>
                <w:szCs w:val="32"/>
              </w:rPr>
            </w:pPr>
            <w:r>
              <w:rPr>
                <w:kern w:val="24"/>
                <w:sz w:val="24"/>
                <w:szCs w:val="32"/>
              </w:rPr>
              <w:t>危险废物在收集时，应清楚废物的类别及主要成分，以方便委托处理单位处理，根据危险废物的性质和形态，可采用不同大小和不同材质的容器进行包装，所有包装容器应足够安全，并经过周密检查，严防在装卸、搬移或运输途中出现渗漏、溢出、抛洒或挥发等情况。最后按照</w:t>
            </w:r>
            <w:r>
              <w:rPr>
                <w:rFonts w:hint="eastAsia"/>
                <w:kern w:val="24"/>
                <w:sz w:val="24"/>
                <w:szCs w:val="32"/>
              </w:rPr>
              <w:t>相关文件</w:t>
            </w:r>
            <w:r>
              <w:rPr>
                <w:kern w:val="24"/>
                <w:sz w:val="24"/>
                <w:szCs w:val="32"/>
              </w:rPr>
              <w:t>要求，对危险废物进行安全包装，并在包装的明显位置附上危险废物标签。</w:t>
            </w:r>
          </w:p>
          <w:p>
            <w:pPr>
              <w:spacing w:line="360" w:lineRule="auto"/>
              <w:ind w:firstLine="480" w:firstLineChars="200"/>
              <w:rPr>
                <w:rFonts w:hint="eastAsia"/>
                <w:sz w:val="24"/>
                <w:szCs w:val="32"/>
              </w:rPr>
            </w:pPr>
            <w:r>
              <w:rPr>
                <w:rFonts w:hint="eastAsia"/>
                <w:sz w:val="24"/>
                <w:szCs w:val="32"/>
                <w:lang w:eastAsia="zh-CN"/>
              </w:rPr>
              <w:t>（</w:t>
            </w:r>
            <w:r>
              <w:rPr>
                <w:rFonts w:hint="eastAsia"/>
                <w:sz w:val="24"/>
                <w:szCs w:val="32"/>
                <w:lang w:val="en-US" w:eastAsia="zh-CN"/>
              </w:rPr>
              <w:t>6</w:t>
            </w:r>
            <w:r>
              <w:rPr>
                <w:rFonts w:hint="eastAsia"/>
                <w:sz w:val="24"/>
                <w:szCs w:val="32"/>
                <w:lang w:eastAsia="zh-CN"/>
              </w:rPr>
              <w:t>）</w:t>
            </w:r>
            <w:r>
              <w:rPr>
                <w:rFonts w:hint="eastAsia"/>
                <w:sz w:val="24"/>
                <w:szCs w:val="32"/>
              </w:rPr>
              <w:t>危险废物环境影响分析</w:t>
            </w:r>
          </w:p>
          <w:p>
            <w:pPr>
              <w:spacing w:line="360" w:lineRule="auto"/>
              <w:ind w:firstLine="480" w:firstLineChars="200"/>
              <w:rPr>
                <w:rFonts w:hint="eastAsia" w:ascii="宋体" w:hAnsi="宋体"/>
                <w:sz w:val="24"/>
                <w:szCs w:val="24"/>
              </w:rPr>
            </w:pPr>
            <w:r>
              <w:rPr>
                <w:rFonts w:hint="eastAsia"/>
                <w:sz w:val="24"/>
                <w:szCs w:val="32"/>
              </w:rPr>
              <w:t>项目设置的5m</w:t>
            </w:r>
            <w:r>
              <w:rPr>
                <w:rFonts w:hint="eastAsia"/>
                <w:sz w:val="24"/>
                <w:szCs w:val="32"/>
                <w:vertAlign w:val="superscript"/>
              </w:rPr>
              <w:t>2</w:t>
            </w:r>
            <w:r>
              <w:rPr>
                <w:rFonts w:hint="eastAsia"/>
                <w:sz w:val="24"/>
                <w:szCs w:val="32"/>
              </w:rPr>
              <w:t>的危废</w:t>
            </w:r>
            <w:r>
              <w:rPr>
                <w:rFonts w:hint="eastAsia"/>
                <w:sz w:val="24"/>
                <w:szCs w:val="32"/>
                <w:lang w:val="en-US" w:eastAsia="zh-CN"/>
              </w:rPr>
              <w:t>暂存区</w:t>
            </w:r>
            <w:r>
              <w:rPr>
                <w:rFonts w:hint="eastAsia"/>
                <w:sz w:val="24"/>
                <w:szCs w:val="32"/>
              </w:rPr>
              <w:t>，可满足危废贮存的要求。本项目危险废物贮存场所（设施）基本情况见下表。</w:t>
            </w:r>
          </w:p>
          <w:p>
            <w:pPr>
              <w:pStyle w:val="15"/>
              <w:spacing w:line="360" w:lineRule="auto"/>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表4-</w:t>
            </w:r>
            <w:r>
              <w:rPr>
                <w:rFonts w:hint="eastAsia" w:ascii="Times New Roman" w:hAnsi="Times New Roman" w:eastAsia="宋体" w:cs="Times New Roman"/>
                <w:b/>
                <w:sz w:val="24"/>
                <w:szCs w:val="24"/>
                <w:lang w:val="en-US" w:eastAsia="zh-CN"/>
              </w:rPr>
              <w:t>19</w:t>
            </w:r>
            <w:r>
              <w:rPr>
                <w:rFonts w:hint="eastAsia" w:ascii="Times New Roman" w:hAnsi="Times New Roman" w:eastAsia="宋体" w:cs="Times New Roman"/>
                <w:b/>
                <w:sz w:val="24"/>
                <w:szCs w:val="24"/>
              </w:rPr>
              <w:t>危险废物贮存基本情况表</w:t>
            </w:r>
          </w:p>
          <w:tbl>
            <w:tblPr>
              <w:tblStyle w:val="30"/>
              <w:tblW w:w="8383"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09"/>
              <w:gridCol w:w="1332"/>
              <w:gridCol w:w="1149"/>
              <w:gridCol w:w="1055"/>
              <w:gridCol w:w="676"/>
              <w:gridCol w:w="840"/>
              <w:gridCol w:w="1235"/>
              <w:gridCol w:w="765"/>
              <w:gridCol w:w="7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609" w:type="dxa"/>
                  <w:noWrap w:val="0"/>
                  <w:vAlign w:val="center"/>
                </w:tcPr>
                <w:p>
                  <w:pPr>
                    <w:jc w:val="center"/>
                    <w:rPr>
                      <w:b/>
                      <w:bCs/>
                    </w:rPr>
                  </w:pPr>
                  <w:r>
                    <w:rPr>
                      <w:b/>
                      <w:bCs/>
                    </w:rPr>
                    <w:t>序号</w:t>
                  </w:r>
                </w:p>
              </w:tc>
              <w:tc>
                <w:tcPr>
                  <w:tcW w:w="1332" w:type="dxa"/>
                  <w:noWrap w:val="0"/>
                  <w:vAlign w:val="center"/>
                </w:tcPr>
                <w:p>
                  <w:pPr>
                    <w:jc w:val="center"/>
                    <w:rPr>
                      <w:b/>
                      <w:bCs/>
                    </w:rPr>
                  </w:pPr>
                  <w:r>
                    <w:rPr>
                      <w:b/>
                      <w:bCs/>
                    </w:rPr>
                    <w:t>贮存场所（设施）名称</w:t>
                  </w:r>
                </w:p>
              </w:tc>
              <w:tc>
                <w:tcPr>
                  <w:tcW w:w="1149" w:type="dxa"/>
                  <w:noWrap w:val="0"/>
                  <w:vAlign w:val="center"/>
                </w:tcPr>
                <w:p>
                  <w:pPr>
                    <w:jc w:val="center"/>
                    <w:rPr>
                      <w:b/>
                      <w:bCs/>
                    </w:rPr>
                  </w:pPr>
                  <w:r>
                    <w:rPr>
                      <w:b/>
                      <w:bCs/>
                    </w:rPr>
                    <w:t>危险废物</w:t>
                  </w:r>
                </w:p>
                <w:p>
                  <w:pPr>
                    <w:jc w:val="center"/>
                    <w:rPr>
                      <w:b/>
                      <w:bCs/>
                    </w:rPr>
                  </w:pPr>
                  <w:r>
                    <w:rPr>
                      <w:b/>
                      <w:bCs/>
                    </w:rPr>
                    <w:t>名称</w:t>
                  </w:r>
                </w:p>
              </w:tc>
              <w:tc>
                <w:tcPr>
                  <w:tcW w:w="1055" w:type="dxa"/>
                  <w:noWrap w:val="0"/>
                  <w:vAlign w:val="center"/>
                </w:tcPr>
                <w:p>
                  <w:pPr>
                    <w:jc w:val="center"/>
                    <w:rPr>
                      <w:b/>
                      <w:bCs/>
                    </w:rPr>
                  </w:pPr>
                  <w:r>
                    <w:rPr>
                      <w:b/>
                      <w:bCs/>
                    </w:rPr>
                    <w:t>危险废物</w:t>
                  </w:r>
                </w:p>
                <w:p>
                  <w:pPr>
                    <w:jc w:val="center"/>
                    <w:rPr>
                      <w:b/>
                      <w:bCs/>
                    </w:rPr>
                  </w:pPr>
                  <w:r>
                    <w:rPr>
                      <w:b/>
                      <w:bCs/>
                    </w:rPr>
                    <w:t>代码</w:t>
                  </w:r>
                </w:p>
              </w:tc>
              <w:tc>
                <w:tcPr>
                  <w:tcW w:w="676" w:type="dxa"/>
                  <w:noWrap w:val="0"/>
                  <w:vAlign w:val="center"/>
                </w:tcPr>
                <w:p>
                  <w:pPr>
                    <w:jc w:val="center"/>
                    <w:rPr>
                      <w:b/>
                      <w:bCs/>
                    </w:rPr>
                  </w:pPr>
                  <w:r>
                    <w:rPr>
                      <w:b/>
                      <w:bCs/>
                    </w:rPr>
                    <w:t>位置</w:t>
                  </w:r>
                </w:p>
              </w:tc>
              <w:tc>
                <w:tcPr>
                  <w:tcW w:w="840" w:type="dxa"/>
                  <w:noWrap w:val="0"/>
                  <w:vAlign w:val="center"/>
                </w:tcPr>
                <w:p>
                  <w:pPr>
                    <w:jc w:val="center"/>
                    <w:rPr>
                      <w:b/>
                      <w:bCs/>
                    </w:rPr>
                  </w:pPr>
                  <w:r>
                    <w:rPr>
                      <w:b/>
                      <w:bCs/>
                    </w:rPr>
                    <w:t>占地</w:t>
                  </w:r>
                </w:p>
                <w:p>
                  <w:pPr>
                    <w:jc w:val="center"/>
                    <w:rPr>
                      <w:b/>
                      <w:bCs/>
                    </w:rPr>
                  </w:pPr>
                  <w:r>
                    <w:rPr>
                      <w:b/>
                      <w:bCs/>
                    </w:rPr>
                    <w:t>面积</w:t>
                  </w:r>
                </w:p>
              </w:tc>
              <w:tc>
                <w:tcPr>
                  <w:tcW w:w="1235" w:type="dxa"/>
                  <w:noWrap w:val="0"/>
                  <w:vAlign w:val="center"/>
                </w:tcPr>
                <w:p>
                  <w:pPr>
                    <w:jc w:val="center"/>
                    <w:rPr>
                      <w:b/>
                      <w:bCs/>
                    </w:rPr>
                  </w:pPr>
                  <w:r>
                    <w:rPr>
                      <w:b/>
                      <w:bCs/>
                    </w:rPr>
                    <w:t>贮存方式</w:t>
                  </w:r>
                </w:p>
              </w:tc>
              <w:tc>
                <w:tcPr>
                  <w:tcW w:w="765" w:type="dxa"/>
                  <w:noWrap w:val="0"/>
                  <w:vAlign w:val="center"/>
                </w:tcPr>
                <w:p>
                  <w:pPr>
                    <w:jc w:val="center"/>
                    <w:rPr>
                      <w:b/>
                      <w:bCs/>
                    </w:rPr>
                  </w:pPr>
                  <w:r>
                    <w:rPr>
                      <w:b/>
                      <w:bCs/>
                    </w:rPr>
                    <w:t>贮存</w:t>
                  </w:r>
                </w:p>
                <w:p>
                  <w:pPr>
                    <w:jc w:val="center"/>
                    <w:rPr>
                      <w:b/>
                      <w:bCs/>
                    </w:rPr>
                  </w:pPr>
                  <w:r>
                    <w:rPr>
                      <w:b/>
                      <w:bCs/>
                    </w:rPr>
                    <w:t>能力</w:t>
                  </w:r>
                </w:p>
              </w:tc>
              <w:tc>
                <w:tcPr>
                  <w:tcW w:w="722" w:type="dxa"/>
                  <w:noWrap w:val="0"/>
                  <w:vAlign w:val="center"/>
                </w:tcPr>
                <w:p>
                  <w:pPr>
                    <w:jc w:val="center"/>
                    <w:rPr>
                      <w:b/>
                      <w:bCs/>
                    </w:rPr>
                  </w:pPr>
                  <w:r>
                    <w:rPr>
                      <w:b/>
                      <w:bCs/>
                    </w:rPr>
                    <w:t>贮存</w:t>
                  </w:r>
                </w:p>
                <w:p>
                  <w:pPr>
                    <w:jc w:val="center"/>
                    <w:rPr>
                      <w:b/>
                      <w:bCs/>
                    </w:rPr>
                  </w:pPr>
                  <w:r>
                    <w:rPr>
                      <w:b/>
                      <w:bCs/>
                    </w:rPr>
                    <w:t>周期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609" w:type="dxa"/>
                  <w:noWrap w:val="0"/>
                  <w:vAlign w:val="center"/>
                </w:tcPr>
                <w:p>
                  <w:pPr>
                    <w:jc w:val="center"/>
                  </w:pPr>
                  <w:r>
                    <w:t>1</w:t>
                  </w:r>
                </w:p>
              </w:tc>
              <w:tc>
                <w:tcPr>
                  <w:tcW w:w="1332" w:type="dxa"/>
                  <w:vMerge w:val="restart"/>
                  <w:noWrap w:val="0"/>
                  <w:vAlign w:val="center"/>
                </w:tcPr>
                <w:p>
                  <w:pPr>
                    <w:jc w:val="center"/>
                    <w:rPr>
                      <w:rFonts w:hint="eastAsia" w:eastAsia="宋体"/>
                      <w:lang w:eastAsia="zh-CN"/>
                    </w:rPr>
                  </w:pPr>
                  <w:r>
                    <w:rPr>
                      <w:rFonts w:hint="eastAsia"/>
                    </w:rPr>
                    <w:t>危废</w:t>
                  </w:r>
                  <w:r>
                    <w:rPr>
                      <w:rFonts w:hint="eastAsia"/>
                      <w:lang w:val="en-US" w:eastAsia="zh-CN"/>
                    </w:rPr>
                    <w:t>暂存区</w:t>
                  </w:r>
                </w:p>
              </w:tc>
              <w:tc>
                <w:tcPr>
                  <w:tcW w:w="1149" w:type="dxa"/>
                  <w:shd w:val="clear" w:color="auto" w:fill="auto"/>
                  <w:noWrap w:val="0"/>
                  <w:vAlign w:val="center"/>
                </w:tcPr>
                <w:p>
                  <w:pPr>
                    <w:autoSpaceDE w:val="0"/>
                    <w:autoSpaceDN w:val="0"/>
                    <w:adjustRightInd w:val="0"/>
                    <w:snapToGrid w:val="0"/>
                    <w:jc w:val="center"/>
                    <w:rPr>
                      <w:rFonts w:hint="default" w:ascii="Times New Roman" w:hAnsi="Times New Roman" w:eastAsia="宋体" w:cs="Times New Roman"/>
                      <w:kern w:val="2"/>
                      <w:sz w:val="21"/>
                      <w:szCs w:val="24"/>
                      <w:lang w:val="en-US" w:eastAsia="zh-CN" w:bidi="ar-SA"/>
                    </w:rPr>
                  </w:pPr>
                  <w:r>
                    <w:rPr>
                      <w:rFonts w:hint="eastAsia"/>
                    </w:rPr>
                    <w:t>废</w:t>
                  </w:r>
                  <w:r>
                    <w:rPr>
                      <w:rFonts w:hint="eastAsia"/>
                      <w:lang w:val="en-US" w:eastAsia="zh-CN"/>
                    </w:rPr>
                    <w:t>抹布手套</w:t>
                  </w:r>
                </w:p>
              </w:tc>
              <w:tc>
                <w:tcPr>
                  <w:tcW w:w="1055"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rPr>
                    <w:t>900</w:t>
                  </w:r>
                  <w:r>
                    <w:t>-</w:t>
                  </w:r>
                  <w:r>
                    <w:rPr>
                      <w:rFonts w:hint="eastAsia"/>
                      <w:lang w:val="en-US" w:eastAsia="zh-CN"/>
                    </w:rPr>
                    <w:t>041</w:t>
                  </w:r>
                  <w:r>
                    <w:t>-</w:t>
                  </w:r>
                  <w:r>
                    <w:rPr>
                      <w:rFonts w:hint="eastAsia"/>
                      <w:lang w:val="en-US" w:eastAsia="zh-CN"/>
                    </w:rPr>
                    <w:t>49</w:t>
                  </w:r>
                </w:p>
              </w:tc>
              <w:tc>
                <w:tcPr>
                  <w:tcW w:w="676" w:type="dxa"/>
                  <w:vMerge w:val="restart"/>
                  <w:noWrap w:val="0"/>
                  <w:vAlign w:val="center"/>
                </w:tcPr>
                <w:p>
                  <w:pPr>
                    <w:jc w:val="center"/>
                  </w:pPr>
                  <w:r>
                    <w:rPr>
                      <w:rFonts w:hint="eastAsia"/>
                    </w:rPr>
                    <w:t>危废</w:t>
                  </w:r>
                  <w:r>
                    <w:rPr>
                      <w:rFonts w:hint="eastAsia"/>
                      <w:lang w:val="en-US" w:eastAsia="zh-CN"/>
                    </w:rPr>
                    <w:t>暂存区</w:t>
                  </w:r>
                </w:p>
              </w:tc>
              <w:tc>
                <w:tcPr>
                  <w:tcW w:w="840" w:type="dxa"/>
                  <w:noWrap w:val="0"/>
                  <w:vAlign w:val="center"/>
                </w:tcPr>
                <w:p>
                  <w:pPr>
                    <w:jc w:val="center"/>
                  </w:pPr>
                  <w:r>
                    <w:rPr>
                      <w:rFonts w:hint="eastAsia"/>
                      <w:lang w:val="en-US" w:eastAsia="zh-CN"/>
                    </w:rPr>
                    <w:t>1</w:t>
                  </w:r>
                  <w:r>
                    <w:t>m</w:t>
                  </w:r>
                  <w:r>
                    <w:rPr>
                      <w:vertAlign w:val="superscript"/>
                    </w:rPr>
                    <w:t>2</w:t>
                  </w:r>
                </w:p>
              </w:tc>
              <w:tc>
                <w:tcPr>
                  <w:tcW w:w="1235" w:type="dxa"/>
                  <w:noWrap w:val="0"/>
                  <w:vAlign w:val="center"/>
                </w:tcPr>
                <w:p>
                  <w:pPr>
                    <w:jc w:val="center"/>
                  </w:pPr>
                  <w:r>
                    <w:t>袋装，密封</w:t>
                  </w:r>
                </w:p>
              </w:tc>
              <w:tc>
                <w:tcPr>
                  <w:tcW w:w="765" w:type="dxa"/>
                  <w:vMerge w:val="restart"/>
                  <w:noWrap w:val="0"/>
                  <w:vAlign w:val="center"/>
                </w:tcPr>
                <w:p>
                  <w:pPr>
                    <w:jc w:val="center"/>
                  </w:pPr>
                  <w:r>
                    <w:rPr>
                      <w:rFonts w:hint="eastAsia"/>
                    </w:rPr>
                    <w:t>5</w:t>
                  </w:r>
                  <w:r>
                    <w:t>t</w:t>
                  </w:r>
                </w:p>
              </w:tc>
              <w:tc>
                <w:tcPr>
                  <w:tcW w:w="722" w:type="dxa"/>
                  <w:vMerge w:val="restart"/>
                  <w:noWrap w:val="0"/>
                  <w:vAlign w:val="center"/>
                </w:tcPr>
                <w:p>
                  <w:pPr>
                    <w:jc w:val="center"/>
                    <w:rPr>
                      <w:rFonts w:hint="eastAsia" w:eastAsia="宋体"/>
                      <w:lang w:eastAsia="zh-CN"/>
                    </w:rPr>
                  </w:pPr>
                  <w:r>
                    <w:rPr>
                      <w:rFonts w:hint="eastAsia"/>
                      <w:lang w:val="en-US" w:eastAsia="zh-CN"/>
                    </w:rPr>
                    <w:t>一年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609" w:type="dxa"/>
                  <w:noWrap w:val="0"/>
                  <w:vAlign w:val="center"/>
                </w:tcPr>
                <w:p>
                  <w:pPr>
                    <w:jc w:val="center"/>
                  </w:pPr>
                  <w:r>
                    <w:rPr>
                      <w:rFonts w:hint="eastAsia"/>
                    </w:rPr>
                    <w:t>2</w:t>
                  </w:r>
                </w:p>
              </w:tc>
              <w:tc>
                <w:tcPr>
                  <w:tcW w:w="1332" w:type="dxa"/>
                  <w:vMerge w:val="continue"/>
                  <w:noWrap w:val="0"/>
                  <w:vAlign w:val="center"/>
                </w:tcPr>
                <w:p>
                  <w:pPr>
                    <w:jc w:val="center"/>
                  </w:pPr>
                </w:p>
              </w:tc>
              <w:tc>
                <w:tcPr>
                  <w:tcW w:w="114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废机油</w:t>
                  </w:r>
                </w:p>
              </w:tc>
              <w:tc>
                <w:tcPr>
                  <w:tcW w:w="1055"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900-249-08</w:t>
                  </w:r>
                </w:p>
              </w:tc>
              <w:tc>
                <w:tcPr>
                  <w:tcW w:w="676" w:type="dxa"/>
                  <w:vMerge w:val="continue"/>
                  <w:noWrap w:val="0"/>
                  <w:vAlign w:val="center"/>
                </w:tcPr>
                <w:p>
                  <w:pPr>
                    <w:jc w:val="center"/>
                  </w:pPr>
                </w:p>
              </w:tc>
              <w:tc>
                <w:tcPr>
                  <w:tcW w:w="840" w:type="dxa"/>
                  <w:noWrap w:val="0"/>
                  <w:vAlign w:val="center"/>
                </w:tcPr>
                <w:p>
                  <w:pPr>
                    <w:jc w:val="center"/>
                  </w:pPr>
                  <w:r>
                    <w:rPr>
                      <w:rFonts w:hint="eastAsia"/>
                      <w:lang w:val="en-US" w:eastAsia="zh-CN"/>
                    </w:rPr>
                    <w:t>1</w:t>
                  </w:r>
                  <w:r>
                    <w:t>m</w:t>
                  </w:r>
                  <w:r>
                    <w:rPr>
                      <w:vertAlign w:val="superscript"/>
                    </w:rPr>
                    <w:t>2</w:t>
                  </w:r>
                </w:p>
              </w:tc>
              <w:tc>
                <w:tcPr>
                  <w:tcW w:w="1235" w:type="dxa"/>
                  <w:noWrap w:val="0"/>
                  <w:vAlign w:val="center"/>
                </w:tcPr>
                <w:p>
                  <w:pPr>
                    <w:jc w:val="center"/>
                  </w:pPr>
                  <w:r>
                    <w:rPr>
                      <w:rFonts w:hint="eastAsia"/>
                      <w:lang w:val="en-US" w:eastAsia="zh-CN"/>
                    </w:rPr>
                    <w:t>桶</w:t>
                  </w:r>
                  <w:r>
                    <w:t>装，密封</w:t>
                  </w:r>
                </w:p>
              </w:tc>
              <w:tc>
                <w:tcPr>
                  <w:tcW w:w="765" w:type="dxa"/>
                  <w:vMerge w:val="continue"/>
                  <w:noWrap w:val="0"/>
                  <w:vAlign w:val="center"/>
                </w:tcPr>
                <w:p>
                  <w:pPr>
                    <w:jc w:val="center"/>
                  </w:pPr>
                </w:p>
              </w:tc>
              <w:tc>
                <w:tcPr>
                  <w:tcW w:w="722" w:type="dxa"/>
                  <w:vMerge w:val="continue"/>
                  <w:noWrap w:val="0"/>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609" w:type="dxa"/>
                  <w:noWrap w:val="0"/>
                  <w:vAlign w:val="center"/>
                </w:tcPr>
                <w:p>
                  <w:pPr>
                    <w:jc w:val="center"/>
                  </w:pPr>
                  <w:r>
                    <w:rPr>
                      <w:rFonts w:hint="eastAsia"/>
                    </w:rPr>
                    <w:t>3</w:t>
                  </w:r>
                </w:p>
              </w:tc>
              <w:tc>
                <w:tcPr>
                  <w:tcW w:w="1332" w:type="dxa"/>
                  <w:vMerge w:val="continue"/>
                  <w:noWrap w:val="0"/>
                  <w:vAlign w:val="center"/>
                </w:tcPr>
                <w:p>
                  <w:pPr>
                    <w:jc w:val="center"/>
                  </w:pPr>
                </w:p>
              </w:tc>
              <w:tc>
                <w:tcPr>
                  <w:tcW w:w="1149" w:type="dxa"/>
                  <w:shd w:val="clear" w:color="auto" w:fill="auto"/>
                  <w:noWrap w:val="0"/>
                  <w:vAlign w:val="center"/>
                </w:tcPr>
                <w:p>
                  <w:pPr>
                    <w:autoSpaceDE w:val="0"/>
                    <w:autoSpaceDN w:val="0"/>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空压机含油废水</w:t>
                  </w:r>
                </w:p>
              </w:tc>
              <w:tc>
                <w:tcPr>
                  <w:tcW w:w="1055" w:type="dxa"/>
                  <w:shd w:val="clear" w:color="auto" w:fill="auto"/>
                  <w:noWrap w:val="0"/>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eastAsia"/>
                      <w:lang w:val="en-US" w:eastAsia="zh-CN"/>
                    </w:rPr>
                    <w:t>900-007-09</w:t>
                  </w:r>
                </w:p>
              </w:tc>
              <w:tc>
                <w:tcPr>
                  <w:tcW w:w="676" w:type="dxa"/>
                  <w:vMerge w:val="continue"/>
                  <w:noWrap w:val="0"/>
                  <w:vAlign w:val="center"/>
                </w:tcPr>
                <w:p>
                  <w:pPr>
                    <w:jc w:val="center"/>
                  </w:pPr>
                </w:p>
              </w:tc>
              <w:tc>
                <w:tcPr>
                  <w:tcW w:w="840" w:type="dxa"/>
                  <w:noWrap w:val="0"/>
                  <w:vAlign w:val="center"/>
                </w:tcPr>
                <w:p>
                  <w:pPr>
                    <w:jc w:val="center"/>
                  </w:pPr>
                  <w:r>
                    <w:rPr>
                      <w:rFonts w:hint="eastAsia"/>
                      <w:lang w:val="en-US" w:eastAsia="zh-CN"/>
                    </w:rPr>
                    <w:t>2</w:t>
                  </w:r>
                  <w:r>
                    <w:t>m</w:t>
                  </w:r>
                  <w:r>
                    <w:rPr>
                      <w:vertAlign w:val="superscript"/>
                    </w:rPr>
                    <w:t>2</w:t>
                  </w:r>
                </w:p>
              </w:tc>
              <w:tc>
                <w:tcPr>
                  <w:tcW w:w="1235" w:type="dxa"/>
                  <w:noWrap w:val="0"/>
                  <w:vAlign w:val="center"/>
                </w:tcPr>
                <w:p>
                  <w:pPr>
                    <w:jc w:val="center"/>
                  </w:pPr>
                  <w:r>
                    <w:rPr>
                      <w:rFonts w:hint="eastAsia"/>
                      <w:lang w:val="en-US" w:eastAsia="zh-CN"/>
                    </w:rPr>
                    <w:t>桶</w:t>
                  </w:r>
                  <w:r>
                    <w:t>装，密封</w:t>
                  </w:r>
                </w:p>
              </w:tc>
              <w:tc>
                <w:tcPr>
                  <w:tcW w:w="765" w:type="dxa"/>
                  <w:vMerge w:val="continue"/>
                  <w:noWrap w:val="0"/>
                  <w:vAlign w:val="center"/>
                </w:tcPr>
                <w:p>
                  <w:pPr>
                    <w:jc w:val="center"/>
                  </w:pPr>
                </w:p>
              </w:tc>
              <w:tc>
                <w:tcPr>
                  <w:tcW w:w="722" w:type="dxa"/>
                  <w:vMerge w:val="continue"/>
                  <w:noWrap w:val="0"/>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jc w:val="center"/>
              </w:trPr>
              <w:tc>
                <w:tcPr>
                  <w:tcW w:w="4821" w:type="dxa"/>
                  <w:gridSpan w:val="5"/>
                  <w:noWrap w:val="0"/>
                  <w:vAlign w:val="center"/>
                </w:tcPr>
                <w:p>
                  <w:pPr>
                    <w:jc w:val="center"/>
                    <w:rPr>
                      <w:rFonts w:hint="eastAsia" w:eastAsia="宋体"/>
                      <w:lang w:val="en-US" w:eastAsia="zh-CN"/>
                    </w:rPr>
                  </w:pPr>
                  <w:r>
                    <w:rPr>
                      <w:rFonts w:hint="eastAsia"/>
                      <w:lang w:val="en-US" w:eastAsia="zh-CN"/>
                    </w:rPr>
                    <w:t>合计</w:t>
                  </w:r>
                </w:p>
              </w:tc>
              <w:tc>
                <w:tcPr>
                  <w:tcW w:w="840" w:type="dxa"/>
                  <w:noWrap w:val="0"/>
                  <w:vAlign w:val="center"/>
                </w:tcPr>
                <w:p>
                  <w:pPr>
                    <w:jc w:val="center"/>
                  </w:pPr>
                  <w:r>
                    <w:rPr>
                      <w:rFonts w:hint="eastAsia"/>
                      <w:lang w:val="en-US" w:eastAsia="zh-CN"/>
                    </w:rPr>
                    <w:t>4</w:t>
                  </w:r>
                  <w:r>
                    <w:t>m</w:t>
                  </w:r>
                  <w:r>
                    <w:rPr>
                      <w:vertAlign w:val="superscript"/>
                    </w:rPr>
                    <w:t>2</w:t>
                  </w:r>
                </w:p>
              </w:tc>
              <w:tc>
                <w:tcPr>
                  <w:tcW w:w="1235" w:type="dxa"/>
                  <w:noWrap w:val="0"/>
                  <w:vAlign w:val="center"/>
                </w:tcPr>
                <w:p>
                  <w:pPr>
                    <w:jc w:val="center"/>
                    <w:rPr>
                      <w:rFonts w:hint="default"/>
                      <w:lang w:val="en-US" w:eastAsia="zh-CN"/>
                    </w:rPr>
                  </w:pPr>
                  <w:r>
                    <w:rPr>
                      <w:rFonts w:hint="eastAsia"/>
                      <w:lang w:val="en-US" w:eastAsia="zh-CN"/>
                    </w:rPr>
                    <w:t>/</w:t>
                  </w:r>
                </w:p>
              </w:tc>
              <w:tc>
                <w:tcPr>
                  <w:tcW w:w="765" w:type="dxa"/>
                  <w:noWrap w:val="0"/>
                  <w:vAlign w:val="center"/>
                </w:tcPr>
                <w:p>
                  <w:pPr>
                    <w:jc w:val="center"/>
                    <w:rPr>
                      <w:rFonts w:hint="eastAsia" w:eastAsia="宋体"/>
                      <w:lang w:val="en-US" w:eastAsia="zh-CN"/>
                    </w:rPr>
                  </w:pPr>
                  <w:r>
                    <w:rPr>
                      <w:rFonts w:hint="eastAsia"/>
                      <w:lang w:val="en-US" w:eastAsia="zh-CN"/>
                    </w:rPr>
                    <w:t>/</w:t>
                  </w:r>
                </w:p>
              </w:tc>
              <w:tc>
                <w:tcPr>
                  <w:tcW w:w="722" w:type="dxa"/>
                  <w:noWrap w:val="0"/>
                  <w:vAlign w:val="center"/>
                </w:tcPr>
                <w:p>
                  <w:pPr>
                    <w:jc w:val="center"/>
                    <w:rPr>
                      <w:rFonts w:hint="eastAsia" w:eastAsia="宋体"/>
                      <w:lang w:val="en-US" w:eastAsia="zh-CN"/>
                    </w:rPr>
                  </w:pPr>
                  <w:r>
                    <w:rPr>
                      <w:rFonts w:hint="eastAsia"/>
                      <w:lang w:val="en-US" w:eastAsia="zh-CN"/>
                    </w:rPr>
                    <w:t>/</w:t>
                  </w:r>
                </w:p>
              </w:tc>
            </w:tr>
          </w:tbl>
          <w:p>
            <w:pPr>
              <w:adjustRightInd w:val="0"/>
              <w:snapToGrid w:val="0"/>
              <w:spacing w:line="360" w:lineRule="auto"/>
              <w:ind w:firstLine="482"/>
              <w:rPr>
                <w:rFonts w:hint="eastAsia"/>
                <w:bCs/>
              </w:rPr>
            </w:pPr>
          </w:p>
          <w:p>
            <w:pPr>
              <w:adjustRightInd w:val="0"/>
              <w:snapToGrid w:val="0"/>
              <w:spacing w:line="360" w:lineRule="auto"/>
              <w:ind w:firstLine="482"/>
              <w:rPr>
                <w:rFonts w:hint="eastAsia"/>
                <w:sz w:val="24"/>
                <w:szCs w:val="32"/>
              </w:rPr>
            </w:pPr>
            <w:r>
              <w:rPr>
                <w:rFonts w:hint="eastAsia"/>
                <w:bCs/>
                <w:sz w:val="24"/>
                <w:szCs w:val="32"/>
              </w:rPr>
              <w:t>企业危废</w:t>
            </w:r>
            <w:r>
              <w:rPr>
                <w:rFonts w:hint="eastAsia"/>
                <w:bCs/>
                <w:sz w:val="24"/>
                <w:szCs w:val="32"/>
                <w:lang w:val="en-US" w:eastAsia="zh-CN"/>
              </w:rPr>
              <w:t>暂存区</w:t>
            </w:r>
            <w:r>
              <w:rPr>
                <w:rFonts w:hint="eastAsia"/>
                <w:bCs/>
                <w:sz w:val="24"/>
                <w:szCs w:val="32"/>
              </w:rPr>
              <w:t>5m</w:t>
            </w:r>
            <w:r>
              <w:rPr>
                <w:bCs/>
                <w:sz w:val="24"/>
                <w:szCs w:val="32"/>
                <w:vertAlign w:val="superscript"/>
              </w:rPr>
              <w:t>2</w:t>
            </w:r>
            <w:r>
              <w:rPr>
                <w:rFonts w:hint="eastAsia"/>
                <w:bCs/>
                <w:sz w:val="24"/>
                <w:szCs w:val="32"/>
              </w:rPr>
              <w:t>（＞危废最大暂存量对应面积</w:t>
            </w:r>
            <w:r>
              <w:rPr>
                <w:rFonts w:hint="eastAsia"/>
                <w:bCs/>
                <w:sz w:val="24"/>
                <w:szCs w:val="32"/>
                <w:lang w:val="en-US" w:eastAsia="zh-CN"/>
              </w:rPr>
              <w:t>4</w:t>
            </w:r>
            <w:r>
              <w:rPr>
                <w:rFonts w:hint="eastAsia"/>
                <w:bCs/>
                <w:sz w:val="24"/>
                <w:szCs w:val="32"/>
              </w:rPr>
              <w:t>m</w:t>
            </w:r>
            <w:r>
              <w:rPr>
                <w:rFonts w:hint="eastAsia"/>
                <w:bCs/>
                <w:sz w:val="24"/>
                <w:szCs w:val="32"/>
                <w:vertAlign w:val="superscript"/>
              </w:rPr>
              <w:t>2</w:t>
            </w:r>
            <w:r>
              <w:rPr>
                <w:rFonts w:hint="eastAsia"/>
                <w:bCs/>
                <w:sz w:val="24"/>
                <w:szCs w:val="32"/>
              </w:rPr>
              <w:t>），主要贮存生产过程中产生的</w:t>
            </w:r>
            <w:r>
              <w:rPr>
                <w:rFonts w:hint="eastAsia"/>
                <w:sz w:val="24"/>
                <w:szCs w:val="24"/>
                <w:lang w:val="en-US" w:eastAsia="zh-CN"/>
              </w:rPr>
              <w:t>废抹布手套、废机油、空压机含油废水</w:t>
            </w:r>
            <w:r>
              <w:rPr>
                <w:rFonts w:hint="eastAsia"/>
                <w:bCs/>
                <w:sz w:val="24"/>
                <w:szCs w:val="32"/>
              </w:rPr>
              <w:t>等，贮存周期不超过12个月。</w:t>
            </w:r>
            <w:r>
              <w:rPr>
                <w:rFonts w:hint="eastAsia"/>
                <w:sz w:val="24"/>
                <w:szCs w:val="24"/>
                <w:lang w:val="en-US" w:eastAsia="zh-CN"/>
              </w:rPr>
              <w:t>废抹布手套</w:t>
            </w:r>
            <w:r>
              <w:rPr>
                <w:rFonts w:hint="eastAsia"/>
                <w:bCs/>
                <w:sz w:val="24"/>
                <w:szCs w:val="32"/>
              </w:rPr>
              <w:t>采用密封袋保存，</w:t>
            </w:r>
            <w:r>
              <w:rPr>
                <w:rFonts w:hint="eastAsia"/>
                <w:sz w:val="24"/>
                <w:szCs w:val="24"/>
                <w:lang w:val="en-US" w:eastAsia="zh-CN"/>
              </w:rPr>
              <w:t>废机油、空压机含油废水</w:t>
            </w:r>
            <w:r>
              <w:rPr>
                <w:rFonts w:hint="eastAsia"/>
                <w:bCs/>
                <w:sz w:val="24"/>
                <w:szCs w:val="32"/>
              </w:rPr>
              <w:t>采用密封桶保存</w:t>
            </w:r>
            <w:r>
              <w:rPr>
                <w:rFonts w:hint="eastAsia"/>
                <w:bCs/>
                <w:sz w:val="24"/>
                <w:szCs w:val="32"/>
                <w:lang w:eastAsia="zh-CN"/>
              </w:rPr>
              <w:t>，</w:t>
            </w:r>
            <w:r>
              <w:rPr>
                <w:rFonts w:hint="eastAsia"/>
                <w:bCs/>
                <w:sz w:val="24"/>
                <w:szCs w:val="32"/>
              </w:rPr>
              <w:t>本项目危废</w:t>
            </w:r>
            <w:r>
              <w:rPr>
                <w:rFonts w:hint="eastAsia"/>
                <w:bCs/>
                <w:sz w:val="24"/>
                <w:szCs w:val="32"/>
                <w:lang w:val="en-US" w:eastAsia="zh-CN"/>
              </w:rPr>
              <w:t>暂存区</w:t>
            </w:r>
            <w:r>
              <w:rPr>
                <w:rFonts w:hint="eastAsia"/>
                <w:bCs/>
                <w:sz w:val="24"/>
                <w:szCs w:val="32"/>
              </w:rPr>
              <w:t>满足存储要求。</w:t>
            </w:r>
          </w:p>
          <w:p>
            <w:pPr>
              <w:pStyle w:val="15"/>
              <w:spacing w:line="360" w:lineRule="auto"/>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表4-</w:t>
            </w:r>
            <w:r>
              <w:rPr>
                <w:rFonts w:hint="eastAsia" w:ascii="Times New Roman" w:hAnsi="Times New Roman" w:eastAsia="宋体" w:cs="Times New Roman"/>
                <w:b/>
                <w:sz w:val="24"/>
                <w:szCs w:val="24"/>
                <w:lang w:val="en-US" w:eastAsia="zh-CN"/>
              </w:rPr>
              <w:t>20</w:t>
            </w:r>
            <w:r>
              <w:rPr>
                <w:rFonts w:hint="eastAsia" w:ascii="Times New Roman" w:hAnsi="Times New Roman" w:eastAsia="宋体" w:cs="Times New Roman"/>
                <w:b/>
                <w:sz w:val="24"/>
                <w:szCs w:val="24"/>
              </w:rPr>
              <w:t>与苏环办〔2024〕16号文相符性分析</w:t>
            </w:r>
          </w:p>
          <w:tbl>
            <w:tblPr>
              <w:tblStyle w:val="30"/>
              <w:tblW w:w="838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7"/>
              <w:gridCol w:w="4611"/>
              <w:gridCol w:w="2155"/>
              <w:gridCol w:w="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7" w:type="dxa"/>
                  <w:tcBorders>
                    <w:top w:val="single" w:color="auto" w:sz="12" w:space="0"/>
                    <w:left w:val="nil"/>
                    <w:bottom w:val="single" w:color="auto" w:sz="4" w:space="0"/>
                    <w:right w:val="single" w:color="auto" w:sz="4" w:space="0"/>
                  </w:tcBorders>
                  <w:noWrap w:val="0"/>
                  <w:vAlign w:val="center"/>
                </w:tcPr>
                <w:p>
                  <w:pPr>
                    <w:topLinePunct/>
                    <w:adjustRightInd w:val="0"/>
                    <w:snapToGrid w:val="0"/>
                    <w:jc w:val="center"/>
                    <w:rPr>
                      <w:b/>
                      <w:bCs/>
                    </w:rPr>
                  </w:pPr>
                  <w:r>
                    <w:rPr>
                      <w:b/>
                      <w:bCs/>
                    </w:rPr>
                    <w:t>类别</w:t>
                  </w:r>
                </w:p>
              </w:tc>
              <w:tc>
                <w:tcPr>
                  <w:tcW w:w="4611" w:type="dxa"/>
                  <w:tcBorders>
                    <w:top w:val="single" w:color="auto" w:sz="12" w:space="0"/>
                    <w:left w:val="single" w:color="auto" w:sz="4" w:space="0"/>
                    <w:bottom w:val="single" w:color="auto" w:sz="4" w:space="0"/>
                    <w:right w:val="single" w:color="auto" w:sz="4" w:space="0"/>
                  </w:tcBorders>
                  <w:noWrap w:val="0"/>
                  <w:vAlign w:val="center"/>
                </w:tcPr>
                <w:p>
                  <w:pPr>
                    <w:topLinePunct/>
                    <w:adjustRightInd w:val="0"/>
                    <w:snapToGrid w:val="0"/>
                    <w:jc w:val="center"/>
                    <w:rPr>
                      <w:b/>
                      <w:bCs/>
                    </w:rPr>
                  </w:pPr>
                  <w:r>
                    <w:rPr>
                      <w:b/>
                      <w:bCs/>
                    </w:rPr>
                    <w:t>具体建设要求</w:t>
                  </w:r>
                </w:p>
              </w:tc>
              <w:tc>
                <w:tcPr>
                  <w:tcW w:w="2155" w:type="dxa"/>
                  <w:tcBorders>
                    <w:top w:val="single" w:color="auto" w:sz="12" w:space="0"/>
                    <w:left w:val="single" w:color="auto" w:sz="4" w:space="0"/>
                    <w:bottom w:val="single" w:color="auto" w:sz="4" w:space="0"/>
                    <w:right w:val="nil"/>
                  </w:tcBorders>
                  <w:noWrap w:val="0"/>
                  <w:vAlign w:val="center"/>
                </w:tcPr>
                <w:p>
                  <w:pPr>
                    <w:topLinePunct/>
                    <w:adjustRightInd w:val="0"/>
                    <w:snapToGrid w:val="0"/>
                    <w:jc w:val="center"/>
                    <w:rPr>
                      <w:b/>
                      <w:bCs/>
                    </w:rPr>
                  </w:pPr>
                  <w:r>
                    <w:rPr>
                      <w:rFonts w:hint="eastAsia"/>
                      <w:b/>
                      <w:bCs/>
                    </w:rPr>
                    <w:t>本项目</w:t>
                  </w:r>
                  <w:r>
                    <w:rPr>
                      <w:b/>
                      <w:bCs/>
                    </w:rPr>
                    <w:t>污染防治措施</w:t>
                  </w:r>
                </w:p>
              </w:tc>
              <w:tc>
                <w:tcPr>
                  <w:tcW w:w="965" w:type="dxa"/>
                  <w:tcBorders>
                    <w:top w:val="single" w:color="auto" w:sz="12" w:space="0"/>
                    <w:left w:val="single" w:color="auto" w:sz="4" w:space="0"/>
                    <w:bottom w:val="single" w:color="auto" w:sz="4" w:space="0"/>
                    <w:right w:val="nil"/>
                  </w:tcBorders>
                  <w:noWrap w:val="0"/>
                  <w:vAlign w:val="center"/>
                </w:tcPr>
                <w:p>
                  <w:pPr>
                    <w:topLinePunct/>
                    <w:adjustRightInd w:val="0"/>
                    <w:snapToGrid w:val="0"/>
                    <w:jc w:val="center"/>
                    <w:rPr>
                      <w:b/>
                      <w:bCs/>
                    </w:rPr>
                  </w:pPr>
                  <w:r>
                    <w:rPr>
                      <w:rFonts w:hint="eastAsia"/>
                      <w:b/>
                      <w:bCs/>
                    </w:rPr>
                    <w:t>相符性分析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7" w:type="dxa"/>
                  <w:tcBorders>
                    <w:top w:val="single" w:color="auto" w:sz="4" w:space="0"/>
                    <w:left w:val="nil"/>
                    <w:bottom w:val="single" w:color="auto" w:sz="4" w:space="0"/>
                    <w:right w:val="single" w:color="auto" w:sz="4" w:space="0"/>
                  </w:tcBorders>
                  <w:noWrap w:val="0"/>
                  <w:vAlign w:val="center"/>
                </w:tcPr>
                <w:p>
                  <w:pPr>
                    <w:topLinePunct/>
                    <w:adjustRightInd w:val="0"/>
                    <w:snapToGrid w:val="0"/>
                    <w:jc w:val="center"/>
                  </w:pPr>
                  <w:r>
                    <w:rPr>
                      <w:rFonts w:hint="eastAsia"/>
                    </w:rPr>
                    <w:t>规范贮存管理要求</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eastAsia"/>
                    </w:rPr>
                  </w:pPr>
                  <w:r>
                    <w:rPr>
                      <w:rFonts w:hint="eastAsia"/>
                    </w:rPr>
                    <w:t xml:space="preserve">根据《危险废物贮存污染控制标准》 （GB 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2021〕290 号）中关于贮存周期和贮存量的要求，I级、Ⅱ级、III级危险废物贮存时间分别不得超过 30 天、60 天、90 天，最大贮存量不得超过1 吨。 </w:t>
                  </w:r>
                </w:p>
              </w:tc>
              <w:tc>
                <w:tcPr>
                  <w:tcW w:w="2155"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pPr>
                  <w:r>
                    <w:rPr>
                      <w:rFonts w:hint="eastAsia"/>
                    </w:rPr>
                    <w:t>拟建项目</w:t>
                  </w:r>
                  <w:r>
                    <w:t>危险废物主要为</w:t>
                  </w:r>
                  <w:r>
                    <w:rPr>
                      <w:rFonts w:hint="eastAsia"/>
                    </w:rPr>
                    <w:t>固态和液态危废</w:t>
                  </w:r>
                  <w:r>
                    <w:t>，</w:t>
                  </w:r>
                  <w:r>
                    <w:rPr>
                      <w:rFonts w:hint="eastAsia"/>
                    </w:rPr>
                    <w:t>固态危废</w:t>
                  </w:r>
                  <w:r>
                    <w:t>袋装密封存储于危废暂存仓库内</w:t>
                  </w:r>
                  <w:r>
                    <w:rPr>
                      <w:rFonts w:hint="eastAsia"/>
                    </w:rPr>
                    <w:t>，液态危废密闭桶装</w:t>
                  </w:r>
                  <w:r>
                    <w:t>存储于危废暂存仓库内，委托有资质的单位处理。</w:t>
                  </w:r>
                </w:p>
              </w:tc>
              <w:tc>
                <w:tcPr>
                  <w:tcW w:w="965"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rPr>
                      <w:rFonts w:hint="eastAsia"/>
                    </w:rPr>
                  </w:pPr>
                  <w:r>
                    <w:rPr>
                      <w:rFonts w:hint="eastAsi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7" w:type="dxa"/>
                  <w:tcBorders>
                    <w:top w:val="single" w:color="auto" w:sz="4" w:space="0"/>
                    <w:left w:val="nil"/>
                    <w:bottom w:val="single" w:color="auto" w:sz="4" w:space="0"/>
                    <w:right w:val="single" w:color="auto" w:sz="4" w:space="0"/>
                  </w:tcBorders>
                  <w:noWrap w:val="0"/>
                  <w:vAlign w:val="center"/>
                </w:tcPr>
                <w:p>
                  <w:pPr>
                    <w:topLinePunct/>
                    <w:adjustRightInd w:val="0"/>
                    <w:snapToGrid w:val="0"/>
                    <w:jc w:val="center"/>
                  </w:pPr>
                  <w:r>
                    <w:rPr>
                      <w:rFonts w:hint="eastAsia"/>
                    </w:rPr>
                    <w:t>强化转移过程管理</w:t>
                  </w:r>
                </w:p>
              </w:tc>
              <w:tc>
                <w:tcPr>
                  <w:tcW w:w="4611"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center"/>
                    <w:rPr>
                      <w:rFonts w:hint="eastAsia"/>
                    </w:rPr>
                  </w:pPr>
                  <w:r>
                    <w:rPr>
                      <w:rFonts w:hint="eastAsia"/>
                    </w:rPr>
                    <w:t xml:space="preserve">全面落实危险废物转移电子联单制度，实行省内全域扫描“二维码”转移。加强与危险货物道路运输电子运单数据共享，实现运输轨迹可溯可查。危险废物产生单位须依法核实经营单位主体资 格和技术能力，直接签订委托合同，并向经营单位提供相关危险废物产生工艺、具体成分，以及是否易燃易爆等信息，违法委托的，应当与造成环境污染和生态破坏的受托方承担连带责任；经营单位须按合同及包装物扫码签收危险废物，签收人、车辆信息等须拍照上传至系统，严禁“空转”二维码。积极推行一般工业固体废物转移电子联单制度，优先选择环境风险较大的污泥、矿渣等固体废物试行。 </w:t>
                  </w:r>
                </w:p>
              </w:tc>
              <w:tc>
                <w:tcPr>
                  <w:tcW w:w="2155"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pPr>
                  <w:r>
                    <w:t>本项目建成后将依法核实经营单位主体资格和技术能力，直接签订委托合同，并向</w:t>
                  </w:r>
                  <w:r>
                    <w:rPr>
                      <w:rFonts w:hint="eastAsia"/>
                    </w:rPr>
                    <w:t>经营单位</w:t>
                  </w:r>
                  <w:r>
                    <w:t>提供相关危 险废物产生工艺、具体成分，以及是否易燃易爆等信息。</w:t>
                  </w:r>
                </w:p>
              </w:tc>
              <w:tc>
                <w:tcPr>
                  <w:tcW w:w="965"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pPr>
                  <w:r>
                    <w:rPr>
                      <w:rFonts w:hint="eastAsia"/>
                    </w:rPr>
                    <w:t>相符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57" w:type="dxa"/>
                  <w:tcBorders>
                    <w:top w:val="single" w:color="auto" w:sz="4" w:space="0"/>
                    <w:left w:val="nil"/>
                    <w:bottom w:val="single" w:color="auto" w:sz="12" w:space="0"/>
                    <w:right w:val="single" w:color="auto" w:sz="4" w:space="0"/>
                  </w:tcBorders>
                  <w:noWrap w:val="0"/>
                  <w:vAlign w:val="center"/>
                </w:tcPr>
                <w:p>
                  <w:pPr>
                    <w:topLinePunct/>
                    <w:adjustRightInd w:val="0"/>
                    <w:snapToGrid w:val="0"/>
                    <w:jc w:val="center"/>
                  </w:pPr>
                  <w:r>
                    <w:rPr>
                      <w:rFonts w:hint="eastAsia"/>
                    </w:rPr>
                    <w:t>落实信息公开制度</w:t>
                  </w:r>
                </w:p>
              </w:tc>
              <w:tc>
                <w:tcPr>
                  <w:tcW w:w="4611" w:type="dxa"/>
                  <w:tcBorders>
                    <w:top w:val="single" w:color="auto" w:sz="4" w:space="0"/>
                    <w:left w:val="single" w:color="auto" w:sz="4" w:space="0"/>
                    <w:bottom w:val="single" w:color="auto" w:sz="12" w:space="0"/>
                    <w:right w:val="single" w:color="auto" w:sz="4" w:space="0"/>
                  </w:tcBorders>
                  <w:noWrap w:val="0"/>
                  <w:vAlign w:val="center"/>
                </w:tcPr>
                <w:p>
                  <w:pPr>
                    <w:topLinePunct/>
                    <w:adjustRightInd w:val="0"/>
                    <w:snapToGrid w:val="0"/>
                    <w:jc w:val="center"/>
                    <w:rPr>
                      <w:rFonts w:hint="eastAsia"/>
                    </w:rPr>
                  </w:pPr>
                  <w:r>
                    <w:rPr>
                      <w:rFonts w:hint="eastAsia"/>
                    </w:rPr>
                    <w:t xml:space="preserve">危险废物环境重点监管单位要在出入口、设施内部、 危险废物运输车辆通道等关键位置设置视频监控并与中控室联网，通过设立公开栏、标志牌等方式，主动公开危险废物产生和利用处置等有关信息。集中焚烧处置单位及有自建危废焚烧处置设施的单位要依法及时公开二燃室温度等工况运行指标以及污染物排放指标、浓度等有关信息，并联网至属地生态环境部门。危险废物经营单位应同步公开许可证、许可条件等全文信息。 </w:t>
                  </w:r>
                </w:p>
              </w:tc>
              <w:tc>
                <w:tcPr>
                  <w:tcW w:w="2155" w:type="dxa"/>
                  <w:tcBorders>
                    <w:top w:val="single" w:color="auto" w:sz="4" w:space="0"/>
                    <w:left w:val="single" w:color="auto" w:sz="4" w:space="0"/>
                    <w:bottom w:val="single" w:color="auto" w:sz="12" w:space="0"/>
                    <w:right w:val="nil"/>
                  </w:tcBorders>
                  <w:noWrap w:val="0"/>
                  <w:vAlign w:val="center"/>
                </w:tcPr>
                <w:p>
                  <w:pPr>
                    <w:topLinePunct/>
                    <w:adjustRightInd w:val="0"/>
                    <w:snapToGrid w:val="0"/>
                    <w:jc w:val="center"/>
                  </w:pPr>
                  <w:r>
                    <w:t>厂区门口</w:t>
                  </w:r>
                  <w:r>
                    <w:rPr>
                      <w:rFonts w:hint="eastAsia"/>
                      <w:lang w:val="en-US" w:eastAsia="zh-CN"/>
                    </w:rPr>
                    <w:t>拟</w:t>
                  </w:r>
                  <w:r>
                    <w:t>设置危废信息公开栏，危废贮存处墙面设置贮存设施警示标志牌。本次环评已对危废仓库的建设提出监控要求，主要在仓库出入口、仓库内、厂门口等关键位置安装视频监控设施，进行实时监控，并与中控室联网。</w:t>
                  </w:r>
                </w:p>
              </w:tc>
              <w:tc>
                <w:tcPr>
                  <w:tcW w:w="965" w:type="dxa"/>
                  <w:tcBorders>
                    <w:top w:val="single" w:color="auto" w:sz="4" w:space="0"/>
                    <w:left w:val="single" w:color="auto" w:sz="4" w:space="0"/>
                    <w:bottom w:val="single" w:color="auto" w:sz="12" w:space="0"/>
                    <w:right w:val="nil"/>
                  </w:tcBorders>
                  <w:noWrap w:val="0"/>
                  <w:vAlign w:val="center"/>
                </w:tcPr>
                <w:p>
                  <w:pPr>
                    <w:topLinePunct/>
                    <w:adjustRightInd w:val="0"/>
                    <w:snapToGrid w:val="0"/>
                    <w:jc w:val="center"/>
                  </w:pPr>
                  <w:r>
                    <w:rPr>
                      <w:rFonts w:hint="eastAsia"/>
                    </w:rPr>
                    <w:t>相符</w:t>
                  </w:r>
                </w:p>
              </w:tc>
            </w:tr>
          </w:tbl>
          <w:p>
            <w:pPr>
              <w:pStyle w:val="67"/>
              <w:spacing w:line="360" w:lineRule="auto"/>
              <w:rPr>
                <w:bCs/>
                <w:szCs w:val="21"/>
              </w:rPr>
            </w:pPr>
          </w:p>
          <w:p>
            <w:pPr>
              <w:pStyle w:val="15"/>
              <w:spacing w:line="360" w:lineRule="auto"/>
              <w:jc w:val="center"/>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表4-</w:t>
            </w:r>
            <w:r>
              <w:rPr>
                <w:rFonts w:hint="eastAsia" w:ascii="Times New Roman" w:hAnsi="Times New Roman" w:eastAsia="宋体" w:cs="Times New Roman"/>
                <w:b/>
                <w:sz w:val="24"/>
                <w:szCs w:val="24"/>
                <w:lang w:val="en-US" w:eastAsia="zh-CN"/>
              </w:rPr>
              <w:t>21</w:t>
            </w:r>
            <w:r>
              <w:rPr>
                <w:rFonts w:hint="eastAsia" w:ascii="Times New Roman" w:hAnsi="Times New Roman" w:eastAsia="宋体" w:cs="Times New Roman"/>
                <w:b/>
                <w:sz w:val="24"/>
                <w:szCs w:val="24"/>
              </w:rPr>
              <w:t>与《危险废物贮存污染控制标准》（GB18597-2023）相符性分析</w:t>
            </w:r>
          </w:p>
          <w:tbl>
            <w:tblPr>
              <w:tblStyle w:val="30"/>
              <w:tblW w:w="838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2"/>
              <w:gridCol w:w="5069"/>
              <w:gridCol w:w="25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82" w:type="dxa"/>
                  <w:tcBorders>
                    <w:top w:val="single" w:color="auto" w:sz="12" w:space="0"/>
                    <w:left w:val="nil"/>
                    <w:bottom w:val="single" w:color="auto" w:sz="4" w:space="0"/>
                    <w:right w:val="single" w:color="auto" w:sz="4" w:space="0"/>
                  </w:tcBorders>
                  <w:noWrap w:val="0"/>
                  <w:vAlign w:val="center"/>
                </w:tcPr>
                <w:p>
                  <w:pPr>
                    <w:topLinePunct/>
                    <w:adjustRightInd w:val="0"/>
                    <w:snapToGrid w:val="0"/>
                    <w:jc w:val="center"/>
                    <w:rPr>
                      <w:rFonts w:cs="Times New Roman"/>
                      <w:b/>
                      <w:bCs/>
                    </w:rPr>
                  </w:pPr>
                  <w:r>
                    <w:rPr>
                      <w:rFonts w:cs="Times New Roman"/>
                      <w:b/>
                      <w:bCs/>
                    </w:rPr>
                    <w:t xml:space="preserve">分类 </w:t>
                  </w:r>
                </w:p>
              </w:tc>
              <w:tc>
                <w:tcPr>
                  <w:tcW w:w="5069" w:type="dxa"/>
                  <w:tcBorders>
                    <w:top w:val="single" w:color="auto" w:sz="12" w:space="0"/>
                    <w:left w:val="single" w:color="auto" w:sz="4" w:space="0"/>
                    <w:bottom w:val="single" w:color="auto" w:sz="4" w:space="0"/>
                    <w:right w:val="single" w:color="auto" w:sz="4" w:space="0"/>
                  </w:tcBorders>
                  <w:noWrap w:val="0"/>
                  <w:vAlign w:val="center"/>
                </w:tcPr>
                <w:p>
                  <w:pPr>
                    <w:topLinePunct/>
                    <w:adjustRightInd w:val="0"/>
                    <w:snapToGrid w:val="0"/>
                    <w:jc w:val="center"/>
                    <w:rPr>
                      <w:rFonts w:cs="Times New Roman"/>
                      <w:b/>
                      <w:bCs/>
                    </w:rPr>
                  </w:pPr>
                  <w:r>
                    <w:rPr>
                      <w:rFonts w:cs="Times New Roman"/>
                      <w:b/>
                      <w:bCs/>
                    </w:rPr>
                    <w:t>具体要求</w:t>
                  </w:r>
                </w:p>
              </w:tc>
              <w:tc>
                <w:tcPr>
                  <w:tcW w:w="2537" w:type="dxa"/>
                  <w:tcBorders>
                    <w:top w:val="single" w:color="auto" w:sz="12" w:space="0"/>
                    <w:left w:val="single" w:color="auto" w:sz="4" w:space="0"/>
                    <w:bottom w:val="single" w:color="auto" w:sz="4" w:space="0"/>
                    <w:right w:val="nil"/>
                  </w:tcBorders>
                  <w:noWrap w:val="0"/>
                  <w:vAlign w:val="center"/>
                </w:tcPr>
                <w:p>
                  <w:pPr>
                    <w:topLinePunct/>
                    <w:adjustRightInd w:val="0"/>
                    <w:snapToGrid w:val="0"/>
                    <w:jc w:val="center"/>
                    <w:rPr>
                      <w:rFonts w:cs="Times New Roman"/>
                      <w:b/>
                      <w:bCs/>
                    </w:rPr>
                  </w:pPr>
                  <w:r>
                    <w:rPr>
                      <w:rFonts w:cs="Times New Roman"/>
                      <w:b/>
                      <w:bCs/>
                    </w:rPr>
                    <w:t>本项目</w:t>
                  </w:r>
                  <w:r>
                    <w:rPr>
                      <w:rFonts w:hint="eastAsia" w:cs="Times New Roman"/>
                      <w:b/>
                      <w:bCs/>
                    </w:rPr>
                    <w:t>拟建设</w:t>
                  </w:r>
                  <w:r>
                    <w:rPr>
                      <w:rFonts w:cs="Times New Roman"/>
                      <w:b/>
                      <w:bCs/>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2" w:type="dxa"/>
                  <w:tcBorders>
                    <w:top w:val="single" w:color="auto" w:sz="4" w:space="0"/>
                    <w:left w:val="nil"/>
                    <w:bottom w:val="single" w:color="auto" w:sz="4" w:space="0"/>
                    <w:right w:val="single" w:color="auto" w:sz="4" w:space="0"/>
                  </w:tcBorders>
                  <w:noWrap w:val="0"/>
                  <w:vAlign w:val="center"/>
                </w:tcPr>
                <w:p>
                  <w:pPr>
                    <w:topLinePunct/>
                    <w:adjustRightInd w:val="0"/>
                    <w:snapToGrid w:val="0"/>
                    <w:jc w:val="center"/>
                    <w:rPr>
                      <w:rFonts w:cs="Times New Roman"/>
                    </w:rPr>
                  </w:pPr>
                  <w:r>
                    <w:rPr>
                      <w:rFonts w:cs="Times New Roman"/>
                    </w:rPr>
                    <w:t xml:space="preserve">一般要求 </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both"/>
                    <w:rPr>
                      <w:rFonts w:cs="Times New Roman"/>
                    </w:rPr>
                  </w:pPr>
                  <w:r>
                    <w:rPr>
                      <w:rFonts w:cs="Times New Roman"/>
                    </w:rPr>
                    <w:t xml:space="preserve">6.1.1 贮存设施应根据危险废物的形态、物理化学性质、包装形式和污染物迁移途径，采取必要的防风、防晒、防雨、防漏、防渗、防腐以及其他环境污染防治措施，不应露天堆放危险废物。 </w:t>
                  </w:r>
                </w:p>
                <w:p>
                  <w:pPr>
                    <w:topLinePunct/>
                    <w:adjustRightInd w:val="0"/>
                    <w:snapToGrid w:val="0"/>
                    <w:jc w:val="both"/>
                    <w:rPr>
                      <w:rFonts w:cs="Times New Roman"/>
                    </w:rPr>
                  </w:pPr>
                  <w:r>
                    <w:rPr>
                      <w:rFonts w:cs="Times New Roman"/>
                    </w:rPr>
                    <w:t xml:space="preserve">6.1.2 贮存设施应根据危险废物的类别、数量、形态、物理化学性质和污染防治等要求设置必要的贮存分区，避免不相容的危险 废物接触、混合。 </w:t>
                  </w:r>
                </w:p>
                <w:p>
                  <w:pPr>
                    <w:topLinePunct/>
                    <w:adjustRightInd w:val="0"/>
                    <w:snapToGrid w:val="0"/>
                    <w:jc w:val="both"/>
                    <w:rPr>
                      <w:rFonts w:cs="Times New Roman"/>
                    </w:rPr>
                  </w:pPr>
                  <w:r>
                    <w:rPr>
                      <w:rFonts w:cs="Times New Roman"/>
                    </w:rPr>
                    <w:t xml:space="preserve">6.1.3 贮存设施或贮存分区内地面、墙面裙脚、堵截泄漏的围堰、接触危险废物的隔板和墙体等应采用坚固的材料建造，表面无裂缝。 </w:t>
                  </w:r>
                </w:p>
                <w:p>
                  <w:pPr>
                    <w:topLinePunct/>
                    <w:adjustRightInd w:val="0"/>
                    <w:snapToGrid w:val="0"/>
                    <w:jc w:val="both"/>
                    <w:rPr>
                      <w:rFonts w:cs="Times New Roman"/>
                    </w:rPr>
                  </w:pPr>
                  <w:r>
                    <w:rPr>
                      <w:rFonts w:cs="Times New Roman"/>
                    </w:rPr>
                    <w:t xml:space="preserve">6.1.4 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1 m 厚黏土层（渗透系数不大于10 </w:t>
                  </w:r>
                  <w:r>
                    <w:rPr>
                      <w:rFonts w:cs="Times New Roman"/>
                      <w:vertAlign w:val="superscript"/>
                    </w:rPr>
                    <w:t>-7</w:t>
                  </w:r>
                  <w:r>
                    <w:rPr>
                      <w:rFonts w:cs="Times New Roman"/>
                    </w:rPr>
                    <w:t xml:space="preserve"> cm/s），或至少 2 mm 厚高 密度聚乙烯膜等人工防渗材料（渗透系数不大于10</w:t>
                  </w:r>
                  <w:r>
                    <w:rPr>
                      <w:rFonts w:cs="Times New Roman"/>
                      <w:vertAlign w:val="superscript"/>
                    </w:rPr>
                    <w:t xml:space="preserve"> -10</w:t>
                  </w:r>
                  <w:r>
                    <w:rPr>
                      <w:rFonts w:cs="Times New Roman"/>
                    </w:rPr>
                    <w:t xml:space="preserve"> cm/s）， 或其他防渗性能等效的材料。 </w:t>
                  </w:r>
                </w:p>
                <w:p>
                  <w:pPr>
                    <w:topLinePunct/>
                    <w:adjustRightInd w:val="0"/>
                    <w:snapToGrid w:val="0"/>
                    <w:jc w:val="both"/>
                    <w:rPr>
                      <w:rFonts w:cs="Times New Roman"/>
                    </w:rPr>
                  </w:pPr>
                  <w:r>
                    <w:rPr>
                      <w:rFonts w:cs="Times New Roman"/>
                    </w:rPr>
                    <w:t xml:space="preserve">6.1.5 同一贮存设施宜采用相同的防渗、防腐工艺（包括防渗、防腐结构或材料），防渗、防腐材料应覆盖所有可能与废物及其渗滤液、渗漏液等接触的构筑物表面；采用不同防渗、防腐工艺应分别建设贮存分区。 </w:t>
                  </w:r>
                </w:p>
                <w:p>
                  <w:pPr>
                    <w:topLinePunct/>
                    <w:adjustRightInd w:val="0"/>
                    <w:snapToGrid w:val="0"/>
                    <w:jc w:val="both"/>
                    <w:rPr>
                      <w:rFonts w:cs="Times New Roman"/>
                    </w:rPr>
                  </w:pPr>
                  <w:r>
                    <w:rPr>
                      <w:rFonts w:cs="Times New Roman"/>
                    </w:rPr>
                    <w:t>6.1.6 贮存设施应采取技术和管理措施防止无关人员进入。</w:t>
                  </w:r>
                </w:p>
              </w:tc>
              <w:tc>
                <w:tcPr>
                  <w:tcW w:w="2537"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left"/>
                    <w:rPr>
                      <w:rFonts w:cs="Times New Roman"/>
                    </w:rPr>
                  </w:pPr>
                  <w:r>
                    <w:rPr>
                      <w:rFonts w:hint="eastAsia" w:cs="Times New Roman"/>
                    </w:rPr>
                    <w:t>本项目危废</w:t>
                  </w:r>
                  <w:r>
                    <w:rPr>
                      <w:rFonts w:hint="eastAsia"/>
                      <w:lang w:val="en-US" w:eastAsia="zh-CN"/>
                    </w:rPr>
                    <w:t>暂存区</w:t>
                  </w:r>
                  <w:r>
                    <w:rPr>
                      <w:rFonts w:hint="eastAsia" w:cs="Times New Roman"/>
                    </w:rPr>
                    <w:t>按</w:t>
                  </w:r>
                  <w:r>
                    <w:rPr>
                      <w:rFonts w:cs="Times New Roman"/>
                    </w:rPr>
                    <w:t>相关要求</w:t>
                  </w:r>
                  <w:r>
                    <w:rPr>
                      <w:rFonts w:hint="eastAsia" w:cs="Times New Roman"/>
                    </w:rPr>
                    <w:t>建设</w:t>
                  </w:r>
                  <w:r>
                    <w:rPr>
                      <w:rFonts w:cs="Times New Roman"/>
                    </w:rPr>
                    <w:t xml:space="preserve">，不与相容的危险废物接触、混合。贮存设施地面、墙面裙脚、堵截泄漏的围堰、接触危险废物的隔板和墙体等采用坚固的材料建造，表面无裂缝。 贮存设施地面与裙脚采取表面防渗措施；表面防渗材料与所接触的物料或污染物相容。贮存的危险废物进行基础防渗， 防渗层为至少1 m 厚黏土层 （渗透系数不大于10 </w:t>
                  </w:r>
                  <w:r>
                    <w:rPr>
                      <w:rFonts w:cs="Times New Roman"/>
                      <w:vertAlign w:val="superscript"/>
                    </w:rPr>
                    <w:t>-7</w:t>
                  </w:r>
                  <w:r>
                    <w:rPr>
                      <w:rFonts w:cs="Times New Roman"/>
                    </w:rPr>
                    <w:t xml:space="preserve"> cm/s）， 或至少2 mm 厚高密度聚乙烯膜等人工防渗材料（渗透系数不大于10 </w:t>
                  </w:r>
                  <w:r>
                    <w:rPr>
                      <w:rFonts w:cs="Times New Roman"/>
                      <w:vertAlign w:val="superscript"/>
                    </w:rPr>
                    <w:t>-10</w:t>
                  </w:r>
                  <w:r>
                    <w:rPr>
                      <w:rFonts w:cs="Times New Roman"/>
                    </w:rPr>
                    <w:t xml:space="preserve"> cm/s），或其他防渗性能等效的材料。</w:t>
                  </w:r>
                  <w:r>
                    <w:rPr>
                      <w:rFonts w:hint="eastAsia" w:cs="Times New Roman"/>
                    </w:rPr>
                    <w:t>符合要求。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82" w:type="dxa"/>
                  <w:tcBorders>
                    <w:top w:val="single" w:color="auto" w:sz="4" w:space="0"/>
                    <w:left w:val="nil"/>
                    <w:bottom w:val="single" w:color="auto" w:sz="4" w:space="0"/>
                    <w:right w:val="single" w:color="auto" w:sz="4" w:space="0"/>
                  </w:tcBorders>
                  <w:noWrap w:val="0"/>
                  <w:vAlign w:val="center"/>
                </w:tcPr>
                <w:p>
                  <w:pPr>
                    <w:topLinePunct/>
                    <w:adjustRightInd w:val="0"/>
                    <w:snapToGrid w:val="0"/>
                    <w:jc w:val="center"/>
                  </w:pPr>
                  <w:r>
                    <w:rPr>
                      <w:rFonts w:hint="eastAsia"/>
                    </w:rPr>
                    <w:t xml:space="preserve">选址要求 </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both"/>
                    <w:rPr>
                      <w:rFonts w:hint="eastAsia"/>
                    </w:rPr>
                  </w:pPr>
                  <w:r>
                    <w:rPr>
                      <w:rFonts w:hint="eastAsia"/>
                    </w:rPr>
                    <w:t>5.1 贮存设施选址应满足生态环境保护法律法规、规划和“三线一单”生态环境分区管控的要求，建设项目应依法进行环境影响评价。</w:t>
                  </w:r>
                </w:p>
                <w:p>
                  <w:pPr>
                    <w:topLinePunct/>
                    <w:adjustRightInd w:val="0"/>
                    <w:snapToGrid w:val="0"/>
                    <w:jc w:val="both"/>
                    <w:rPr>
                      <w:rFonts w:hint="eastAsia"/>
                    </w:rPr>
                  </w:pPr>
                  <w:r>
                    <w:rPr>
                      <w:rFonts w:hint="eastAsia"/>
                    </w:rPr>
                    <w:t xml:space="preserve"> 5.2 集中贮存设施不应选在生态保护红线区域、永久基本农田和其他需要特别保护的区域内，不应建在溶洞区或易遭受洪水、滑坡、泥石流、潮汐等严重自然灾害影响的地区。 </w:t>
                  </w:r>
                </w:p>
                <w:p>
                  <w:pPr>
                    <w:topLinePunct/>
                    <w:adjustRightInd w:val="0"/>
                    <w:snapToGrid w:val="0"/>
                    <w:jc w:val="both"/>
                    <w:rPr>
                      <w:rFonts w:hint="eastAsia"/>
                    </w:rPr>
                  </w:pPr>
                  <w:r>
                    <w:rPr>
                      <w:rFonts w:hint="eastAsia"/>
                    </w:rPr>
                    <w:t xml:space="preserve">5.3 贮存设施不应选在江河、湖泊、运河、渠道、水库及其最高水位线以下的滩地和岸坡，以及法律法规规定禁止贮存危险废物的其他地点。 </w:t>
                  </w:r>
                </w:p>
                <w:p>
                  <w:pPr>
                    <w:topLinePunct/>
                    <w:adjustRightInd w:val="0"/>
                    <w:snapToGrid w:val="0"/>
                    <w:jc w:val="both"/>
                    <w:rPr>
                      <w:rFonts w:hint="eastAsia"/>
                    </w:rPr>
                  </w:pPr>
                  <w:r>
                    <w:rPr>
                      <w:rFonts w:hint="eastAsia"/>
                    </w:rPr>
                    <w:t>5.4 贮存设施场址的位置以及其与周围环境敏感目标的距离应依据环境影响评价文件确定。</w:t>
                  </w:r>
                </w:p>
              </w:tc>
              <w:tc>
                <w:tcPr>
                  <w:tcW w:w="2537"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pPr>
                  <w:r>
                    <w:rPr>
                      <w:rFonts w:hint="eastAsia"/>
                    </w:rPr>
                    <w:t>危废</w:t>
                  </w:r>
                  <w:r>
                    <w:rPr>
                      <w:rFonts w:hint="eastAsia"/>
                      <w:lang w:val="en-US" w:eastAsia="zh-CN"/>
                    </w:rPr>
                    <w:t>暂存区</w:t>
                  </w:r>
                  <w:r>
                    <w:rPr>
                      <w:rFonts w:hint="eastAsia"/>
                    </w:rPr>
                    <w:t xml:space="preserve">的位置以及其与周围环境敏感目标的距离满足相关要求。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2" w:type="dxa"/>
                  <w:tcBorders>
                    <w:top w:val="single" w:color="auto" w:sz="4" w:space="0"/>
                    <w:left w:val="nil"/>
                    <w:bottom w:val="single" w:color="auto" w:sz="4" w:space="0"/>
                    <w:right w:val="single" w:color="auto" w:sz="4" w:space="0"/>
                  </w:tcBorders>
                  <w:noWrap w:val="0"/>
                  <w:vAlign w:val="center"/>
                </w:tcPr>
                <w:p>
                  <w:pPr>
                    <w:topLinePunct/>
                    <w:adjustRightInd w:val="0"/>
                    <w:snapToGrid w:val="0"/>
                    <w:jc w:val="center"/>
                  </w:pPr>
                  <w:r>
                    <w:rPr>
                      <w:rFonts w:hint="eastAsia"/>
                    </w:rPr>
                    <w:t xml:space="preserve"> 容器和包装物污染控制要求</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left"/>
                  </w:pPr>
                  <w:r>
                    <w:t xml:space="preserve">7.1 容器和包装物材质、内衬应与盛装的危险废物相容。 </w:t>
                  </w:r>
                </w:p>
                <w:p>
                  <w:pPr>
                    <w:topLinePunct/>
                    <w:adjustRightInd w:val="0"/>
                    <w:snapToGrid w:val="0"/>
                    <w:jc w:val="left"/>
                  </w:pPr>
                  <w:r>
                    <w:t xml:space="preserve">7.2 针对不同类别、形态、物理化学性质的危险废物，其容器和包装物应满足相应的防渗、防漏、防腐和强度等要求。 </w:t>
                  </w:r>
                </w:p>
                <w:p>
                  <w:pPr>
                    <w:topLinePunct/>
                    <w:adjustRightInd w:val="0"/>
                    <w:snapToGrid w:val="0"/>
                    <w:jc w:val="left"/>
                  </w:pPr>
                  <w:r>
                    <w:t xml:space="preserve">7.3 硬质容器和包装物及其支护结构堆叠码放时不应有明显变形，无破损泄漏。 </w:t>
                  </w:r>
                </w:p>
                <w:p>
                  <w:pPr>
                    <w:topLinePunct/>
                    <w:adjustRightInd w:val="0"/>
                    <w:snapToGrid w:val="0"/>
                    <w:jc w:val="left"/>
                  </w:pPr>
                  <w:r>
                    <w:t xml:space="preserve">7.4 柔性容器和包装物堆叠码放时应封口严密，无破损泄漏。 </w:t>
                  </w:r>
                </w:p>
                <w:p>
                  <w:pPr>
                    <w:topLinePunct/>
                    <w:adjustRightInd w:val="0"/>
                    <w:snapToGrid w:val="0"/>
                    <w:jc w:val="left"/>
                  </w:pPr>
                  <w:r>
                    <w:t xml:space="preserve">7.5 使用容器盛装液态、半固态危险废物时，容器内部应留有适当的空间，以适应因温度变化等可能引发的收缩和膨胀，防止其导致容器渗漏或永久变形。 </w:t>
                  </w:r>
                </w:p>
                <w:p>
                  <w:pPr>
                    <w:topLinePunct/>
                    <w:adjustRightInd w:val="0"/>
                    <w:snapToGrid w:val="0"/>
                    <w:jc w:val="left"/>
                  </w:pPr>
                  <w:r>
                    <w:t>7.6 容器和包装物外表面应保持清洁。</w:t>
                  </w:r>
                </w:p>
              </w:tc>
              <w:tc>
                <w:tcPr>
                  <w:tcW w:w="2537"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pPr>
                  <w:r>
                    <w:rPr>
                      <w:rFonts w:hint="eastAsia"/>
                    </w:rPr>
                    <w:t xml:space="preserve"> 危废</w:t>
                  </w:r>
                  <w:r>
                    <w:rPr>
                      <w:rFonts w:hint="eastAsia"/>
                      <w:lang w:val="en-US" w:eastAsia="zh-CN"/>
                    </w:rPr>
                    <w:t>暂存区</w:t>
                  </w:r>
                  <w:r>
                    <w:rPr>
                      <w:rFonts w:hint="eastAsia"/>
                    </w:rPr>
                    <w:t xml:space="preserve">已根据各类危险废物的特性选择包装容器，固态危废密封袋装贮存，液态危废密闭桶装储存，并设置防泄漏托盘，定期检查，确保包装完好无损，满足相关要求。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2" w:type="dxa"/>
                  <w:tcBorders>
                    <w:top w:val="single" w:color="auto" w:sz="4" w:space="0"/>
                    <w:left w:val="nil"/>
                    <w:bottom w:val="single" w:color="auto" w:sz="4" w:space="0"/>
                    <w:right w:val="single" w:color="auto" w:sz="4" w:space="0"/>
                  </w:tcBorders>
                  <w:noWrap w:val="0"/>
                  <w:vAlign w:val="center"/>
                </w:tcPr>
                <w:p>
                  <w:pPr>
                    <w:topLinePunct/>
                    <w:adjustRightInd w:val="0"/>
                    <w:snapToGrid w:val="0"/>
                    <w:jc w:val="center"/>
                  </w:pPr>
                  <w:r>
                    <w:rPr>
                      <w:rFonts w:hint="eastAsia"/>
                    </w:rPr>
                    <w:t xml:space="preserve"> 贮存过程污染控制要求</w:t>
                  </w:r>
                </w:p>
              </w:tc>
              <w:tc>
                <w:tcPr>
                  <w:tcW w:w="5069" w:type="dxa"/>
                  <w:tcBorders>
                    <w:top w:val="single" w:color="auto" w:sz="4" w:space="0"/>
                    <w:left w:val="single" w:color="auto" w:sz="4" w:space="0"/>
                    <w:bottom w:val="single" w:color="auto" w:sz="4" w:space="0"/>
                    <w:right w:val="single" w:color="auto" w:sz="4" w:space="0"/>
                  </w:tcBorders>
                  <w:noWrap w:val="0"/>
                  <w:vAlign w:val="center"/>
                </w:tcPr>
                <w:p>
                  <w:pPr>
                    <w:topLinePunct/>
                    <w:adjustRightInd w:val="0"/>
                    <w:snapToGrid w:val="0"/>
                    <w:jc w:val="left"/>
                  </w:pPr>
                  <w:r>
                    <w:t>8.1.1 在常温常压下不易水解、不易挥发的固态危险废物可分类 堆放贮存，其他固态危险废物应装入容器或包装物内贮存。</w:t>
                  </w:r>
                </w:p>
                <w:p>
                  <w:pPr>
                    <w:topLinePunct/>
                    <w:adjustRightInd w:val="0"/>
                    <w:snapToGrid w:val="0"/>
                    <w:jc w:val="left"/>
                  </w:pPr>
                  <w:r>
                    <w:t xml:space="preserve"> 8.1.2 液态危险废物应装入容器内贮存，或直接采用贮存池、贮存罐区贮存。</w:t>
                  </w:r>
                </w:p>
                <w:p>
                  <w:pPr>
                    <w:topLinePunct/>
                    <w:adjustRightInd w:val="0"/>
                    <w:snapToGrid w:val="0"/>
                    <w:jc w:val="left"/>
                  </w:pPr>
                  <w:r>
                    <w:t xml:space="preserve"> 8.1.3 半固态危险废物应装入容器或包装袋内贮存，或直接采用贮存池贮存。</w:t>
                  </w:r>
                </w:p>
                <w:p>
                  <w:pPr>
                    <w:topLinePunct/>
                    <w:adjustRightInd w:val="0"/>
                    <w:snapToGrid w:val="0"/>
                    <w:jc w:val="left"/>
                  </w:pPr>
                  <w:r>
                    <w:t xml:space="preserve"> 8.1.4 具有热塑性的危险废物应装入容器或包装袋内进行贮存。 </w:t>
                  </w:r>
                </w:p>
                <w:p>
                  <w:pPr>
                    <w:topLinePunct/>
                    <w:adjustRightInd w:val="0"/>
                    <w:snapToGrid w:val="0"/>
                    <w:jc w:val="left"/>
                  </w:pPr>
                  <w:r>
                    <w:t>8.1.5 易产生粉尘、VOCs、酸雾、有毒有害大气污染物和刺激性气味气体的危险废物应装入闭口容器或包装物内贮存。</w:t>
                  </w:r>
                </w:p>
                <w:p>
                  <w:pPr>
                    <w:topLinePunct/>
                    <w:adjustRightInd w:val="0"/>
                    <w:snapToGrid w:val="0"/>
                    <w:jc w:val="left"/>
                  </w:pPr>
                  <w:r>
                    <w:t xml:space="preserve"> 8.1.6 危险废物贮存过程中易产生粉尘等无组织排放的，应采取抑尘等有效措施。 </w:t>
                  </w:r>
                </w:p>
                <w:p>
                  <w:pPr>
                    <w:topLinePunct/>
                    <w:adjustRightInd w:val="0"/>
                    <w:snapToGrid w:val="0"/>
                    <w:jc w:val="left"/>
                  </w:pPr>
                  <w:r>
                    <w:t>8.2.1 危险废物存入贮存设施前应对危险废物类别和特性与危险废物标签等危险废物识别标志的一致性进行核验，不一致的或类 别、特性不明的不应存入。</w:t>
                  </w:r>
                </w:p>
                <w:p>
                  <w:pPr>
                    <w:topLinePunct/>
                    <w:adjustRightInd w:val="0"/>
                    <w:snapToGrid w:val="0"/>
                    <w:jc w:val="left"/>
                  </w:pPr>
                  <w:r>
                    <w:t xml:space="preserve"> 8.2.2 应定期检查危险废物的贮存状况，及时清理贮存设施地面，更换破损泄漏的危险废物贮存容器和包装物，保证堆存危险废物的防雨、防风、防扬尘等设施功能完好。</w:t>
                  </w:r>
                </w:p>
                <w:p>
                  <w:pPr>
                    <w:topLinePunct/>
                    <w:adjustRightInd w:val="0"/>
                    <w:snapToGrid w:val="0"/>
                    <w:jc w:val="left"/>
                  </w:pPr>
                  <w:r>
                    <w:t xml:space="preserve"> 8.2.3作业设备及车辆等结束作业离开贮存设施时，应对其残留的危险废物进行清理，清理的废物或清洗废水应收集处理。</w:t>
                  </w:r>
                </w:p>
              </w:tc>
              <w:tc>
                <w:tcPr>
                  <w:tcW w:w="2537" w:type="dxa"/>
                  <w:tcBorders>
                    <w:top w:val="single" w:color="auto" w:sz="4" w:space="0"/>
                    <w:left w:val="single" w:color="auto" w:sz="4" w:space="0"/>
                    <w:bottom w:val="single" w:color="auto" w:sz="4" w:space="0"/>
                    <w:right w:val="nil"/>
                  </w:tcBorders>
                  <w:noWrap w:val="0"/>
                  <w:vAlign w:val="center"/>
                </w:tcPr>
                <w:p>
                  <w:pPr>
                    <w:topLinePunct/>
                    <w:adjustRightInd w:val="0"/>
                    <w:snapToGrid w:val="0"/>
                    <w:jc w:val="center"/>
                  </w:pPr>
                  <w:r>
                    <w:rPr>
                      <w:rFonts w:hint="eastAsia"/>
                    </w:rPr>
                    <w:t>危废</w:t>
                  </w:r>
                  <w:r>
                    <w:rPr>
                      <w:rFonts w:hint="eastAsia"/>
                      <w:lang w:val="en-US" w:eastAsia="zh-CN"/>
                    </w:rPr>
                    <w:t>暂存区</w:t>
                  </w:r>
                  <w:r>
                    <w:rPr>
                      <w:rFonts w:hint="eastAsia"/>
                    </w:rPr>
                    <w:t xml:space="preserve">中固态危废密封袋装贮存，液态危废密闭桶装储存。贮存设施运行期间，应按国家有关标准和规定建立危险废物管理台账并保存。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82" w:type="dxa"/>
                  <w:tcBorders>
                    <w:top w:val="single" w:color="auto" w:sz="4" w:space="0"/>
                    <w:left w:val="nil"/>
                    <w:bottom w:val="single" w:color="auto" w:sz="12" w:space="0"/>
                    <w:right w:val="single" w:color="auto" w:sz="4" w:space="0"/>
                  </w:tcBorders>
                  <w:noWrap w:val="0"/>
                  <w:vAlign w:val="center"/>
                </w:tcPr>
                <w:p>
                  <w:pPr>
                    <w:topLinePunct/>
                    <w:adjustRightInd w:val="0"/>
                    <w:snapToGrid w:val="0"/>
                    <w:jc w:val="center"/>
                  </w:pPr>
                  <w:r>
                    <w:rPr>
                      <w:rFonts w:hint="eastAsia"/>
                    </w:rPr>
                    <w:t xml:space="preserve">贮存点环境管理要求 </w:t>
                  </w:r>
                </w:p>
              </w:tc>
              <w:tc>
                <w:tcPr>
                  <w:tcW w:w="5069" w:type="dxa"/>
                  <w:tcBorders>
                    <w:top w:val="single" w:color="auto" w:sz="4" w:space="0"/>
                    <w:left w:val="single" w:color="auto" w:sz="4" w:space="0"/>
                    <w:bottom w:val="single" w:color="auto" w:sz="12" w:space="0"/>
                    <w:right w:val="single" w:color="auto" w:sz="4" w:space="0"/>
                  </w:tcBorders>
                  <w:noWrap w:val="0"/>
                  <w:vAlign w:val="center"/>
                </w:tcPr>
                <w:p>
                  <w:pPr>
                    <w:topLinePunct/>
                    <w:adjustRightInd w:val="0"/>
                    <w:snapToGrid w:val="0"/>
                    <w:jc w:val="left"/>
                  </w:pPr>
                  <w:r>
                    <w:t>8.3.1 贮存点应具有固定的区域边界，并应采取与其他区域进行隔离的措施。</w:t>
                  </w:r>
                </w:p>
                <w:p>
                  <w:pPr>
                    <w:topLinePunct/>
                    <w:adjustRightInd w:val="0"/>
                    <w:snapToGrid w:val="0"/>
                    <w:jc w:val="left"/>
                  </w:pPr>
                  <w:r>
                    <w:t xml:space="preserve">8.3.2 贮存点应采取防风、防雨、防晒和防止危险废物流失、扬 散等措施。 </w:t>
                  </w:r>
                </w:p>
                <w:p>
                  <w:pPr>
                    <w:topLinePunct/>
                    <w:adjustRightInd w:val="0"/>
                    <w:snapToGrid w:val="0"/>
                    <w:jc w:val="left"/>
                  </w:pPr>
                  <w:r>
                    <w:t xml:space="preserve">8.3.3 贮存点贮存的危险废物应置于容器或包装物中，不应直接散堆。 </w:t>
                  </w:r>
                </w:p>
                <w:p>
                  <w:pPr>
                    <w:topLinePunct/>
                    <w:adjustRightInd w:val="0"/>
                    <w:snapToGrid w:val="0"/>
                    <w:jc w:val="left"/>
                  </w:pPr>
                  <w:r>
                    <w:t xml:space="preserve">8.3.4 贮存点应根据危险废物的形态、物理化学性质、包装形式等，采取防渗、防漏等污染防治措施或采用具有相应功能的装置。 </w:t>
                  </w:r>
                </w:p>
                <w:p>
                  <w:pPr>
                    <w:topLinePunct/>
                    <w:adjustRightInd w:val="0"/>
                    <w:snapToGrid w:val="0"/>
                    <w:jc w:val="left"/>
                  </w:pPr>
                  <w:r>
                    <w:t>8.3.5 贮存点应及时清运贮存的危险废物，实时贮存量不应超过3吨。</w:t>
                  </w:r>
                </w:p>
              </w:tc>
              <w:tc>
                <w:tcPr>
                  <w:tcW w:w="2537" w:type="dxa"/>
                  <w:tcBorders>
                    <w:top w:val="single" w:color="auto" w:sz="4" w:space="0"/>
                    <w:left w:val="single" w:color="auto" w:sz="4" w:space="0"/>
                    <w:bottom w:val="single" w:color="auto" w:sz="12" w:space="0"/>
                    <w:right w:val="nil"/>
                  </w:tcBorders>
                  <w:noWrap w:val="0"/>
                  <w:vAlign w:val="center"/>
                </w:tcPr>
                <w:p>
                  <w:pPr>
                    <w:topLinePunct/>
                    <w:adjustRightInd w:val="0"/>
                    <w:snapToGrid w:val="0"/>
                    <w:jc w:val="center"/>
                  </w:pPr>
                  <w:r>
                    <w:rPr>
                      <w:rFonts w:hint="eastAsia" w:cs="Times New Roman"/>
                    </w:rPr>
                    <w:t>本项目危废</w:t>
                  </w:r>
                  <w:r>
                    <w:rPr>
                      <w:rFonts w:hint="eastAsia"/>
                      <w:lang w:val="en-US" w:eastAsia="zh-CN"/>
                    </w:rPr>
                    <w:t>暂存区</w:t>
                  </w:r>
                  <w:r>
                    <w:rPr>
                      <w:rFonts w:hint="eastAsia" w:cs="Times New Roman"/>
                    </w:rPr>
                    <w:t>已按</w:t>
                  </w:r>
                  <w:r>
                    <w:rPr>
                      <w:rFonts w:cs="Times New Roman"/>
                    </w:rPr>
                    <w:t>相关要求</w:t>
                  </w:r>
                  <w:r>
                    <w:rPr>
                      <w:rFonts w:hint="eastAsia" w:cs="Times New Roman"/>
                    </w:rPr>
                    <w:t>建设，符合</w:t>
                  </w:r>
                  <w:r>
                    <w:rPr>
                      <w:rFonts w:hint="eastAsia"/>
                    </w:rPr>
                    <w:t xml:space="preserve">要求。 </w:t>
                  </w:r>
                </w:p>
              </w:tc>
            </w:tr>
          </w:tbl>
          <w:p>
            <w:pPr>
              <w:pStyle w:val="67"/>
              <w:adjustRightInd w:val="0"/>
              <w:snapToGrid w:val="0"/>
              <w:spacing w:line="360" w:lineRule="auto"/>
              <w:ind w:firstLine="420" w:firstLineChars="200"/>
              <w:jc w:val="left"/>
              <w:rPr>
                <w:rFonts w:hint="eastAsia"/>
                <w:szCs w:val="21"/>
              </w:rPr>
            </w:pPr>
            <w:r>
              <w:rPr>
                <w:rFonts w:hint="eastAsia"/>
                <w:szCs w:val="21"/>
              </w:rPr>
              <w:t xml:space="preserve"> </w:t>
            </w:r>
          </w:p>
          <w:p>
            <w:pPr>
              <w:pStyle w:val="67"/>
              <w:adjustRightInd w:val="0"/>
              <w:snapToGrid w:val="0"/>
              <w:spacing w:line="360" w:lineRule="auto"/>
              <w:ind w:firstLine="480" w:firstLineChars="200"/>
              <w:jc w:val="left"/>
              <w:rPr>
                <w:rFonts w:hint="eastAsia"/>
                <w:sz w:val="24"/>
                <w:szCs w:val="24"/>
                <w:lang w:val="en-US" w:eastAsia="zh-CN"/>
              </w:rPr>
            </w:pPr>
            <w:r>
              <w:rPr>
                <w:rFonts w:cs="Times New Roman"/>
                <w:b w:val="0"/>
                <w:bCs/>
                <w:sz w:val="24"/>
                <w:szCs w:val="24"/>
              </w:rPr>
              <w:t>本项目危险废物贮存满足《危险废物贮存污染控制标准》（GB18597-2023）、省生态环境厅关于印发《江苏省固体废物全过程环境监管工作意见》的通知（苏环办〔2024〕16 号）的相关要求。</w:t>
            </w:r>
          </w:p>
          <w:p>
            <w:pPr>
              <w:adjustRightInd w:val="0"/>
              <w:snapToGrid w:val="0"/>
              <w:spacing w:line="360" w:lineRule="auto"/>
              <w:ind w:firstLine="482"/>
              <w:rPr>
                <w:rFonts w:hint="eastAsia"/>
                <w:sz w:val="24"/>
                <w:szCs w:val="32"/>
              </w:rPr>
            </w:pPr>
            <w:r>
              <w:rPr>
                <w:rFonts w:hint="eastAsia"/>
                <w:sz w:val="24"/>
                <w:szCs w:val="32"/>
                <w:lang w:eastAsia="zh-CN"/>
              </w:rPr>
              <w:t>（</w:t>
            </w:r>
            <w:r>
              <w:rPr>
                <w:rFonts w:hint="eastAsia"/>
                <w:sz w:val="24"/>
                <w:szCs w:val="32"/>
                <w:lang w:val="en-US" w:eastAsia="zh-CN"/>
              </w:rPr>
              <w:t>7</w:t>
            </w:r>
            <w:r>
              <w:rPr>
                <w:rFonts w:hint="eastAsia"/>
                <w:sz w:val="24"/>
                <w:szCs w:val="32"/>
                <w:lang w:eastAsia="zh-CN"/>
              </w:rPr>
              <w:t>）</w:t>
            </w:r>
            <w:r>
              <w:rPr>
                <w:rFonts w:hint="eastAsia"/>
                <w:sz w:val="24"/>
                <w:szCs w:val="32"/>
              </w:rPr>
              <w:t>固废标志牌</w:t>
            </w:r>
          </w:p>
          <w:p>
            <w:pPr>
              <w:adjustRightInd w:val="0"/>
              <w:snapToGrid w:val="0"/>
              <w:spacing w:line="360" w:lineRule="auto"/>
              <w:ind w:firstLine="482"/>
              <w:rPr>
                <w:sz w:val="24"/>
                <w:szCs w:val="32"/>
              </w:rPr>
            </w:pPr>
            <w:r>
              <w:rPr>
                <w:sz w:val="24"/>
                <w:szCs w:val="32"/>
              </w:rPr>
              <w:t>根据原国家环保总局和江苏省环保厅对排污口规范化整治的要求，建设单位按照《环境保护图形标志—固体废物贮存（处置）场》（GB15562.2-1995）</w:t>
            </w:r>
            <w:r>
              <w:rPr>
                <w:rFonts w:hint="eastAsia"/>
                <w:sz w:val="24"/>
                <w:szCs w:val="32"/>
              </w:rPr>
              <w:t>及《危险废物识别标志设置技术规范》（HJ 1276-2022）</w:t>
            </w:r>
            <w:r>
              <w:rPr>
                <w:sz w:val="24"/>
                <w:szCs w:val="32"/>
              </w:rPr>
              <w:t>设置固体废物堆放场的环境保护图形标志。</w:t>
            </w:r>
          </w:p>
          <w:p>
            <w:pPr>
              <w:spacing w:line="360" w:lineRule="auto"/>
              <w:ind w:firstLine="482" w:firstLineChars="200"/>
              <w:jc w:val="center"/>
              <w:rPr>
                <w:sz w:val="24"/>
                <w:szCs w:val="32"/>
              </w:rPr>
            </w:pPr>
            <w:r>
              <w:rPr>
                <w:rFonts w:hint="eastAsia" w:ascii="Times New Roman" w:hAnsi="Times New Roman" w:eastAsia="宋体" w:cs="Times New Roman"/>
                <w:b/>
                <w:bCs/>
                <w:sz w:val="24"/>
                <w:szCs w:val="32"/>
              </w:rPr>
              <w:t>表4-</w:t>
            </w:r>
            <w:r>
              <w:rPr>
                <w:rFonts w:hint="eastAsia" w:cs="Times New Roman"/>
                <w:b/>
                <w:bCs/>
                <w:sz w:val="24"/>
                <w:szCs w:val="32"/>
                <w:lang w:val="en-US" w:eastAsia="zh-CN"/>
              </w:rPr>
              <w:t>22</w:t>
            </w:r>
            <w:r>
              <w:rPr>
                <w:rFonts w:hint="eastAsia" w:ascii="Times New Roman" w:hAnsi="Times New Roman" w:eastAsia="宋体" w:cs="Times New Roman"/>
                <w:b/>
                <w:bCs/>
                <w:sz w:val="24"/>
                <w:szCs w:val="32"/>
              </w:rPr>
              <w:t>固废堆场的环境保护图形标志一览表</w:t>
            </w:r>
          </w:p>
          <w:tbl>
            <w:tblPr>
              <w:tblStyle w:val="30"/>
              <w:tblW w:w="838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227"/>
              <w:gridCol w:w="1368"/>
              <w:gridCol w:w="866"/>
              <w:gridCol w:w="958"/>
              <w:gridCol w:w="28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142" w:type="dxa"/>
                  <w:tcBorders>
                    <w:top w:val="single" w:color="auto" w:sz="12" w:space="0"/>
                    <w:left w:val="nil"/>
                    <w:bottom w:val="single" w:color="auto" w:sz="4" w:space="0"/>
                    <w:right w:val="single" w:color="auto" w:sz="4" w:space="0"/>
                  </w:tcBorders>
                  <w:noWrap w:val="0"/>
                  <w:vAlign w:val="center"/>
                </w:tcPr>
                <w:p>
                  <w:pPr>
                    <w:jc w:val="center"/>
                    <w:rPr>
                      <w:b/>
                      <w:bCs/>
                    </w:rPr>
                  </w:pPr>
                  <w:r>
                    <w:rPr>
                      <w:b/>
                      <w:bCs/>
                    </w:rPr>
                    <w:t>排放口名称</w:t>
                  </w:r>
                </w:p>
              </w:tc>
              <w:tc>
                <w:tcPr>
                  <w:tcW w:w="1227" w:type="dxa"/>
                  <w:tcBorders>
                    <w:top w:val="single" w:color="auto" w:sz="12" w:space="0"/>
                    <w:left w:val="single" w:color="auto" w:sz="4" w:space="0"/>
                    <w:bottom w:val="single" w:color="auto" w:sz="4" w:space="0"/>
                    <w:right w:val="single" w:color="auto" w:sz="4" w:space="0"/>
                  </w:tcBorders>
                  <w:noWrap w:val="0"/>
                  <w:vAlign w:val="center"/>
                </w:tcPr>
                <w:p>
                  <w:pPr>
                    <w:jc w:val="center"/>
                    <w:rPr>
                      <w:b/>
                      <w:bCs/>
                    </w:rPr>
                  </w:pPr>
                  <w:r>
                    <w:rPr>
                      <w:b/>
                      <w:bCs/>
                    </w:rPr>
                    <w:t>图形标志</w:t>
                  </w:r>
                </w:p>
              </w:tc>
              <w:tc>
                <w:tcPr>
                  <w:tcW w:w="1368" w:type="dxa"/>
                  <w:tcBorders>
                    <w:top w:val="single" w:color="auto" w:sz="12" w:space="0"/>
                    <w:left w:val="single" w:color="auto" w:sz="4" w:space="0"/>
                    <w:bottom w:val="single" w:color="auto" w:sz="4" w:space="0"/>
                    <w:right w:val="single" w:color="auto" w:sz="4" w:space="0"/>
                  </w:tcBorders>
                  <w:noWrap w:val="0"/>
                  <w:vAlign w:val="center"/>
                </w:tcPr>
                <w:p>
                  <w:pPr>
                    <w:jc w:val="center"/>
                    <w:rPr>
                      <w:b/>
                      <w:bCs/>
                    </w:rPr>
                  </w:pPr>
                  <w:r>
                    <w:rPr>
                      <w:b/>
                      <w:bCs/>
                    </w:rPr>
                    <w:t>形状</w:t>
                  </w:r>
                </w:p>
              </w:tc>
              <w:tc>
                <w:tcPr>
                  <w:tcW w:w="866" w:type="dxa"/>
                  <w:tcBorders>
                    <w:top w:val="single" w:color="auto" w:sz="12" w:space="0"/>
                    <w:left w:val="single" w:color="auto" w:sz="4" w:space="0"/>
                    <w:bottom w:val="single" w:color="auto" w:sz="4" w:space="0"/>
                    <w:right w:val="single" w:color="auto" w:sz="4" w:space="0"/>
                  </w:tcBorders>
                  <w:noWrap w:val="0"/>
                  <w:vAlign w:val="center"/>
                </w:tcPr>
                <w:p>
                  <w:pPr>
                    <w:jc w:val="center"/>
                    <w:rPr>
                      <w:b/>
                      <w:bCs/>
                    </w:rPr>
                  </w:pPr>
                  <w:r>
                    <w:rPr>
                      <w:b/>
                      <w:bCs/>
                    </w:rPr>
                    <w:t>背景颜色</w:t>
                  </w:r>
                </w:p>
              </w:tc>
              <w:tc>
                <w:tcPr>
                  <w:tcW w:w="958" w:type="dxa"/>
                  <w:tcBorders>
                    <w:top w:val="single" w:color="auto" w:sz="12" w:space="0"/>
                    <w:left w:val="single" w:color="auto" w:sz="4" w:space="0"/>
                    <w:bottom w:val="single" w:color="auto" w:sz="4" w:space="0"/>
                    <w:right w:val="single" w:color="auto" w:sz="4" w:space="0"/>
                  </w:tcBorders>
                  <w:noWrap w:val="0"/>
                  <w:vAlign w:val="center"/>
                </w:tcPr>
                <w:p>
                  <w:pPr>
                    <w:jc w:val="center"/>
                    <w:rPr>
                      <w:b/>
                      <w:bCs/>
                    </w:rPr>
                  </w:pPr>
                  <w:r>
                    <w:rPr>
                      <w:b/>
                      <w:bCs/>
                    </w:rPr>
                    <w:t>图形颜色</w:t>
                  </w:r>
                </w:p>
              </w:tc>
              <w:tc>
                <w:tcPr>
                  <w:tcW w:w="2827" w:type="dxa"/>
                  <w:tcBorders>
                    <w:top w:val="single" w:color="auto" w:sz="12" w:space="0"/>
                    <w:left w:val="single" w:color="auto" w:sz="4" w:space="0"/>
                    <w:bottom w:val="single" w:color="auto" w:sz="4" w:space="0"/>
                    <w:right w:val="nil"/>
                  </w:tcBorders>
                  <w:noWrap w:val="0"/>
                  <w:vAlign w:val="center"/>
                </w:tcPr>
                <w:p>
                  <w:pPr>
                    <w:jc w:val="center"/>
                    <w:rPr>
                      <w:b/>
                      <w:bCs/>
                    </w:rPr>
                  </w:pPr>
                  <w:r>
                    <w:rPr>
                      <w:b/>
                      <w:bCs/>
                    </w:rPr>
                    <w:t>图形标志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74" w:hRule="atLeast"/>
                <w:jc w:val="center"/>
              </w:trPr>
              <w:tc>
                <w:tcPr>
                  <w:tcW w:w="1142" w:type="dxa"/>
                  <w:tcBorders>
                    <w:top w:val="single" w:color="auto" w:sz="4" w:space="0"/>
                    <w:left w:val="nil"/>
                    <w:bottom w:val="single" w:color="auto" w:sz="4" w:space="0"/>
                    <w:right w:val="single" w:color="auto" w:sz="4" w:space="0"/>
                  </w:tcBorders>
                  <w:noWrap w:val="0"/>
                  <w:vAlign w:val="center"/>
                </w:tcPr>
                <w:p>
                  <w:pPr>
                    <w:jc w:val="center"/>
                  </w:pPr>
                  <w:r>
                    <w:t>一般固废暂存场所</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jc w:val="center"/>
                  </w:pPr>
                  <w:r>
                    <w:t>提示标志</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pPr>
                  <w:r>
                    <w:t>70×50cm</w:t>
                  </w:r>
                </w:p>
              </w:tc>
              <w:tc>
                <w:tcPr>
                  <w:tcW w:w="866" w:type="dxa"/>
                  <w:tcBorders>
                    <w:top w:val="single" w:color="auto" w:sz="4" w:space="0"/>
                    <w:left w:val="single" w:color="auto" w:sz="4" w:space="0"/>
                    <w:bottom w:val="single" w:color="auto" w:sz="4" w:space="0"/>
                    <w:right w:val="single" w:color="auto" w:sz="4" w:space="0"/>
                  </w:tcBorders>
                  <w:noWrap w:val="0"/>
                  <w:vAlign w:val="center"/>
                </w:tcPr>
                <w:p>
                  <w:pPr>
                    <w:jc w:val="center"/>
                  </w:pPr>
                  <w:r>
                    <w:t>绿色</w:t>
                  </w: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pPr>
                  <w:r>
                    <w:t>白色</w:t>
                  </w:r>
                </w:p>
              </w:tc>
              <w:tc>
                <w:tcPr>
                  <w:tcW w:w="2827" w:type="dxa"/>
                  <w:tcBorders>
                    <w:top w:val="single" w:color="auto" w:sz="4" w:space="0"/>
                    <w:left w:val="single" w:color="auto" w:sz="4" w:space="0"/>
                    <w:bottom w:val="single" w:color="auto" w:sz="4" w:space="0"/>
                    <w:right w:val="nil"/>
                  </w:tcBorders>
                  <w:noWrap w:val="0"/>
                  <w:vAlign w:val="center"/>
                </w:tcPr>
                <w:p>
                  <w:pPr>
                    <w:jc w:val="center"/>
                  </w:pPr>
                  <w:r>
                    <w:drawing>
                      <wp:inline distT="0" distB="0" distL="114300" distR="114300">
                        <wp:extent cx="1190625" cy="742950"/>
                        <wp:effectExtent l="0" t="0" r="9525"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5"/>
                                <a:stretch>
                                  <a:fillRect/>
                                </a:stretch>
                              </pic:blipFill>
                              <pic:spPr>
                                <a:xfrm>
                                  <a:off x="0" y="0"/>
                                  <a:ext cx="1190625" cy="742950"/>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219" w:hRule="atLeast"/>
                <w:jc w:val="center"/>
              </w:trPr>
              <w:tc>
                <w:tcPr>
                  <w:tcW w:w="1142" w:type="dxa"/>
                  <w:tcBorders>
                    <w:top w:val="single" w:color="auto" w:sz="4" w:space="0"/>
                    <w:left w:val="nil"/>
                    <w:bottom w:val="single" w:color="auto" w:sz="4" w:space="0"/>
                    <w:right w:val="single" w:color="auto" w:sz="4" w:space="0"/>
                  </w:tcBorders>
                  <w:noWrap w:val="0"/>
                  <w:vAlign w:val="center"/>
                </w:tcPr>
                <w:p>
                  <w:pPr>
                    <w:jc w:val="center"/>
                  </w:pPr>
                  <w:r>
                    <w:t>厂区门口</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jc w:val="center"/>
                  </w:pPr>
                  <w:r>
                    <w:t>提示标志</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pPr>
                  <w:r>
                    <w:t>120×80cm</w:t>
                  </w:r>
                </w:p>
              </w:tc>
              <w:tc>
                <w:tcPr>
                  <w:tcW w:w="866" w:type="dxa"/>
                  <w:tcBorders>
                    <w:top w:val="single" w:color="auto" w:sz="4" w:space="0"/>
                    <w:left w:val="single" w:color="auto" w:sz="4" w:space="0"/>
                    <w:bottom w:val="single" w:color="auto" w:sz="4" w:space="0"/>
                    <w:right w:val="single" w:color="auto" w:sz="4" w:space="0"/>
                  </w:tcBorders>
                  <w:noWrap w:val="0"/>
                  <w:vAlign w:val="center"/>
                </w:tcPr>
                <w:p>
                  <w:pPr>
                    <w:jc w:val="center"/>
                  </w:pPr>
                  <w:r>
                    <w:t>蓝色</w:t>
                  </w: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pPr>
                  <w:r>
                    <w:t>白色</w:t>
                  </w:r>
                </w:p>
              </w:tc>
              <w:tc>
                <w:tcPr>
                  <w:tcW w:w="2827" w:type="dxa"/>
                  <w:tcBorders>
                    <w:top w:val="single" w:color="auto" w:sz="4" w:space="0"/>
                    <w:left w:val="single" w:color="auto" w:sz="4" w:space="0"/>
                    <w:bottom w:val="single" w:color="auto" w:sz="4" w:space="0"/>
                    <w:right w:val="nil"/>
                  </w:tcBorders>
                  <w:noWrap w:val="0"/>
                  <w:vAlign w:val="center"/>
                </w:tcPr>
                <w:p>
                  <w:pPr>
                    <w:jc w:val="center"/>
                  </w:pPr>
                  <w:r>
                    <w:drawing>
                      <wp:inline distT="0" distB="0" distL="114300" distR="114300">
                        <wp:extent cx="1152525" cy="771525"/>
                        <wp:effectExtent l="0" t="0" r="9525" b="9525"/>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6"/>
                                <a:stretch>
                                  <a:fillRect/>
                                </a:stretch>
                              </pic:blipFill>
                              <pic:spPr>
                                <a:xfrm>
                                  <a:off x="0" y="0"/>
                                  <a:ext cx="1152525" cy="77152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jc w:val="center"/>
              </w:trPr>
              <w:tc>
                <w:tcPr>
                  <w:tcW w:w="1142" w:type="dxa"/>
                  <w:vMerge w:val="restart"/>
                  <w:tcBorders>
                    <w:top w:val="single" w:color="auto" w:sz="4" w:space="0"/>
                    <w:left w:val="nil"/>
                    <w:bottom w:val="single" w:color="auto" w:sz="12" w:space="0"/>
                    <w:right w:val="single" w:color="auto" w:sz="4" w:space="0"/>
                  </w:tcBorders>
                  <w:noWrap w:val="0"/>
                  <w:vAlign w:val="center"/>
                </w:tcPr>
                <w:p>
                  <w:pPr>
                    <w:jc w:val="center"/>
                  </w:pPr>
                  <w:r>
                    <w:t>危险废物暂存场所</w:t>
                  </w:r>
                </w:p>
              </w:tc>
              <w:tc>
                <w:tcPr>
                  <w:tcW w:w="1227" w:type="dxa"/>
                  <w:tcBorders>
                    <w:top w:val="single" w:color="auto" w:sz="4" w:space="0"/>
                    <w:left w:val="single" w:color="auto" w:sz="4" w:space="0"/>
                    <w:bottom w:val="single" w:color="auto" w:sz="4" w:space="0"/>
                    <w:right w:val="single" w:color="auto" w:sz="4" w:space="0"/>
                  </w:tcBorders>
                  <w:noWrap w:val="0"/>
                  <w:vAlign w:val="center"/>
                </w:tcPr>
                <w:p>
                  <w:pPr>
                    <w:jc w:val="center"/>
                  </w:pPr>
                  <w:r>
                    <w:t>贮存设施标志牌</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pPr>
                  <w:r>
                    <w:t>90×55.8cm</w:t>
                  </w:r>
                </w:p>
              </w:tc>
              <w:tc>
                <w:tcPr>
                  <w:tcW w:w="866" w:type="dxa"/>
                  <w:tcBorders>
                    <w:top w:val="single" w:color="auto" w:sz="4" w:space="0"/>
                    <w:left w:val="single" w:color="auto" w:sz="4" w:space="0"/>
                    <w:bottom w:val="single" w:color="auto" w:sz="4" w:space="0"/>
                    <w:right w:val="single" w:color="auto" w:sz="4" w:space="0"/>
                  </w:tcBorders>
                  <w:noWrap w:val="0"/>
                  <w:vAlign w:val="center"/>
                </w:tcPr>
                <w:p>
                  <w:pPr>
                    <w:jc w:val="center"/>
                  </w:pPr>
                  <w:r>
                    <w:t>黄色</w:t>
                  </w: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pPr>
                  <w:r>
                    <w:t>黑色</w:t>
                  </w:r>
                </w:p>
              </w:tc>
              <w:tc>
                <w:tcPr>
                  <w:tcW w:w="2827" w:type="dxa"/>
                  <w:tcBorders>
                    <w:top w:val="single" w:color="auto" w:sz="4" w:space="0"/>
                    <w:left w:val="single" w:color="auto" w:sz="4" w:space="0"/>
                    <w:bottom w:val="single" w:color="auto" w:sz="4" w:space="0"/>
                    <w:right w:val="nil"/>
                  </w:tcBorders>
                  <w:noWrap w:val="0"/>
                  <w:vAlign w:val="center"/>
                </w:tcPr>
                <w:p>
                  <w:pPr>
                    <w:jc w:val="center"/>
                  </w:pPr>
                  <w:r>
                    <w:drawing>
                      <wp:inline distT="0" distB="0" distL="114300" distR="114300">
                        <wp:extent cx="1641475" cy="1036955"/>
                        <wp:effectExtent l="0" t="0" r="15875" b="10795"/>
                        <wp:docPr id="4" name="图片 8" descr="危险废物贮存设施标志牌（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危险废物贮存设施标志牌（横版）"/>
                                <pic:cNvPicPr>
                                  <a:picLocks noChangeAspect="1"/>
                                </pic:cNvPicPr>
                              </pic:nvPicPr>
                              <pic:blipFill>
                                <a:blip r:embed="rId17"/>
                                <a:stretch>
                                  <a:fillRect/>
                                </a:stretch>
                              </pic:blipFill>
                              <pic:spPr>
                                <a:xfrm>
                                  <a:off x="0" y="0"/>
                                  <a:ext cx="1641475" cy="103695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1142" w:type="dxa"/>
                  <w:vMerge w:val="continue"/>
                  <w:tcBorders>
                    <w:top w:val="single" w:color="auto" w:sz="4" w:space="0"/>
                    <w:left w:val="nil"/>
                    <w:bottom w:val="single" w:color="auto" w:sz="12" w:space="0"/>
                    <w:right w:val="single" w:color="auto" w:sz="4" w:space="0"/>
                  </w:tcBorders>
                  <w:noWrap w:val="0"/>
                  <w:vAlign w:val="center"/>
                </w:tcPr>
                <w:p>
                  <w:pPr>
                    <w:widowControl/>
                    <w:jc w:val="center"/>
                  </w:pPr>
                </w:p>
              </w:tc>
              <w:tc>
                <w:tcPr>
                  <w:tcW w:w="1227" w:type="dxa"/>
                  <w:tcBorders>
                    <w:top w:val="single" w:color="auto" w:sz="4" w:space="0"/>
                    <w:left w:val="single" w:color="auto" w:sz="4" w:space="0"/>
                    <w:bottom w:val="single" w:color="auto" w:sz="4" w:space="0"/>
                    <w:right w:val="single" w:color="auto" w:sz="4" w:space="0"/>
                  </w:tcBorders>
                  <w:noWrap w:val="0"/>
                  <w:vAlign w:val="center"/>
                </w:tcPr>
                <w:p>
                  <w:pPr>
                    <w:jc w:val="center"/>
                  </w:pPr>
                  <w:r>
                    <w:t>危险废物贮存分区标志牌</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rPr>
                    <w:t>45</w:t>
                  </w:r>
                  <w:r>
                    <w:t>×</w:t>
                  </w:r>
                  <w:r>
                    <w:rPr>
                      <w:rFonts w:hint="eastAsia"/>
                    </w:rPr>
                    <w:t>45</w:t>
                  </w:r>
                  <w:r>
                    <w:t>cm</w:t>
                  </w:r>
                </w:p>
              </w:tc>
              <w:tc>
                <w:tcPr>
                  <w:tcW w:w="866" w:type="dxa"/>
                  <w:tcBorders>
                    <w:top w:val="single" w:color="auto" w:sz="4" w:space="0"/>
                    <w:left w:val="single" w:color="auto" w:sz="4" w:space="0"/>
                    <w:bottom w:val="single" w:color="auto" w:sz="4" w:space="0"/>
                    <w:right w:val="single" w:color="auto" w:sz="4" w:space="0"/>
                  </w:tcBorders>
                  <w:noWrap w:val="0"/>
                  <w:vAlign w:val="center"/>
                </w:tcPr>
                <w:p>
                  <w:pPr>
                    <w:jc w:val="center"/>
                  </w:pPr>
                  <w:r>
                    <w:t>黄色</w:t>
                  </w: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t>黑色</w:t>
                  </w:r>
                  <w:r>
                    <w:rPr>
                      <w:rFonts w:hint="eastAsia"/>
                    </w:rPr>
                    <w:t>、橘黄色</w:t>
                  </w:r>
                </w:p>
              </w:tc>
              <w:tc>
                <w:tcPr>
                  <w:tcW w:w="2827" w:type="dxa"/>
                  <w:tcBorders>
                    <w:top w:val="single" w:color="auto" w:sz="4" w:space="0"/>
                    <w:left w:val="single" w:color="auto" w:sz="4" w:space="0"/>
                    <w:bottom w:val="single" w:color="auto" w:sz="4" w:space="0"/>
                    <w:right w:val="nil"/>
                  </w:tcBorders>
                  <w:noWrap w:val="0"/>
                  <w:vAlign w:val="center"/>
                </w:tcPr>
                <w:p>
                  <w:pPr>
                    <w:jc w:val="center"/>
                  </w:pPr>
                  <w:r>
                    <w:drawing>
                      <wp:inline distT="0" distB="0" distL="114300" distR="114300">
                        <wp:extent cx="1640840" cy="1374775"/>
                        <wp:effectExtent l="0" t="0" r="16510" b="15875"/>
                        <wp:docPr id="6" name="图片 9" descr="危险废物贮存分区标志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descr="危险废物贮存分区标志牌"/>
                                <pic:cNvPicPr>
                                  <a:picLocks noChangeAspect="1"/>
                                </pic:cNvPicPr>
                              </pic:nvPicPr>
                              <pic:blipFill>
                                <a:blip r:embed="rId18"/>
                                <a:stretch>
                                  <a:fillRect/>
                                </a:stretch>
                              </pic:blipFill>
                              <pic:spPr>
                                <a:xfrm>
                                  <a:off x="0" y="0"/>
                                  <a:ext cx="1640840" cy="1374775"/>
                                </a:xfrm>
                                <a:prstGeom prst="rect">
                                  <a:avLst/>
                                </a:prstGeom>
                                <a:noFill/>
                                <a:ln>
                                  <a:noFill/>
                                </a:ln>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jc w:val="center"/>
              </w:trPr>
              <w:tc>
                <w:tcPr>
                  <w:tcW w:w="1142" w:type="dxa"/>
                  <w:vMerge w:val="continue"/>
                  <w:tcBorders>
                    <w:top w:val="single" w:color="auto" w:sz="4" w:space="0"/>
                    <w:left w:val="nil"/>
                    <w:bottom w:val="single" w:color="auto" w:sz="12" w:space="0"/>
                    <w:right w:val="single" w:color="auto" w:sz="4" w:space="0"/>
                  </w:tcBorders>
                  <w:noWrap w:val="0"/>
                  <w:vAlign w:val="center"/>
                </w:tcPr>
                <w:p>
                  <w:pPr>
                    <w:widowControl/>
                    <w:jc w:val="center"/>
                  </w:pPr>
                </w:p>
              </w:tc>
              <w:tc>
                <w:tcPr>
                  <w:tcW w:w="1227" w:type="dxa"/>
                  <w:tcBorders>
                    <w:top w:val="single" w:color="auto" w:sz="4" w:space="0"/>
                    <w:left w:val="single" w:color="auto" w:sz="4" w:space="0"/>
                    <w:bottom w:val="single" w:color="auto" w:sz="12" w:space="0"/>
                    <w:right w:val="single" w:color="auto" w:sz="4" w:space="0"/>
                  </w:tcBorders>
                  <w:noWrap w:val="0"/>
                  <w:vAlign w:val="center"/>
                </w:tcPr>
                <w:p>
                  <w:pPr>
                    <w:jc w:val="center"/>
                  </w:pPr>
                  <w:r>
                    <w:t>危险废物标签</w:t>
                  </w:r>
                </w:p>
              </w:tc>
              <w:tc>
                <w:tcPr>
                  <w:tcW w:w="1368" w:type="dxa"/>
                  <w:tcBorders>
                    <w:top w:val="single" w:color="auto" w:sz="4" w:space="0"/>
                    <w:left w:val="single" w:color="auto" w:sz="4" w:space="0"/>
                    <w:bottom w:val="single" w:color="auto" w:sz="12" w:space="0"/>
                    <w:right w:val="single" w:color="auto" w:sz="4" w:space="0"/>
                  </w:tcBorders>
                  <w:noWrap w:val="0"/>
                  <w:vAlign w:val="center"/>
                </w:tcPr>
                <w:p>
                  <w:pPr>
                    <w:jc w:val="center"/>
                  </w:pPr>
                  <w:r>
                    <w:t>20*20cm</w:t>
                  </w:r>
                </w:p>
              </w:tc>
              <w:tc>
                <w:tcPr>
                  <w:tcW w:w="866"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rPr>
                  </w:pPr>
                  <w:r>
                    <w:rPr>
                      <w:rFonts w:hint="eastAsia"/>
                    </w:rPr>
                    <w:t>橘黄色</w:t>
                  </w:r>
                </w:p>
              </w:tc>
              <w:tc>
                <w:tcPr>
                  <w:tcW w:w="958" w:type="dxa"/>
                  <w:tcBorders>
                    <w:top w:val="single" w:color="auto" w:sz="4" w:space="0"/>
                    <w:left w:val="single" w:color="auto" w:sz="4" w:space="0"/>
                    <w:bottom w:val="single" w:color="auto" w:sz="12" w:space="0"/>
                    <w:right w:val="single" w:color="auto" w:sz="4" w:space="0"/>
                  </w:tcBorders>
                  <w:noWrap w:val="0"/>
                  <w:vAlign w:val="center"/>
                </w:tcPr>
                <w:p>
                  <w:pPr>
                    <w:jc w:val="center"/>
                  </w:pPr>
                  <w:r>
                    <w:t>黑色</w:t>
                  </w:r>
                </w:p>
              </w:tc>
              <w:tc>
                <w:tcPr>
                  <w:tcW w:w="2827" w:type="dxa"/>
                  <w:tcBorders>
                    <w:top w:val="single" w:color="auto" w:sz="4" w:space="0"/>
                    <w:left w:val="single" w:color="auto" w:sz="4" w:space="0"/>
                    <w:bottom w:val="single" w:color="auto" w:sz="12" w:space="0"/>
                    <w:right w:val="nil"/>
                  </w:tcBorders>
                  <w:noWrap w:val="0"/>
                  <w:vAlign w:val="center"/>
                </w:tcPr>
                <w:p>
                  <w:pPr>
                    <w:jc w:val="center"/>
                  </w:pPr>
                  <w:r>
                    <w:drawing>
                      <wp:inline distT="0" distB="0" distL="114300" distR="114300">
                        <wp:extent cx="1644650" cy="1644650"/>
                        <wp:effectExtent l="0" t="0" r="12700" b="12700"/>
                        <wp:docPr id="7" name="图片 10" descr="危险废物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危险废物标签"/>
                                <pic:cNvPicPr>
                                  <a:picLocks noChangeAspect="1"/>
                                </pic:cNvPicPr>
                              </pic:nvPicPr>
                              <pic:blipFill>
                                <a:blip r:embed="rId19"/>
                                <a:stretch>
                                  <a:fillRect/>
                                </a:stretch>
                              </pic:blipFill>
                              <pic:spPr>
                                <a:xfrm>
                                  <a:off x="0" y="0"/>
                                  <a:ext cx="1644650" cy="1644650"/>
                                </a:xfrm>
                                <a:prstGeom prst="rect">
                                  <a:avLst/>
                                </a:prstGeom>
                                <a:noFill/>
                                <a:ln>
                                  <a:noFill/>
                                </a:ln>
                              </pic:spPr>
                            </pic:pic>
                          </a:graphicData>
                        </a:graphic>
                      </wp:inline>
                    </w:drawing>
                  </w:r>
                </w:p>
              </w:tc>
            </w:tr>
          </w:tbl>
          <w:p>
            <w:pPr>
              <w:adjustRightInd w:val="0"/>
              <w:snapToGrid w:val="0"/>
              <w:spacing w:line="360" w:lineRule="auto"/>
              <w:ind w:firstLine="480"/>
              <w:rPr>
                <w:rFonts w:hint="eastAsia"/>
                <w:lang w:eastAsia="zh-CN"/>
              </w:rPr>
            </w:pPr>
          </w:p>
          <w:p>
            <w:pPr>
              <w:adjustRightInd w:val="0"/>
              <w:snapToGrid w:val="0"/>
              <w:spacing w:line="360" w:lineRule="auto"/>
              <w:ind w:firstLine="480"/>
              <w:rPr>
                <w:sz w:val="24"/>
                <w:szCs w:val="32"/>
              </w:rPr>
            </w:pPr>
            <w:r>
              <w:rPr>
                <w:rFonts w:hint="eastAsia"/>
                <w:sz w:val="24"/>
                <w:szCs w:val="32"/>
                <w:lang w:eastAsia="zh-CN"/>
              </w:rPr>
              <w:t>（</w:t>
            </w:r>
            <w:r>
              <w:rPr>
                <w:rFonts w:hint="eastAsia"/>
                <w:sz w:val="24"/>
                <w:szCs w:val="32"/>
                <w:lang w:val="en-US" w:eastAsia="zh-CN"/>
              </w:rPr>
              <w:t>8</w:t>
            </w:r>
            <w:r>
              <w:rPr>
                <w:rFonts w:hint="eastAsia"/>
                <w:sz w:val="24"/>
                <w:szCs w:val="32"/>
                <w:lang w:eastAsia="zh-CN"/>
              </w:rPr>
              <w:t>）</w:t>
            </w:r>
            <w:r>
              <w:rPr>
                <w:sz w:val="24"/>
                <w:szCs w:val="32"/>
              </w:rPr>
              <w:t>危险废物环境风险评价</w:t>
            </w:r>
          </w:p>
          <w:p>
            <w:pPr>
              <w:spacing w:line="360" w:lineRule="auto"/>
              <w:ind w:firstLine="480" w:firstLineChars="200"/>
              <w:rPr>
                <w:sz w:val="24"/>
                <w:szCs w:val="32"/>
              </w:rPr>
            </w:pPr>
            <w:r>
              <w:rPr>
                <w:kern w:val="24"/>
                <w:sz w:val="24"/>
                <w:szCs w:val="32"/>
              </w:rPr>
              <w:t>根据《建设项目危险废物环境影响评价指南》，本项目</w:t>
            </w:r>
            <w:r>
              <w:rPr>
                <w:rFonts w:hint="eastAsia"/>
                <w:kern w:val="24"/>
                <w:sz w:val="24"/>
                <w:szCs w:val="32"/>
              </w:rPr>
              <w:t>危废</w:t>
            </w:r>
            <w:r>
              <w:rPr>
                <w:rFonts w:hint="eastAsia"/>
                <w:kern w:val="24"/>
                <w:sz w:val="24"/>
                <w:szCs w:val="32"/>
                <w:lang w:val="en-US" w:eastAsia="zh-CN"/>
              </w:rPr>
              <w:t>暂存区</w:t>
            </w:r>
            <w:r>
              <w:rPr>
                <w:kern w:val="24"/>
                <w:sz w:val="24"/>
                <w:szCs w:val="32"/>
              </w:rPr>
              <w:t>地面</w:t>
            </w:r>
            <w:r>
              <w:rPr>
                <w:rFonts w:hint="eastAsia"/>
                <w:kern w:val="24"/>
                <w:sz w:val="24"/>
                <w:szCs w:val="32"/>
              </w:rPr>
              <w:t>已设置</w:t>
            </w:r>
            <w:r>
              <w:rPr>
                <w:kern w:val="24"/>
                <w:sz w:val="24"/>
                <w:szCs w:val="32"/>
              </w:rPr>
              <w:t>环氧树脂防渗，</w:t>
            </w:r>
            <w:r>
              <w:rPr>
                <w:rFonts w:hint="eastAsia"/>
                <w:kern w:val="24"/>
                <w:sz w:val="24"/>
                <w:szCs w:val="32"/>
              </w:rPr>
              <w:t>已设置防泄漏托盘</w:t>
            </w:r>
            <w:r>
              <w:rPr>
                <w:kern w:val="24"/>
                <w:sz w:val="24"/>
                <w:szCs w:val="32"/>
              </w:rPr>
              <w:t>，同时危废</w:t>
            </w:r>
            <w:r>
              <w:rPr>
                <w:rFonts w:hint="eastAsia"/>
                <w:kern w:val="24"/>
                <w:sz w:val="24"/>
                <w:szCs w:val="32"/>
                <w:lang w:val="en-US" w:eastAsia="zh-CN"/>
              </w:rPr>
              <w:t>暂存区</w:t>
            </w:r>
            <w:r>
              <w:rPr>
                <w:kern w:val="24"/>
                <w:sz w:val="24"/>
                <w:szCs w:val="32"/>
              </w:rPr>
              <w:t>配置消防沙和干粉灭火器，若发生泄漏遇到明火发生火灾，可使用干粉灭火器进行灭火，企业在采取措施的情况</w:t>
            </w:r>
            <w:r>
              <w:rPr>
                <w:rFonts w:hint="eastAsia"/>
                <w:kern w:val="24"/>
                <w:sz w:val="24"/>
                <w:szCs w:val="32"/>
              </w:rPr>
              <w:t>下</w:t>
            </w:r>
            <w:r>
              <w:rPr>
                <w:kern w:val="24"/>
                <w:sz w:val="24"/>
                <w:szCs w:val="32"/>
              </w:rPr>
              <w:t>，危废</w:t>
            </w:r>
            <w:r>
              <w:rPr>
                <w:rFonts w:hint="eastAsia"/>
                <w:kern w:val="24"/>
                <w:sz w:val="24"/>
                <w:szCs w:val="32"/>
                <w:lang w:val="en-US" w:eastAsia="zh-CN"/>
              </w:rPr>
              <w:t>暂存区</w:t>
            </w:r>
            <w:r>
              <w:rPr>
                <w:kern w:val="24"/>
                <w:sz w:val="24"/>
                <w:szCs w:val="32"/>
              </w:rPr>
              <w:t>环境风险可</w:t>
            </w:r>
            <w:r>
              <w:rPr>
                <w:rFonts w:hint="eastAsia"/>
                <w:kern w:val="24"/>
                <w:sz w:val="24"/>
                <w:szCs w:val="32"/>
              </w:rPr>
              <w:t>防控</w:t>
            </w:r>
            <w:r>
              <w:rPr>
                <w:kern w:val="24"/>
                <w:sz w:val="24"/>
                <w:szCs w:val="32"/>
              </w:rPr>
              <w:t>。</w:t>
            </w:r>
          </w:p>
          <w:p>
            <w:pPr>
              <w:adjustRightInd w:val="0"/>
              <w:snapToGrid w:val="0"/>
              <w:spacing w:line="360" w:lineRule="auto"/>
              <w:ind w:firstLine="482" w:firstLineChars="200"/>
              <w:rPr>
                <w:rFonts w:hint="eastAsia" w:eastAsia="宋体"/>
                <w:b/>
                <w:bCs/>
                <w:sz w:val="24"/>
                <w:szCs w:val="24"/>
                <w:lang w:eastAsia="zh-CN"/>
              </w:rPr>
            </w:pPr>
            <w:r>
              <w:rPr>
                <w:rFonts w:hint="eastAsia"/>
                <w:b/>
                <w:bCs/>
                <w:sz w:val="24"/>
                <w:szCs w:val="24"/>
                <w:lang w:val="en-US" w:eastAsia="zh-CN"/>
              </w:rPr>
              <w:t>6.结论</w:t>
            </w:r>
          </w:p>
          <w:p>
            <w:pPr>
              <w:spacing w:line="360" w:lineRule="auto"/>
              <w:ind w:firstLine="480" w:firstLineChars="200"/>
              <w:rPr>
                <w:rFonts w:cs="宋体"/>
                <w:sz w:val="24"/>
                <w:szCs w:val="24"/>
              </w:rPr>
            </w:pPr>
            <w:r>
              <w:rPr>
                <w:sz w:val="24"/>
                <w:szCs w:val="32"/>
              </w:rPr>
              <w:t>从本项目产生的固废的处置情况来看，各类固废都得到了合理安全</w:t>
            </w:r>
            <w:r>
              <w:rPr>
                <w:rFonts w:hint="eastAsia"/>
                <w:sz w:val="24"/>
                <w:szCs w:val="32"/>
              </w:rPr>
              <w:t>地</w:t>
            </w:r>
            <w:r>
              <w:rPr>
                <w:sz w:val="24"/>
                <w:szCs w:val="32"/>
              </w:rPr>
              <w:t>处置，对周围环境的影响不大，但是评价仍要求建设单位对固废处置上不能随意处理，也不能乱堆乱放，在生产过程中要注意对这些固废的收集和储运，必须切实做好固废的分类工作，尽可能回收其中可以再利用的部分，切实按照本环评提出的方案进行处置。</w:t>
            </w:r>
          </w:p>
          <w:p>
            <w:pPr>
              <w:adjustRightInd w:val="0"/>
              <w:snapToGrid w:val="0"/>
              <w:spacing w:line="360" w:lineRule="auto"/>
              <w:ind w:firstLine="482" w:firstLineChars="200"/>
              <w:rPr>
                <w:b/>
                <w:bCs/>
                <w:sz w:val="24"/>
                <w:szCs w:val="24"/>
              </w:rPr>
            </w:pPr>
            <w:r>
              <w:rPr>
                <w:rFonts w:hint="eastAsia"/>
                <w:b/>
                <w:bCs/>
                <w:sz w:val="24"/>
                <w:szCs w:val="24"/>
                <w:lang w:eastAsia="zh-CN"/>
              </w:rPr>
              <w:t>（</w:t>
            </w:r>
            <w:r>
              <w:rPr>
                <w:rFonts w:hint="eastAsia"/>
                <w:b/>
                <w:bCs/>
                <w:sz w:val="24"/>
                <w:szCs w:val="24"/>
                <w:lang w:val="en-US" w:eastAsia="zh-CN"/>
              </w:rPr>
              <w:t>五</w:t>
            </w:r>
            <w:r>
              <w:rPr>
                <w:rFonts w:hint="eastAsia"/>
                <w:b/>
                <w:bCs/>
                <w:sz w:val="24"/>
                <w:szCs w:val="24"/>
                <w:lang w:eastAsia="zh-CN"/>
              </w:rPr>
              <w:t>）</w:t>
            </w:r>
            <w:r>
              <w:rPr>
                <w:rFonts w:hint="eastAsia"/>
                <w:b/>
                <w:bCs/>
                <w:sz w:val="24"/>
                <w:szCs w:val="24"/>
              </w:rPr>
              <w:t>地下水及土壤</w:t>
            </w:r>
          </w:p>
          <w:p>
            <w:pPr>
              <w:pStyle w:val="26"/>
              <w:adjustRightInd w:val="0"/>
              <w:snapToGrid w:val="0"/>
              <w:spacing w:before="0" w:beforeAutospacing="0" w:after="0" w:afterAutospacing="0" w:line="360" w:lineRule="auto"/>
              <w:ind w:firstLine="482" w:firstLineChars="200"/>
              <w:rPr>
                <w:rFonts w:cs="宋体"/>
                <w:b/>
                <w:bCs/>
                <w:sz w:val="24"/>
                <w:szCs w:val="24"/>
              </w:rPr>
            </w:pPr>
            <w:r>
              <w:rPr>
                <w:rFonts w:hint="eastAsia" w:cs="宋体"/>
                <w:b/>
                <w:bCs/>
                <w:sz w:val="24"/>
                <w:szCs w:val="24"/>
                <w:lang w:val="en-US" w:eastAsia="zh-CN"/>
              </w:rPr>
              <w:t>1.</w:t>
            </w:r>
            <w:r>
              <w:rPr>
                <w:rFonts w:hint="eastAsia" w:cs="宋体"/>
                <w:b/>
                <w:bCs/>
                <w:sz w:val="24"/>
                <w:szCs w:val="24"/>
              </w:rPr>
              <w:t>污染源、污染物类型及污染途径</w:t>
            </w:r>
          </w:p>
          <w:p>
            <w:pPr>
              <w:adjustRightInd w:val="0"/>
              <w:snapToGrid w:val="0"/>
              <w:spacing w:line="360" w:lineRule="auto"/>
              <w:ind w:firstLine="480" w:firstLineChars="200"/>
              <w:rPr>
                <w:sz w:val="24"/>
                <w:szCs w:val="24"/>
              </w:rPr>
            </w:pPr>
            <w:r>
              <w:rPr>
                <w:rFonts w:hint="eastAsia"/>
                <w:sz w:val="24"/>
                <w:szCs w:val="24"/>
              </w:rPr>
              <w:t>根据本项目产排污特点，生产过程</w:t>
            </w:r>
            <w:r>
              <w:rPr>
                <w:sz w:val="24"/>
                <w:szCs w:val="24"/>
              </w:rPr>
              <w:t>产生的少量废气</w:t>
            </w:r>
            <w:r>
              <w:rPr>
                <w:rFonts w:hint="eastAsia"/>
                <w:sz w:val="24"/>
                <w:szCs w:val="24"/>
                <w:lang w:val="en-US" w:eastAsia="zh-CN"/>
              </w:rPr>
              <w:t>无组织</w:t>
            </w:r>
            <w:r>
              <w:rPr>
                <w:rFonts w:hint="eastAsia"/>
                <w:sz w:val="24"/>
                <w:szCs w:val="24"/>
              </w:rPr>
              <w:t>排放，废气产生量较少且</w:t>
            </w:r>
            <w:r>
              <w:rPr>
                <w:rFonts w:hint="eastAsia"/>
                <w:sz w:val="24"/>
                <w:szCs w:val="21"/>
              </w:rPr>
              <w:t>生产过程均在</w:t>
            </w:r>
            <w:r>
              <w:rPr>
                <w:rFonts w:hint="eastAsia"/>
                <w:sz w:val="24"/>
                <w:szCs w:val="21"/>
                <w:lang w:val="en-US" w:eastAsia="zh-CN"/>
              </w:rPr>
              <w:t>通风</w:t>
            </w:r>
            <w:r>
              <w:rPr>
                <w:rFonts w:hint="eastAsia"/>
                <w:sz w:val="24"/>
                <w:szCs w:val="21"/>
              </w:rPr>
              <w:t>情况下开展，</w:t>
            </w:r>
            <w:r>
              <w:rPr>
                <w:rFonts w:hint="eastAsia" w:cs="宋体"/>
                <w:sz w:val="24"/>
                <w:szCs w:val="24"/>
              </w:rPr>
              <w:t>对周围环境影响较小</w:t>
            </w:r>
            <w:r>
              <w:rPr>
                <w:rFonts w:hint="eastAsia"/>
                <w:sz w:val="24"/>
                <w:szCs w:val="24"/>
                <w:lang w:eastAsia="zh-CN"/>
              </w:rPr>
              <w:t>，</w:t>
            </w:r>
            <w:r>
              <w:rPr>
                <w:rFonts w:hint="eastAsia"/>
                <w:sz w:val="24"/>
                <w:szCs w:val="24"/>
                <w:lang w:val="en-US" w:eastAsia="zh-CN"/>
              </w:rPr>
              <w:t>生活污水经租赁方</w:t>
            </w:r>
            <w:r>
              <w:rPr>
                <w:rFonts w:hint="eastAsia"/>
                <w:sz w:val="24"/>
                <w:szCs w:val="24"/>
                <w:lang w:eastAsia="zh-CN"/>
              </w:rPr>
              <w:t>化粪池预处理后</w:t>
            </w:r>
            <w:r>
              <w:rPr>
                <w:rFonts w:hint="eastAsia"/>
                <w:sz w:val="24"/>
                <w:szCs w:val="24"/>
                <w:lang w:val="en-US" w:eastAsia="zh-CN"/>
              </w:rPr>
              <w:t>接管排放，地面已做防渗处理，</w:t>
            </w:r>
            <w:r>
              <w:rPr>
                <w:rFonts w:hint="eastAsia"/>
                <w:sz w:val="24"/>
                <w:szCs w:val="24"/>
              </w:rPr>
              <w:t>不存在土壤、地下水环境污染途径。</w:t>
            </w:r>
          </w:p>
          <w:p>
            <w:pPr>
              <w:adjustRightInd w:val="0"/>
              <w:snapToGrid w:val="0"/>
              <w:spacing w:line="360" w:lineRule="auto"/>
              <w:ind w:firstLine="482" w:firstLineChars="200"/>
              <w:contextualSpacing/>
              <w:jc w:val="left"/>
              <w:rPr>
                <w:rFonts w:cs="宋体"/>
                <w:b/>
                <w:bCs/>
                <w:sz w:val="24"/>
                <w:szCs w:val="24"/>
              </w:rPr>
            </w:pPr>
            <w:r>
              <w:rPr>
                <w:rFonts w:hint="eastAsia" w:cs="宋体"/>
                <w:b/>
                <w:bCs/>
                <w:sz w:val="24"/>
                <w:szCs w:val="24"/>
                <w:lang w:val="en-US" w:eastAsia="zh-CN"/>
              </w:rPr>
              <w:t>2.</w:t>
            </w:r>
            <w:r>
              <w:rPr>
                <w:rFonts w:hint="eastAsia" w:cs="宋体"/>
                <w:b/>
                <w:bCs/>
                <w:sz w:val="24"/>
                <w:szCs w:val="24"/>
              </w:rPr>
              <w:t>地下水和土壤的防控措施主要有：</w:t>
            </w:r>
          </w:p>
          <w:p>
            <w:pPr>
              <w:adjustRightInd w:val="0"/>
              <w:snapToGrid w:val="0"/>
              <w:spacing w:line="360" w:lineRule="auto"/>
              <w:ind w:firstLine="480" w:firstLineChars="200"/>
              <w:contextualSpacing/>
              <w:jc w:val="left"/>
              <w:rPr>
                <w:rFonts w:cs="宋体"/>
                <w:sz w:val="24"/>
                <w:szCs w:val="24"/>
              </w:rPr>
            </w:pPr>
            <w:r>
              <w:rPr>
                <w:rFonts w:hint="eastAsia" w:cs="宋体"/>
                <w:sz w:val="24"/>
                <w:szCs w:val="24"/>
                <w:lang w:eastAsia="zh-CN"/>
              </w:rPr>
              <w:t>（</w:t>
            </w:r>
            <w:r>
              <w:rPr>
                <w:rFonts w:hint="eastAsia" w:cs="宋体"/>
                <w:sz w:val="24"/>
                <w:szCs w:val="24"/>
                <w:lang w:val="en-US" w:eastAsia="zh-CN"/>
              </w:rPr>
              <w:t>1</w:t>
            </w:r>
            <w:r>
              <w:rPr>
                <w:rFonts w:hint="eastAsia" w:cs="宋体"/>
                <w:sz w:val="24"/>
                <w:szCs w:val="24"/>
                <w:lang w:eastAsia="zh-CN"/>
              </w:rPr>
              <w:t>）</w:t>
            </w:r>
            <w:r>
              <w:rPr>
                <w:rFonts w:hint="eastAsia" w:cs="宋体"/>
                <w:sz w:val="24"/>
                <w:szCs w:val="24"/>
              </w:rPr>
              <w:t xml:space="preserve">源头控制 </w:t>
            </w:r>
          </w:p>
          <w:p>
            <w:pPr>
              <w:adjustRightInd w:val="0"/>
              <w:snapToGrid w:val="0"/>
              <w:spacing w:line="360" w:lineRule="auto"/>
              <w:ind w:firstLine="480" w:firstLineChars="200"/>
              <w:contextualSpacing/>
              <w:jc w:val="left"/>
              <w:rPr>
                <w:rFonts w:cs="宋体"/>
                <w:sz w:val="24"/>
                <w:szCs w:val="24"/>
              </w:rPr>
            </w:pPr>
            <w:r>
              <w:rPr>
                <w:rFonts w:hint="eastAsia" w:cs="宋体"/>
                <w:sz w:val="24"/>
                <w:szCs w:val="24"/>
              </w:rPr>
              <w:t>选择先进、成熟的工艺技术，尽可能从源头上减少污染物排放；严格按照国家相关规范要求，对工艺、管道、设备、污水储存及处理构筑物采取相应的措施。防止和降低污染物的跑、冒、滴、漏，将污染物泄露的环境风险事故降到最低程度。</w:t>
            </w:r>
          </w:p>
          <w:p>
            <w:pPr>
              <w:adjustRightInd w:val="0"/>
              <w:snapToGrid w:val="0"/>
              <w:spacing w:line="360" w:lineRule="auto"/>
              <w:ind w:firstLine="480" w:firstLineChars="200"/>
              <w:contextualSpacing/>
              <w:jc w:val="left"/>
              <w:rPr>
                <w:rFonts w:cs="宋体"/>
                <w:sz w:val="24"/>
                <w:szCs w:val="24"/>
              </w:rPr>
            </w:pPr>
            <w:r>
              <w:rPr>
                <w:rFonts w:hint="eastAsia" w:cs="宋体"/>
                <w:sz w:val="24"/>
                <w:szCs w:val="24"/>
                <w:lang w:eastAsia="zh-CN"/>
              </w:rPr>
              <w:t>（</w:t>
            </w:r>
            <w:r>
              <w:rPr>
                <w:rFonts w:hint="eastAsia" w:cs="宋体"/>
                <w:sz w:val="24"/>
                <w:szCs w:val="24"/>
                <w:lang w:val="en-US" w:eastAsia="zh-CN"/>
              </w:rPr>
              <w:t>2</w:t>
            </w:r>
            <w:r>
              <w:rPr>
                <w:rFonts w:hint="eastAsia" w:cs="宋体"/>
                <w:sz w:val="24"/>
                <w:szCs w:val="24"/>
                <w:lang w:eastAsia="zh-CN"/>
              </w:rPr>
              <w:t>）</w:t>
            </w:r>
            <w:r>
              <w:rPr>
                <w:rFonts w:cs="宋体"/>
                <w:sz w:val="24"/>
                <w:szCs w:val="24"/>
              </w:rPr>
              <w:t>末端控制</w:t>
            </w:r>
            <w:r>
              <w:rPr>
                <w:rFonts w:hint="eastAsia" w:cs="宋体"/>
                <w:sz w:val="24"/>
                <w:szCs w:val="24"/>
              </w:rPr>
              <w:t>、</w:t>
            </w:r>
            <w:r>
              <w:rPr>
                <w:rFonts w:cs="宋体"/>
                <w:sz w:val="24"/>
                <w:szCs w:val="24"/>
              </w:rPr>
              <w:t>分区防控</w:t>
            </w:r>
          </w:p>
          <w:p>
            <w:pPr>
              <w:adjustRightInd w:val="0"/>
              <w:spacing w:line="360" w:lineRule="auto"/>
              <w:ind w:firstLine="480" w:firstLineChars="200"/>
              <w:rPr>
                <w:sz w:val="24"/>
                <w:szCs w:val="32"/>
              </w:rPr>
            </w:pPr>
            <w:r>
              <w:rPr>
                <w:sz w:val="24"/>
                <w:szCs w:val="32"/>
              </w:rPr>
              <w:t>本项目地下水防治按照分区防渗进行，分为一般防渗区和重点防渗区。本项目地下水污染防渗区域划分如下：</w:t>
            </w:r>
          </w:p>
          <w:p>
            <w:pPr>
              <w:adjustRightInd w:val="0"/>
              <w:spacing w:line="360" w:lineRule="auto"/>
              <w:jc w:val="center"/>
              <w:rPr>
                <w:b/>
                <w:bCs/>
                <w:sz w:val="24"/>
                <w:szCs w:val="32"/>
              </w:rPr>
            </w:pPr>
            <w:r>
              <w:rPr>
                <w:b/>
                <w:bCs/>
                <w:sz w:val="24"/>
                <w:szCs w:val="32"/>
              </w:rPr>
              <w:t>表4-</w:t>
            </w:r>
            <w:r>
              <w:rPr>
                <w:rFonts w:hint="eastAsia"/>
                <w:b/>
                <w:bCs/>
                <w:sz w:val="24"/>
                <w:szCs w:val="32"/>
                <w:lang w:val="en-US" w:eastAsia="zh-CN"/>
              </w:rPr>
              <w:t>23</w:t>
            </w:r>
            <w:r>
              <w:rPr>
                <w:b/>
                <w:bCs/>
                <w:sz w:val="24"/>
                <w:szCs w:val="32"/>
              </w:rPr>
              <w:t>建设厂区防渗措施一览表</w:t>
            </w:r>
          </w:p>
          <w:tbl>
            <w:tblPr>
              <w:tblStyle w:val="30"/>
              <w:tblW w:w="83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321"/>
              <w:gridCol w:w="54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blHeader/>
                <w:jc w:val="center"/>
              </w:trPr>
              <w:tc>
                <w:tcPr>
                  <w:tcW w:w="1582" w:type="dxa"/>
                  <w:noWrap w:val="0"/>
                  <w:tcMar>
                    <w:top w:w="0" w:type="dxa"/>
                    <w:left w:w="0" w:type="dxa"/>
                    <w:bottom w:w="0" w:type="dxa"/>
                    <w:right w:w="0" w:type="dxa"/>
                  </w:tcMar>
                  <w:vAlign w:val="center"/>
                </w:tcPr>
                <w:p>
                  <w:pPr>
                    <w:adjustRightInd w:val="0"/>
                    <w:snapToGrid w:val="0"/>
                    <w:jc w:val="center"/>
                    <w:rPr>
                      <w:b/>
                      <w:bCs/>
                    </w:rPr>
                  </w:pPr>
                  <w:r>
                    <w:rPr>
                      <w:b/>
                      <w:bCs/>
                    </w:rPr>
                    <w:t>防渗分区</w:t>
                  </w:r>
                </w:p>
              </w:tc>
              <w:tc>
                <w:tcPr>
                  <w:tcW w:w="1321" w:type="dxa"/>
                  <w:noWrap w:val="0"/>
                  <w:tcMar>
                    <w:top w:w="0" w:type="dxa"/>
                    <w:left w:w="0" w:type="dxa"/>
                    <w:bottom w:w="0" w:type="dxa"/>
                    <w:right w:w="0" w:type="dxa"/>
                  </w:tcMar>
                  <w:vAlign w:val="center"/>
                </w:tcPr>
                <w:p>
                  <w:pPr>
                    <w:adjustRightInd w:val="0"/>
                    <w:snapToGrid w:val="0"/>
                    <w:jc w:val="center"/>
                    <w:rPr>
                      <w:b/>
                      <w:bCs/>
                    </w:rPr>
                  </w:pPr>
                  <w:r>
                    <w:rPr>
                      <w:b/>
                      <w:bCs/>
                    </w:rPr>
                    <w:t>分区位置</w:t>
                  </w:r>
                </w:p>
              </w:tc>
              <w:tc>
                <w:tcPr>
                  <w:tcW w:w="5486" w:type="dxa"/>
                  <w:noWrap w:val="0"/>
                  <w:tcMar>
                    <w:top w:w="0" w:type="dxa"/>
                    <w:left w:w="0" w:type="dxa"/>
                    <w:bottom w:w="0" w:type="dxa"/>
                    <w:right w:w="0" w:type="dxa"/>
                  </w:tcMar>
                  <w:vAlign w:val="center"/>
                </w:tcPr>
                <w:p>
                  <w:pPr>
                    <w:adjustRightInd w:val="0"/>
                    <w:snapToGrid w:val="0"/>
                    <w:jc w:val="center"/>
                    <w:rPr>
                      <w:b/>
                      <w:bCs/>
                    </w:rPr>
                  </w:pPr>
                  <w:r>
                    <w:rPr>
                      <w:b/>
                      <w:bCs/>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82" w:type="dxa"/>
                  <w:noWrap w:val="0"/>
                  <w:vAlign w:val="center"/>
                </w:tcPr>
                <w:p>
                  <w:pPr>
                    <w:adjustRightInd w:val="0"/>
                    <w:snapToGrid w:val="0"/>
                    <w:jc w:val="center"/>
                  </w:pPr>
                  <w:r>
                    <w:t>一般防渗区</w:t>
                  </w:r>
                </w:p>
              </w:tc>
              <w:tc>
                <w:tcPr>
                  <w:tcW w:w="1321" w:type="dxa"/>
                  <w:noWrap w:val="0"/>
                  <w:vAlign w:val="center"/>
                </w:tcPr>
                <w:p>
                  <w:pPr>
                    <w:adjustRightInd w:val="0"/>
                    <w:snapToGrid w:val="0"/>
                    <w:jc w:val="center"/>
                  </w:pPr>
                  <w:r>
                    <w:rPr>
                      <w:rFonts w:hint="eastAsia"/>
                    </w:rPr>
                    <w:t>生产</w:t>
                  </w:r>
                  <w:r>
                    <w:rPr>
                      <w:rFonts w:hint="eastAsia"/>
                      <w:lang w:val="en-US" w:eastAsia="zh-CN"/>
                    </w:rPr>
                    <w:t>车间</w:t>
                  </w:r>
                </w:p>
              </w:tc>
              <w:tc>
                <w:tcPr>
                  <w:tcW w:w="5486" w:type="dxa"/>
                  <w:noWrap w:val="0"/>
                  <w:vAlign w:val="center"/>
                </w:tcPr>
                <w:p>
                  <w:pPr>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等效黏土防渗层 Mb≥1.5m，K≤10-7cm/s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582" w:type="dxa"/>
                  <w:noWrap w:val="0"/>
                  <w:vAlign w:val="center"/>
                </w:tcPr>
                <w:p>
                  <w:pPr>
                    <w:adjustRightInd w:val="0"/>
                    <w:snapToGrid w:val="0"/>
                    <w:jc w:val="center"/>
                    <w:rPr>
                      <w:rFonts w:hint="eastAsia" w:eastAsia="宋体"/>
                      <w:lang w:val="en-US" w:eastAsia="zh-CN"/>
                    </w:rPr>
                  </w:pPr>
                  <w:r>
                    <w:rPr>
                      <w:rFonts w:hint="eastAsia"/>
                      <w:lang w:val="en-US" w:eastAsia="zh-CN"/>
                    </w:rPr>
                    <w:t>重点防渗区</w:t>
                  </w:r>
                </w:p>
              </w:tc>
              <w:tc>
                <w:tcPr>
                  <w:tcW w:w="1321" w:type="dxa"/>
                  <w:noWrap w:val="0"/>
                  <w:vAlign w:val="center"/>
                </w:tcPr>
                <w:p>
                  <w:pPr>
                    <w:adjustRightInd w:val="0"/>
                    <w:snapToGrid w:val="0"/>
                    <w:jc w:val="center"/>
                    <w:rPr>
                      <w:rFonts w:hint="eastAsia" w:eastAsia="宋体"/>
                      <w:lang w:val="en-US" w:eastAsia="zh-CN"/>
                    </w:rPr>
                  </w:pPr>
                  <w:r>
                    <w:rPr>
                      <w:rFonts w:hint="eastAsia"/>
                      <w:lang w:val="en-US" w:eastAsia="zh-CN"/>
                    </w:rPr>
                    <w:t>危废仓库</w:t>
                  </w:r>
                </w:p>
              </w:tc>
              <w:tc>
                <w:tcPr>
                  <w:tcW w:w="5486" w:type="dxa"/>
                  <w:noWrap w:val="0"/>
                  <w:vAlign w:val="center"/>
                </w:tcPr>
                <w:p>
                  <w:pPr>
                    <w:adjustRightInd w:val="0"/>
                    <w:snapToGrid w:val="0"/>
                    <w:jc w:val="center"/>
                    <w:rPr>
                      <w:rFonts w:hint="eastAsia" w:ascii="Times New Roman" w:hAnsi="Times New Roman" w:cs="Times New Roman"/>
                      <w:lang w:val="en-US" w:eastAsia="zh-CN"/>
                    </w:rPr>
                  </w:pPr>
                  <w:r>
                    <w:rPr>
                      <w:rFonts w:hint="eastAsia" w:ascii="Times New Roman" w:hAnsi="Times New Roman" w:cs="Times New Roman"/>
                      <w:lang w:val="en-US" w:eastAsia="zh-CN"/>
                    </w:rPr>
                    <w:t>等效黏土防渗层 Mb≥6.0m，K≤1×10-7cm/s</w:t>
                  </w:r>
                </w:p>
              </w:tc>
            </w:tr>
          </w:tbl>
          <w:p>
            <w:pPr>
              <w:spacing w:line="360" w:lineRule="auto"/>
              <w:ind w:firstLine="482"/>
              <w:jc w:val="left"/>
            </w:pPr>
          </w:p>
          <w:p>
            <w:pPr>
              <w:spacing w:line="360" w:lineRule="auto"/>
              <w:ind w:firstLine="482"/>
              <w:jc w:val="left"/>
              <w:rPr>
                <w:rFonts w:cs="宋体"/>
                <w:sz w:val="24"/>
                <w:szCs w:val="24"/>
              </w:rPr>
            </w:pPr>
            <w:r>
              <w:rPr>
                <w:sz w:val="24"/>
                <w:szCs w:val="32"/>
              </w:rPr>
              <w:t>通过上述措施，可大大减少污染物进入土壤及地下水的可能性。</w:t>
            </w:r>
          </w:p>
          <w:p>
            <w:pPr>
              <w:adjustRightInd w:val="0"/>
              <w:snapToGrid w:val="0"/>
              <w:spacing w:line="360" w:lineRule="auto"/>
              <w:ind w:left="4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六</w:t>
            </w:r>
            <w:r>
              <w:rPr>
                <w:rFonts w:hint="eastAsia" w:ascii="宋体" w:hAnsi="宋体" w:cs="宋体"/>
                <w:b/>
                <w:bCs/>
                <w:sz w:val="24"/>
                <w:szCs w:val="24"/>
                <w:lang w:eastAsia="zh-CN"/>
              </w:rPr>
              <w:t>）</w:t>
            </w:r>
            <w:r>
              <w:rPr>
                <w:rFonts w:hint="eastAsia" w:ascii="宋体" w:hAnsi="宋体" w:cs="宋体"/>
                <w:b/>
                <w:bCs/>
                <w:sz w:val="24"/>
                <w:szCs w:val="24"/>
              </w:rPr>
              <w:t>生态</w:t>
            </w:r>
          </w:p>
          <w:p>
            <w:pPr>
              <w:adjustRightInd w:val="0"/>
              <w:snapToGrid w:val="0"/>
              <w:spacing w:line="360" w:lineRule="auto"/>
              <w:ind w:firstLine="480" w:firstLineChars="200"/>
              <w:rPr>
                <w:sz w:val="24"/>
                <w:szCs w:val="24"/>
              </w:rPr>
            </w:pPr>
            <w:r>
              <w:rPr>
                <w:rFonts w:hint="eastAsia"/>
                <w:sz w:val="24"/>
                <w:szCs w:val="24"/>
              </w:rPr>
              <w:t>本项目不涉及新增用地及生态环境保护目标。</w:t>
            </w:r>
          </w:p>
          <w:p>
            <w:pPr>
              <w:adjustRightInd w:val="0"/>
              <w:snapToGrid w:val="0"/>
              <w:spacing w:line="360" w:lineRule="auto"/>
              <w:ind w:left="4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七</w:t>
            </w:r>
            <w:r>
              <w:rPr>
                <w:rFonts w:hint="eastAsia" w:ascii="宋体" w:hAnsi="宋体" w:cs="宋体"/>
                <w:b/>
                <w:bCs/>
                <w:sz w:val="24"/>
                <w:szCs w:val="24"/>
                <w:lang w:eastAsia="zh-CN"/>
              </w:rPr>
              <w:t>）</w:t>
            </w:r>
            <w:r>
              <w:rPr>
                <w:rFonts w:hint="eastAsia" w:ascii="宋体" w:hAnsi="宋体" w:cs="宋体"/>
                <w:b/>
                <w:bCs/>
                <w:sz w:val="24"/>
                <w:szCs w:val="24"/>
              </w:rPr>
              <w:t>环境风险</w:t>
            </w:r>
          </w:p>
          <w:p>
            <w:pPr>
              <w:adjustRightInd w:val="0"/>
              <w:snapToGrid w:val="0"/>
              <w:spacing w:line="360" w:lineRule="auto"/>
              <w:ind w:firstLine="482" w:firstLineChars="200"/>
              <w:rPr>
                <w:b/>
                <w:bCs/>
                <w:sz w:val="24"/>
                <w:szCs w:val="24"/>
              </w:rPr>
            </w:pPr>
            <w:r>
              <w:rPr>
                <w:rFonts w:hint="eastAsia"/>
                <w:b/>
                <w:bCs/>
                <w:sz w:val="24"/>
                <w:szCs w:val="24"/>
                <w:lang w:val="en-US" w:eastAsia="zh-CN"/>
              </w:rPr>
              <w:t>1.</w:t>
            </w:r>
            <w:r>
              <w:rPr>
                <w:rFonts w:hint="eastAsia"/>
                <w:b/>
                <w:bCs/>
                <w:sz w:val="24"/>
                <w:szCs w:val="24"/>
              </w:rPr>
              <w:t>环境风险评价工作等级</w:t>
            </w:r>
          </w:p>
          <w:p>
            <w:pPr>
              <w:pStyle w:val="13"/>
              <w:adjustRightInd w:val="0"/>
              <w:spacing w:before="0" w:after="0" w:line="360" w:lineRule="auto"/>
              <w:ind w:right="0" w:firstLine="480" w:firstLineChars="200"/>
              <w:rPr>
                <w:rFonts w:hint="eastAsia"/>
                <w:sz w:val="24"/>
                <w:szCs w:val="24"/>
              </w:rPr>
            </w:pPr>
            <w:r>
              <w:rPr>
                <w:rFonts w:hint="eastAsia"/>
                <w:sz w:val="24"/>
                <w:szCs w:val="24"/>
              </w:rPr>
              <w:t>本项目主要风险物质为</w:t>
            </w:r>
            <w:r>
              <w:rPr>
                <w:rFonts w:hint="eastAsia"/>
                <w:sz w:val="24"/>
                <w:szCs w:val="24"/>
                <w:lang w:val="en-US" w:eastAsia="zh-CN"/>
              </w:rPr>
              <w:t>润滑油、危险废物</w:t>
            </w:r>
            <w:r>
              <w:rPr>
                <w:rFonts w:hint="eastAsia"/>
                <w:sz w:val="24"/>
                <w:szCs w:val="24"/>
              </w:rPr>
              <w:t>。</w:t>
            </w:r>
            <w:r>
              <w:rPr>
                <w:rFonts w:hint="eastAsia"/>
                <w:sz w:val="24"/>
                <w:szCs w:val="24"/>
                <w:lang w:val="en-US" w:eastAsia="zh-CN"/>
              </w:rPr>
              <w:t>润滑油</w:t>
            </w:r>
            <w:r>
              <w:rPr>
                <w:rFonts w:hint="eastAsia"/>
                <w:sz w:val="24"/>
                <w:szCs w:val="24"/>
              </w:rPr>
              <w:t>暂存于原料仓库</w:t>
            </w:r>
            <w:r>
              <w:rPr>
                <w:rFonts w:hint="eastAsia"/>
                <w:sz w:val="24"/>
                <w:szCs w:val="24"/>
                <w:lang w:eastAsia="zh-CN"/>
              </w:rPr>
              <w:t>，</w:t>
            </w:r>
            <w:r>
              <w:rPr>
                <w:rFonts w:hint="eastAsia"/>
                <w:sz w:val="24"/>
                <w:szCs w:val="24"/>
                <w:lang w:val="en-US" w:eastAsia="zh-CN"/>
              </w:rPr>
              <w:t>危险废物暂存于危废仓库</w:t>
            </w:r>
            <w:r>
              <w:rPr>
                <w:rFonts w:hint="eastAsia"/>
                <w:sz w:val="24"/>
                <w:szCs w:val="24"/>
              </w:rPr>
              <w:t>。</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根据《建设项目环境风险评价技术导则》（HJ 169-2018），对照附录C，计算本项目所涉及的每种危险物质在厂界内的最大存在总量与其在附录B中对应临界量的比值Q。当只涉及一种危险物质时，计算该物质的总量与其临界量比值，即为 Q；当存在多种危险物质时，则按式（C.1）计算物质总量与其临界量比值（Q）；</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drawing>
                <wp:inline distT="0" distB="0" distL="114300" distR="114300">
                  <wp:extent cx="2122170" cy="599440"/>
                  <wp:effectExtent l="0" t="0" r="11430" b="10160"/>
                  <wp:docPr id="58" name="图片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 descr="1.png"/>
                          <pic:cNvPicPr>
                            <a:picLocks noChangeAspect="1"/>
                          </pic:cNvPicPr>
                        </pic:nvPicPr>
                        <pic:blipFill>
                          <a:blip r:embed="rId20"/>
                          <a:stretch>
                            <a:fillRect/>
                          </a:stretch>
                        </pic:blipFill>
                        <pic:spPr>
                          <a:xfrm>
                            <a:off x="0" y="0"/>
                            <a:ext cx="2122170" cy="599440"/>
                          </a:xfrm>
                          <a:prstGeom prst="rect">
                            <a:avLst/>
                          </a:prstGeom>
                          <a:noFill/>
                          <a:ln>
                            <a:noFill/>
                          </a:ln>
                        </pic:spPr>
                      </pic:pic>
                    </a:graphicData>
                  </a:graphic>
                </wp:inline>
              </w:drawing>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式中：q1、q2、… qn-------每种危险物质的最大存在量，t；</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Q1、Q2、… Qn------每种危险物质的临界量，t。</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计算出Q值后：</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当Q&lt;1时，该项目环境风险潜势为Ⅰ。</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当Q≥1时，将Q值划分为：①1≤Q&lt;10；②10≤Q&lt;100；③Q≥100。</w:t>
            </w:r>
          </w:p>
          <w:p>
            <w:pPr>
              <w:pStyle w:val="13"/>
              <w:adjustRightInd w:val="0"/>
              <w:spacing w:before="0" w:after="0" w:line="360" w:lineRule="auto"/>
              <w:ind w:right="0"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根据《建设项目环境风险评价技术导则》（HJ 169－2018）中附录B，表B.1突发环境事件风险物质及临界量表，本项目Q值确定结果见</w:t>
            </w:r>
            <w:r>
              <w:rPr>
                <w:rFonts w:hint="eastAsia" w:ascii="Times New Roman" w:hAnsi="Times New Roman" w:eastAsia="宋体" w:cs="Times New Roman"/>
                <w:sz w:val="24"/>
                <w:szCs w:val="24"/>
                <w:lang w:val="en-US" w:eastAsia="zh-CN"/>
              </w:rPr>
              <w:t>下</w:t>
            </w:r>
            <w:r>
              <w:rPr>
                <w:rFonts w:hint="eastAsia" w:ascii="Times New Roman" w:hAnsi="Times New Roman" w:eastAsia="宋体" w:cs="Times New Roman"/>
                <w:sz w:val="24"/>
                <w:szCs w:val="24"/>
              </w:rPr>
              <w:t>表</w:t>
            </w:r>
            <w:r>
              <w:rPr>
                <w:rFonts w:hint="eastAsia" w:ascii="Times New Roman" w:hAnsi="Times New Roman" w:eastAsia="宋体" w:cs="Times New Roman"/>
                <w:sz w:val="24"/>
                <w:szCs w:val="24"/>
                <w:lang w:eastAsia="zh-CN"/>
              </w:rPr>
              <w:t>。</w:t>
            </w:r>
          </w:p>
          <w:p>
            <w:pPr>
              <w:spacing w:line="360" w:lineRule="auto"/>
              <w:jc w:val="center"/>
              <w:rPr>
                <w:rFonts w:cs="宋体"/>
                <w:b/>
                <w:sz w:val="24"/>
                <w:szCs w:val="24"/>
              </w:rPr>
            </w:pPr>
            <w:r>
              <w:rPr>
                <w:rFonts w:hint="eastAsia" w:cs="宋体"/>
                <w:b/>
                <w:sz w:val="24"/>
                <w:szCs w:val="24"/>
              </w:rPr>
              <w:t>表4-</w:t>
            </w:r>
            <w:r>
              <w:rPr>
                <w:rFonts w:hint="eastAsia" w:cs="宋体"/>
                <w:b/>
                <w:sz w:val="24"/>
                <w:szCs w:val="24"/>
                <w:lang w:val="en-US" w:eastAsia="zh-CN"/>
              </w:rPr>
              <w:t>24</w:t>
            </w:r>
            <w:r>
              <w:rPr>
                <w:rFonts w:hint="eastAsia" w:cs="宋体"/>
                <w:b/>
                <w:sz w:val="24"/>
                <w:szCs w:val="24"/>
              </w:rPr>
              <w:t>风险物质数量与临界量比值（Q）结果</w:t>
            </w:r>
          </w:p>
          <w:tbl>
            <w:tblPr>
              <w:tblStyle w:val="30"/>
              <w:tblW w:w="8391"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12"/>
              <w:gridCol w:w="895"/>
              <w:gridCol w:w="708"/>
              <w:gridCol w:w="1173"/>
              <w:gridCol w:w="982"/>
              <w:gridCol w:w="673"/>
              <w:gridCol w:w="344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2" w:type="dxa"/>
                  <w:vAlign w:val="center"/>
                </w:tcPr>
                <w:p>
                  <w:pPr>
                    <w:jc w:val="center"/>
                    <w:rPr>
                      <w:b/>
                      <w:bCs/>
                      <w:szCs w:val="21"/>
                    </w:rPr>
                  </w:pPr>
                  <w:r>
                    <w:rPr>
                      <w:b/>
                      <w:bCs/>
                      <w:szCs w:val="21"/>
                    </w:rPr>
                    <w:t>序号</w:t>
                  </w:r>
                </w:p>
              </w:tc>
              <w:tc>
                <w:tcPr>
                  <w:tcW w:w="895" w:type="dxa"/>
                  <w:vAlign w:val="center"/>
                </w:tcPr>
                <w:p>
                  <w:pPr>
                    <w:jc w:val="center"/>
                    <w:rPr>
                      <w:b/>
                      <w:bCs/>
                      <w:szCs w:val="21"/>
                    </w:rPr>
                  </w:pPr>
                  <w:r>
                    <w:rPr>
                      <w:b/>
                      <w:bCs/>
                      <w:szCs w:val="21"/>
                    </w:rPr>
                    <w:t>风险物质名称</w:t>
                  </w:r>
                </w:p>
              </w:tc>
              <w:tc>
                <w:tcPr>
                  <w:tcW w:w="708" w:type="dxa"/>
                  <w:vAlign w:val="center"/>
                </w:tcPr>
                <w:p>
                  <w:pPr>
                    <w:jc w:val="center"/>
                    <w:rPr>
                      <w:b/>
                      <w:bCs/>
                      <w:szCs w:val="21"/>
                    </w:rPr>
                  </w:pPr>
                  <w:r>
                    <w:rPr>
                      <w:b/>
                      <w:bCs/>
                      <w:szCs w:val="21"/>
                    </w:rPr>
                    <w:t>储存位置</w:t>
                  </w:r>
                </w:p>
              </w:tc>
              <w:tc>
                <w:tcPr>
                  <w:tcW w:w="1173" w:type="dxa"/>
                  <w:tcBorders>
                    <w:right w:val="single" w:color="auto" w:sz="4" w:space="0"/>
                  </w:tcBorders>
                  <w:vAlign w:val="center"/>
                </w:tcPr>
                <w:p>
                  <w:pPr>
                    <w:jc w:val="center"/>
                    <w:rPr>
                      <w:b/>
                      <w:bCs/>
                      <w:szCs w:val="21"/>
                    </w:rPr>
                  </w:pPr>
                  <w:r>
                    <w:rPr>
                      <w:b/>
                      <w:bCs/>
                      <w:szCs w:val="21"/>
                    </w:rPr>
                    <w:t>最大储存量（t）</w:t>
                  </w:r>
                </w:p>
              </w:tc>
              <w:tc>
                <w:tcPr>
                  <w:tcW w:w="982" w:type="dxa"/>
                  <w:tcBorders>
                    <w:left w:val="single" w:color="auto" w:sz="4" w:space="0"/>
                  </w:tcBorders>
                  <w:vAlign w:val="center"/>
                </w:tcPr>
                <w:p>
                  <w:pPr>
                    <w:jc w:val="center"/>
                    <w:rPr>
                      <w:b/>
                      <w:bCs/>
                      <w:szCs w:val="21"/>
                    </w:rPr>
                  </w:pPr>
                  <w:r>
                    <w:rPr>
                      <w:b/>
                      <w:bCs/>
                      <w:szCs w:val="21"/>
                    </w:rPr>
                    <w:t>临界量（t）</w:t>
                  </w:r>
                </w:p>
              </w:tc>
              <w:tc>
                <w:tcPr>
                  <w:tcW w:w="673" w:type="dxa"/>
                  <w:tcBorders>
                    <w:left w:val="single" w:color="auto" w:sz="4" w:space="0"/>
                  </w:tcBorders>
                  <w:vAlign w:val="center"/>
                </w:tcPr>
                <w:p>
                  <w:pPr>
                    <w:jc w:val="center"/>
                    <w:rPr>
                      <w:b/>
                      <w:bCs/>
                      <w:szCs w:val="21"/>
                    </w:rPr>
                  </w:pPr>
                  <w:r>
                    <w:rPr>
                      <w:rFonts w:hint="eastAsia" w:hAnsi="宋体"/>
                      <w:b/>
                      <w:position w:val="-30"/>
                      <w:szCs w:val="21"/>
                    </w:rPr>
                    <w:object>
                      <v:shape id="_x0000_i1028" o:spt="75" type="#_x0000_t75" style="height:35.15pt;width:17.85pt;" o:ole="t" filled="f" coordsize="21600,21600">
                        <v:path/>
                        <v:fill on="f" focussize="0,0"/>
                        <v:stroke/>
                        <v:imagedata r:id="rId22" o:title=""/>
                        <o:lock v:ext="edit" aspectratio="t"/>
                        <w10:wrap type="none"/>
                        <w10:anchorlock/>
                      </v:shape>
                      <o:OLEObject Type="Embed" ProgID="Equation.3" ShapeID="_x0000_i1028" DrawAspect="Content" ObjectID="_1468075728" r:id="rId21">
                        <o:LockedField>false</o:LockedField>
                      </o:OLEObject>
                    </w:object>
                  </w:r>
                </w:p>
              </w:tc>
              <w:tc>
                <w:tcPr>
                  <w:tcW w:w="3448" w:type="dxa"/>
                  <w:tcBorders>
                    <w:left w:val="single" w:color="auto" w:sz="4" w:space="0"/>
                  </w:tcBorders>
                  <w:vAlign w:val="center"/>
                </w:tcPr>
                <w:p>
                  <w:pPr>
                    <w:jc w:val="center"/>
                    <w:rPr>
                      <w:b/>
                      <w:bCs/>
                      <w:szCs w:val="21"/>
                    </w:rPr>
                  </w:pPr>
                  <w:r>
                    <w:rPr>
                      <w:b/>
                      <w:bCs/>
                      <w:szCs w:val="21"/>
                    </w:rPr>
                    <w:t>临界量参考依据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2" w:type="dxa"/>
                  <w:vAlign w:val="center"/>
                </w:tcPr>
                <w:p>
                  <w:pPr>
                    <w:jc w:val="center"/>
                    <w:rPr>
                      <w:szCs w:val="21"/>
                    </w:rPr>
                  </w:pPr>
                  <w:r>
                    <w:rPr>
                      <w:szCs w:val="21"/>
                    </w:rPr>
                    <w:t>1</w:t>
                  </w:r>
                </w:p>
              </w:tc>
              <w:tc>
                <w:tcPr>
                  <w:tcW w:w="895"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润滑油</w:t>
                  </w:r>
                </w:p>
              </w:tc>
              <w:tc>
                <w:tcPr>
                  <w:tcW w:w="708" w:type="dxa"/>
                  <w:shd w:val="clear" w:color="auto" w:fill="auto"/>
                  <w:vAlign w:val="center"/>
                </w:tcPr>
                <w:p>
                  <w:pPr>
                    <w:pStyle w:val="57"/>
                    <w:rPr>
                      <w:rFonts w:ascii="Times New Roman" w:hAnsi="Times New Roman" w:eastAsia="宋体" w:cs="Times New Roman"/>
                      <w:color w:val="000000"/>
                      <w:kern w:val="2"/>
                      <w:sz w:val="21"/>
                      <w:szCs w:val="21"/>
                      <w:lang w:val="en-US" w:eastAsia="zh-CN" w:bidi="ar-SA"/>
                    </w:rPr>
                  </w:pPr>
                  <w:r>
                    <w:rPr>
                      <w:rFonts w:hint="eastAsia" w:ascii="Times New Roman" w:hAnsi="Times New Roman" w:eastAsia="宋体"/>
                      <w:color w:val="000000"/>
                      <w:sz w:val="21"/>
                      <w:szCs w:val="21"/>
                    </w:rPr>
                    <w:t>原料仓库</w:t>
                  </w:r>
                </w:p>
              </w:tc>
              <w:tc>
                <w:tcPr>
                  <w:tcW w:w="1173" w:type="dxa"/>
                  <w:tcBorders>
                    <w:right w:val="single" w:color="auto" w:sz="4" w:space="0"/>
                  </w:tcBorders>
                  <w:shd w:val="clear" w:color="auto" w:fill="auto"/>
                  <w:vAlign w:val="center"/>
                </w:tcPr>
                <w:p>
                  <w:pPr>
                    <w:ind w:left="-113" w:leftChars="0" w:right="-113"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Cs w:val="21"/>
                      <w:lang w:val="en-US" w:eastAsia="zh-CN"/>
                    </w:rPr>
                    <w:t>0.1</w:t>
                  </w:r>
                </w:p>
              </w:tc>
              <w:tc>
                <w:tcPr>
                  <w:tcW w:w="982" w:type="dxa"/>
                  <w:tcBorders>
                    <w:left w:val="single" w:color="auto" w:sz="4" w:space="0"/>
                  </w:tcBorders>
                  <w:shd w:val="clear" w:color="auto" w:fill="auto"/>
                  <w:vAlign w:val="center"/>
                </w:tcPr>
                <w:p>
                  <w:pPr>
                    <w:pStyle w:val="65"/>
                    <w:jc w:val="center"/>
                    <w:rPr>
                      <w:rFonts w:hint="default" w:ascii="Times New Roman" w:hAnsi="Times New Roman" w:eastAsia="宋体" w:cs="Times New Roman"/>
                      <w:kern w:val="0"/>
                      <w:sz w:val="21"/>
                      <w:szCs w:val="21"/>
                      <w:lang w:val="en-US" w:eastAsia="zh-CN" w:bidi="ar-SA"/>
                    </w:rPr>
                  </w:pPr>
                  <w:r>
                    <w:rPr>
                      <w:rFonts w:hint="eastAsia" w:ascii="Times New Roman" w:eastAsia="宋体"/>
                      <w:sz w:val="21"/>
                      <w:szCs w:val="21"/>
                      <w:lang w:val="en-US" w:eastAsia="zh-CN"/>
                    </w:rPr>
                    <w:t>2500</w:t>
                  </w:r>
                </w:p>
              </w:tc>
              <w:tc>
                <w:tcPr>
                  <w:tcW w:w="673" w:type="dxa"/>
                  <w:tcBorders>
                    <w:left w:val="single" w:color="auto" w:sz="4" w:space="0"/>
                  </w:tcBorders>
                  <w:shd w:val="clear" w:color="auto" w:fill="auto"/>
                  <w:vAlign w:val="center"/>
                </w:tcPr>
                <w:p>
                  <w:pPr>
                    <w:ind w:left="-113" w:leftChars="0" w:right="-113" w:rightChars="0"/>
                    <w:jc w:val="center"/>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0.000</w:t>
                  </w:r>
                  <w:r>
                    <w:rPr>
                      <w:rFonts w:hint="eastAsia" w:cs="Times New Roman"/>
                      <w:color w:val="000000"/>
                      <w:szCs w:val="21"/>
                      <w:lang w:val="en-US" w:eastAsia="zh-CN"/>
                    </w:rPr>
                    <w:t>0</w:t>
                  </w:r>
                  <w:r>
                    <w:rPr>
                      <w:rFonts w:hint="eastAsia" w:ascii="Times New Roman" w:hAnsi="Times New Roman" w:eastAsia="宋体" w:cs="Times New Roman"/>
                      <w:color w:val="000000"/>
                      <w:szCs w:val="21"/>
                      <w:lang w:val="en-US" w:eastAsia="zh-CN"/>
                    </w:rPr>
                    <w:t xml:space="preserve">4 </w:t>
                  </w:r>
                </w:p>
              </w:tc>
              <w:tc>
                <w:tcPr>
                  <w:tcW w:w="3448" w:type="dxa"/>
                  <w:vMerge w:val="restart"/>
                  <w:tcBorders>
                    <w:left w:val="single" w:color="auto" w:sz="4" w:space="0"/>
                  </w:tcBorders>
                  <w:vAlign w:val="center"/>
                </w:tcPr>
                <w:p>
                  <w:pPr>
                    <w:jc w:val="center"/>
                    <w:rPr>
                      <w:szCs w:val="21"/>
                    </w:rPr>
                  </w:pPr>
                  <w:r>
                    <w:rPr>
                      <w:rFonts w:hint="eastAsia"/>
                      <w:szCs w:val="21"/>
                    </w:rPr>
                    <w:t>《建设项目环境风险评价技术导则》（HJ169-2018）附录B</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512" w:type="dxa"/>
                  <w:vAlign w:val="center"/>
                </w:tcPr>
                <w:p>
                  <w:pPr>
                    <w:jc w:val="center"/>
                    <w:rPr>
                      <w:rFonts w:hint="eastAsia" w:eastAsia="宋体"/>
                      <w:szCs w:val="21"/>
                      <w:lang w:val="en-US" w:eastAsia="zh-CN"/>
                    </w:rPr>
                  </w:pPr>
                  <w:r>
                    <w:rPr>
                      <w:rFonts w:hint="eastAsia"/>
                      <w:szCs w:val="21"/>
                      <w:lang w:val="en-US" w:eastAsia="zh-CN"/>
                    </w:rPr>
                    <w:t>2</w:t>
                  </w:r>
                </w:p>
              </w:tc>
              <w:tc>
                <w:tcPr>
                  <w:tcW w:w="895" w:type="dxa"/>
                  <w:shd w:val="clear" w:color="auto" w:fill="auto"/>
                  <w:vAlign w:val="center"/>
                </w:tcPr>
                <w:p>
                  <w:pPr>
                    <w:jc w:val="center"/>
                    <w:rPr>
                      <w:rFonts w:hint="default"/>
                      <w:szCs w:val="21"/>
                      <w:lang w:val="en-US" w:eastAsia="zh-CN"/>
                    </w:rPr>
                  </w:pPr>
                  <w:r>
                    <w:rPr>
                      <w:rFonts w:hint="eastAsia"/>
                      <w:szCs w:val="21"/>
                      <w:lang w:val="en-US" w:eastAsia="zh-CN"/>
                    </w:rPr>
                    <w:t>危险废物</w:t>
                  </w:r>
                </w:p>
              </w:tc>
              <w:tc>
                <w:tcPr>
                  <w:tcW w:w="708" w:type="dxa"/>
                  <w:shd w:val="clear" w:color="auto" w:fill="auto"/>
                  <w:vAlign w:val="center"/>
                </w:tcPr>
                <w:p>
                  <w:pPr>
                    <w:pStyle w:val="57"/>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lang w:val="en-US" w:eastAsia="zh-CN"/>
                    </w:rPr>
                    <w:t>危废仓库</w:t>
                  </w:r>
                </w:p>
              </w:tc>
              <w:tc>
                <w:tcPr>
                  <w:tcW w:w="1173" w:type="dxa"/>
                  <w:tcBorders>
                    <w:right w:val="single" w:color="auto" w:sz="4" w:space="0"/>
                  </w:tcBorders>
                  <w:shd w:val="clear" w:color="auto" w:fill="auto"/>
                  <w:vAlign w:val="center"/>
                </w:tcPr>
                <w:p>
                  <w:pPr>
                    <w:ind w:left="-113" w:leftChars="0" w:right="-113" w:rightChars="0"/>
                    <w:jc w:val="center"/>
                    <w:rPr>
                      <w:rFonts w:hint="default"/>
                      <w:color w:val="000000"/>
                      <w:szCs w:val="21"/>
                      <w:lang w:val="en-US" w:eastAsia="zh-CN"/>
                    </w:rPr>
                  </w:pPr>
                  <w:r>
                    <w:rPr>
                      <w:rFonts w:hint="eastAsia"/>
                      <w:color w:val="000000"/>
                      <w:szCs w:val="21"/>
                      <w:lang w:val="en-US" w:eastAsia="zh-CN"/>
                    </w:rPr>
                    <w:t>0.52</w:t>
                  </w:r>
                </w:p>
              </w:tc>
              <w:tc>
                <w:tcPr>
                  <w:tcW w:w="982" w:type="dxa"/>
                  <w:tcBorders>
                    <w:left w:val="single" w:color="auto" w:sz="4" w:space="0"/>
                  </w:tcBorders>
                  <w:shd w:val="clear" w:color="auto" w:fill="auto"/>
                  <w:vAlign w:val="center"/>
                </w:tcPr>
                <w:p>
                  <w:pPr>
                    <w:pStyle w:val="65"/>
                    <w:jc w:val="center"/>
                    <w:rPr>
                      <w:rFonts w:hint="default" w:ascii="Times New Roman" w:eastAsia="宋体"/>
                      <w:sz w:val="21"/>
                      <w:szCs w:val="21"/>
                      <w:lang w:val="en-US" w:eastAsia="zh-CN"/>
                    </w:rPr>
                  </w:pPr>
                  <w:r>
                    <w:rPr>
                      <w:rFonts w:hint="eastAsia" w:ascii="Times New Roman" w:eastAsia="宋体"/>
                      <w:sz w:val="21"/>
                      <w:szCs w:val="21"/>
                      <w:lang w:val="en-US" w:eastAsia="zh-CN"/>
                    </w:rPr>
                    <w:t>50</w:t>
                  </w:r>
                </w:p>
              </w:tc>
              <w:tc>
                <w:tcPr>
                  <w:tcW w:w="673" w:type="dxa"/>
                  <w:tcBorders>
                    <w:left w:val="single" w:color="auto" w:sz="4" w:space="0"/>
                  </w:tcBorders>
                  <w:shd w:val="clear" w:color="auto" w:fill="auto"/>
                  <w:vAlign w:val="center"/>
                </w:tcPr>
                <w:p>
                  <w:pPr>
                    <w:ind w:left="-113" w:leftChars="0" w:right="-113" w:rightChars="0"/>
                    <w:jc w:val="center"/>
                    <w:rPr>
                      <w:rFonts w:hint="default" w:ascii="Times New Roman" w:hAnsi="Times New Roman" w:eastAsia="宋体" w:cs="Times New Roman"/>
                      <w:color w:val="000000"/>
                      <w:szCs w:val="21"/>
                      <w:lang w:val="en-US" w:eastAsia="zh-CN"/>
                    </w:rPr>
                  </w:pPr>
                  <w:r>
                    <w:rPr>
                      <w:rFonts w:hint="eastAsia" w:cs="Times New Roman"/>
                      <w:color w:val="000000"/>
                      <w:szCs w:val="21"/>
                      <w:lang w:val="en-US" w:eastAsia="zh-CN"/>
                    </w:rPr>
                    <w:t>0.0104</w:t>
                  </w:r>
                </w:p>
              </w:tc>
              <w:tc>
                <w:tcPr>
                  <w:tcW w:w="3448" w:type="dxa"/>
                  <w:vMerge w:val="continue"/>
                  <w:tcBorders>
                    <w:left w:val="single" w:color="auto" w:sz="4" w:space="0"/>
                  </w:tcBorders>
                  <w:vAlign w:val="center"/>
                </w:tcPr>
                <w:p>
                  <w:pPr>
                    <w:jc w:val="center"/>
                    <w:rPr>
                      <w:rFonts w:hint="eastAsia"/>
                      <w:szCs w:val="21"/>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2115" w:type="dxa"/>
                  <w:gridSpan w:val="3"/>
                  <w:vAlign w:val="center"/>
                </w:tcPr>
                <w:p>
                  <w:pPr>
                    <w:jc w:val="center"/>
                    <w:rPr>
                      <w:rFonts w:ascii="仿宋_GB2312" w:hAnsi="Arial Black" w:eastAsia="仿宋_GB2312"/>
                      <w:szCs w:val="21"/>
                    </w:rPr>
                  </w:pPr>
                  <w:r>
                    <w:rPr>
                      <w:rFonts w:hint="eastAsia"/>
                      <w:szCs w:val="21"/>
                    </w:rPr>
                    <w:t>合计（</w:t>
                  </w:r>
                  <w:r>
                    <w:rPr>
                      <w:rFonts w:hint="eastAsia"/>
                      <w:position w:val="-30"/>
                      <w:szCs w:val="21"/>
                    </w:rPr>
                    <w:object>
                      <v:shape id="_x0000_i1029" o:spt="75" type="#_x0000_t75" style="height:35.15pt;width:39.15pt;" o:ole="t" filled="f" coordsize="21600,21600">
                        <v:path/>
                        <v:fill on="f" focussize="0,0"/>
                        <v:stroke/>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szCs w:val="21"/>
                    </w:rPr>
                    <w:t>）</w:t>
                  </w:r>
                </w:p>
              </w:tc>
              <w:tc>
                <w:tcPr>
                  <w:tcW w:w="1173" w:type="dxa"/>
                  <w:tcBorders>
                    <w:right w:val="single" w:color="auto" w:sz="4" w:space="0"/>
                  </w:tcBorders>
                  <w:vAlign w:val="center"/>
                </w:tcPr>
                <w:p>
                  <w:pPr>
                    <w:adjustRightInd w:val="0"/>
                    <w:snapToGrid w:val="0"/>
                    <w:jc w:val="center"/>
                    <w:rPr>
                      <w:rFonts w:hAnsi="宋体" w:cs="宋体"/>
                      <w:szCs w:val="21"/>
                    </w:rPr>
                  </w:pPr>
                  <w:r>
                    <w:rPr>
                      <w:rFonts w:hint="eastAsia" w:hAnsi="宋体" w:cs="宋体"/>
                      <w:szCs w:val="21"/>
                    </w:rPr>
                    <w:t>-</w:t>
                  </w:r>
                </w:p>
              </w:tc>
              <w:tc>
                <w:tcPr>
                  <w:tcW w:w="982" w:type="dxa"/>
                  <w:tcBorders>
                    <w:left w:val="single" w:color="auto" w:sz="4" w:space="0"/>
                  </w:tcBorders>
                  <w:vAlign w:val="center"/>
                </w:tcPr>
                <w:p>
                  <w:pPr>
                    <w:adjustRightInd w:val="0"/>
                    <w:snapToGrid w:val="0"/>
                    <w:jc w:val="center"/>
                    <w:rPr>
                      <w:rFonts w:hAnsi="宋体" w:eastAsia="仿宋_GB2312"/>
                      <w:szCs w:val="21"/>
                    </w:rPr>
                  </w:pPr>
                  <w:r>
                    <w:rPr>
                      <w:rFonts w:hint="eastAsia" w:hAnsi="宋体" w:eastAsia="仿宋_GB2312"/>
                      <w:szCs w:val="21"/>
                    </w:rPr>
                    <w:t>-</w:t>
                  </w:r>
                </w:p>
              </w:tc>
              <w:tc>
                <w:tcPr>
                  <w:tcW w:w="673" w:type="dxa"/>
                  <w:tcBorders>
                    <w:left w:val="single" w:color="auto" w:sz="4" w:space="0"/>
                  </w:tcBorders>
                  <w:vAlign w:val="center"/>
                </w:tcPr>
                <w:p>
                  <w:pPr>
                    <w:ind w:left="-113" w:right="-113"/>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0.0</w:t>
                  </w:r>
                  <w:r>
                    <w:rPr>
                      <w:rFonts w:hint="eastAsia" w:cs="Times New Roman"/>
                      <w:color w:val="000000"/>
                      <w:szCs w:val="21"/>
                      <w:lang w:val="en-US" w:eastAsia="zh-CN"/>
                    </w:rPr>
                    <w:t>1</w:t>
                  </w:r>
                  <w:r>
                    <w:rPr>
                      <w:rFonts w:hint="eastAsia" w:ascii="Times New Roman" w:hAnsi="Times New Roman" w:eastAsia="宋体" w:cs="Times New Roman"/>
                      <w:color w:val="000000"/>
                      <w:szCs w:val="21"/>
                      <w:lang w:val="en-US" w:eastAsia="zh-CN"/>
                    </w:rPr>
                    <w:t>0</w:t>
                  </w:r>
                  <w:r>
                    <w:rPr>
                      <w:rFonts w:hint="eastAsia" w:cs="Times New Roman"/>
                      <w:color w:val="000000"/>
                      <w:szCs w:val="21"/>
                      <w:lang w:val="en-US" w:eastAsia="zh-CN"/>
                    </w:rPr>
                    <w:t>4</w:t>
                  </w:r>
                </w:p>
              </w:tc>
              <w:tc>
                <w:tcPr>
                  <w:tcW w:w="3448" w:type="dxa"/>
                  <w:tcBorders>
                    <w:left w:val="single" w:color="auto" w:sz="4" w:space="0"/>
                  </w:tcBorders>
                  <w:vAlign w:val="center"/>
                </w:tcPr>
                <w:p>
                  <w:pPr>
                    <w:adjustRightInd w:val="0"/>
                    <w:snapToGrid w:val="0"/>
                    <w:jc w:val="center"/>
                    <w:rPr>
                      <w:szCs w:val="21"/>
                    </w:rPr>
                  </w:pPr>
                  <w:r>
                    <w:rPr>
                      <w:rFonts w:hint="eastAsia"/>
                      <w:szCs w:val="21"/>
                    </w:rPr>
                    <w:t>-</w:t>
                  </w:r>
                </w:p>
              </w:tc>
            </w:tr>
          </w:tbl>
          <w:p>
            <w:pPr>
              <w:pStyle w:val="13"/>
              <w:adjustRightInd w:val="0"/>
              <w:spacing w:before="0" w:after="0" w:line="240" w:lineRule="auto"/>
              <w:ind w:right="0" w:firstLine="420" w:firstLineChars="200"/>
              <w:rPr>
                <w:rFonts w:cs="宋体"/>
                <w:sz w:val="21"/>
                <w:szCs w:val="21"/>
              </w:rPr>
            </w:pPr>
          </w:p>
          <w:p>
            <w:pPr>
              <w:pStyle w:val="13"/>
              <w:adjustRightInd w:val="0"/>
              <w:spacing w:before="0" w:after="0" w:line="360" w:lineRule="auto"/>
              <w:ind w:right="0"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经计算，本项目涉及</w:t>
            </w:r>
            <w:r>
              <w:rPr>
                <w:rFonts w:hint="eastAsia" w:ascii="Times New Roman" w:hAnsi="Times New Roman" w:eastAsia="宋体" w:cs="Times New Roman"/>
                <w:sz w:val="24"/>
                <w:szCs w:val="24"/>
                <w:lang w:val="en-US" w:eastAsia="zh-CN"/>
              </w:rPr>
              <w:t>及关联</w:t>
            </w:r>
            <w:r>
              <w:rPr>
                <w:rFonts w:hint="eastAsia" w:ascii="Times New Roman" w:hAnsi="Times New Roman" w:eastAsia="宋体" w:cs="Times New Roman"/>
                <w:sz w:val="24"/>
                <w:szCs w:val="24"/>
              </w:rPr>
              <w:t>的风险物质Q=0.0</w:t>
            </w:r>
            <w:r>
              <w:rPr>
                <w:rFonts w:hint="eastAsia" w:cs="Times New Roman"/>
                <w:sz w:val="24"/>
                <w:szCs w:val="24"/>
                <w:lang w:val="en-US" w:eastAsia="zh-CN"/>
              </w:rPr>
              <w:t>104</w:t>
            </w:r>
            <w:r>
              <w:rPr>
                <w:rFonts w:hint="eastAsia" w:ascii="Times New Roman" w:hAnsi="Times New Roman" w:eastAsia="宋体" w:cs="Times New Roman"/>
                <w:sz w:val="24"/>
                <w:szCs w:val="24"/>
              </w:rPr>
              <w:t>&lt;1，环境风险潜势为</w:t>
            </w:r>
            <w:r>
              <w:rPr>
                <w:rFonts w:hint="default" w:ascii="Times New Roman" w:hAnsi="Times New Roman" w:eastAsia="宋体" w:cs="Times New Roman"/>
                <w:sz w:val="24"/>
                <w:szCs w:val="24"/>
              </w:rPr>
              <w:t>Ⅰ</w:t>
            </w:r>
            <w:r>
              <w:rPr>
                <w:rFonts w:hint="eastAsia" w:ascii="Times New Roman" w:hAnsi="Times New Roman" w:eastAsia="宋体" w:cs="Times New Roman"/>
                <w:sz w:val="24"/>
                <w:szCs w:val="24"/>
              </w:rPr>
              <w:t>。</w:t>
            </w:r>
          </w:p>
          <w:p>
            <w:pPr>
              <w:spacing w:line="360" w:lineRule="auto"/>
              <w:jc w:val="center"/>
              <w:rPr>
                <w:rFonts w:hint="eastAsia" w:ascii="Times New Roman" w:hAnsi="Times New Roman" w:eastAsia="宋体" w:cs="宋体"/>
                <w:b/>
                <w:sz w:val="24"/>
                <w:szCs w:val="24"/>
              </w:rPr>
            </w:pPr>
            <w:r>
              <w:rPr>
                <w:rFonts w:hint="eastAsia" w:ascii="Times New Roman" w:hAnsi="Times New Roman" w:eastAsia="宋体" w:cs="宋体"/>
                <w:b/>
                <w:sz w:val="24"/>
                <w:szCs w:val="24"/>
              </w:rPr>
              <w:t>表4</w:t>
            </w:r>
            <w:r>
              <w:rPr>
                <w:rFonts w:hint="eastAsia" w:ascii="Times New Roman" w:hAnsi="Times New Roman" w:eastAsia="宋体" w:cs="宋体"/>
                <w:b/>
                <w:sz w:val="24"/>
                <w:szCs w:val="24"/>
                <w:lang w:val="en-US" w:eastAsia="zh-CN"/>
              </w:rPr>
              <w:t>-</w:t>
            </w:r>
            <w:r>
              <w:rPr>
                <w:rFonts w:hint="eastAsia" w:cs="宋体"/>
                <w:b/>
                <w:sz w:val="24"/>
                <w:szCs w:val="24"/>
                <w:lang w:val="en-US" w:eastAsia="zh-CN"/>
              </w:rPr>
              <w:t>25</w:t>
            </w:r>
            <w:r>
              <w:rPr>
                <w:rFonts w:hint="eastAsia" w:ascii="Times New Roman" w:hAnsi="Times New Roman" w:eastAsia="宋体" w:cs="宋体"/>
                <w:b/>
                <w:sz w:val="24"/>
                <w:szCs w:val="24"/>
              </w:rPr>
              <w:t xml:space="preserve">   环境风险评价工作级别判定标准</w:t>
            </w:r>
          </w:p>
          <w:tbl>
            <w:tblPr>
              <w:tblStyle w:val="30"/>
              <w:tblW w:w="83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1677"/>
              <w:gridCol w:w="1678"/>
              <w:gridCol w:w="1678"/>
              <w:gridCol w:w="16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77" w:type="dxa"/>
                  <w:vAlign w:val="center"/>
                </w:tcPr>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环境风险潜势</w:t>
                  </w:r>
                </w:p>
              </w:tc>
              <w:tc>
                <w:tcPr>
                  <w:tcW w:w="1677"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4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IV</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4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IV</w:t>
                  </w:r>
                  <w:r>
                    <w:rPr>
                      <w:rFonts w:hint="eastAsia" w:ascii="Times New Roman" w:hAnsi="Times New Roman" w:eastAsia="宋体" w:cs="Times New Roman"/>
                      <w:szCs w:val="21"/>
                      <w:lang w:val="en-US" w:eastAsia="zh-CN"/>
                    </w:rPr>
                    <w:fldChar w:fldCharType="end"/>
                  </w:r>
                  <w:r>
                    <w:rPr>
                      <w:rFonts w:hint="eastAsia" w:ascii="Times New Roman" w:hAnsi="Times New Roman" w:eastAsia="宋体" w:cs="Times New Roman"/>
                      <w:szCs w:val="21"/>
                      <w:lang w:val="en-US" w:eastAsia="zh-CN"/>
                    </w:rPr>
                    <w:t>+</w:t>
                  </w:r>
                </w:p>
              </w:tc>
              <w:tc>
                <w:tcPr>
                  <w:tcW w:w="1678"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3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III</w:t>
                  </w:r>
                  <w:r>
                    <w:rPr>
                      <w:rFonts w:hint="eastAsia" w:ascii="Times New Roman" w:hAnsi="Times New Roman" w:eastAsia="宋体" w:cs="Times New Roman"/>
                      <w:szCs w:val="21"/>
                      <w:lang w:val="en-US" w:eastAsia="zh-CN"/>
                    </w:rPr>
                    <w:fldChar w:fldCharType="end"/>
                  </w:r>
                </w:p>
              </w:tc>
              <w:tc>
                <w:tcPr>
                  <w:tcW w:w="1678"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2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II</w:t>
                  </w:r>
                  <w:r>
                    <w:rPr>
                      <w:rFonts w:hint="eastAsia" w:ascii="Times New Roman" w:hAnsi="Times New Roman" w:eastAsia="宋体" w:cs="Times New Roman"/>
                      <w:szCs w:val="21"/>
                      <w:lang w:val="en-US" w:eastAsia="zh-CN"/>
                    </w:rPr>
                    <w:fldChar w:fldCharType="end"/>
                  </w:r>
                </w:p>
              </w:tc>
              <w:tc>
                <w:tcPr>
                  <w:tcW w:w="1679"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fldChar w:fldCharType="begin"/>
                  </w:r>
                  <w:r>
                    <w:rPr>
                      <w:rFonts w:hint="eastAsia" w:ascii="Times New Roman" w:hAnsi="Times New Roman" w:eastAsia="宋体" w:cs="Times New Roman"/>
                      <w:szCs w:val="21"/>
                      <w:lang w:val="en-US" w:eastAsia="zh-CN"/>
                    </w:rPr>
                    <w:instrText xml:space="preserve"> = 1 \* ROMAN </w:instrText>
                  </w:r>
                  <w:r>
                    <w:rPr>
                      <w:rFonts w:hint="eastAsia" w:ascii="Times New Roman" w:hAnsi="Times New Roman" w:eastAsia="宋体" w:cs="Times New Roman"/>
                      <w:szCs w:val="21"/>
                      <w:lang w:val="en-US" w:eastAsia="zh-CN"/>
                    </w:rPr>
                    <w:fldChar w:fldCharType="separate"/>
                  </w:r>
                  <w:r>
                    <w:rPr>
                      <w:rFonts w:hint="eastAsia" w:ascii="Times New Roman" w:hAnsi="Times New Roman" w:eastAsia="宋体" w:cs="Times New Roman"/>
                      <w:szCs w:val="21"/>
                      <w:lang w:val="en-US" w:eastAsia="zh-CN"/>
                    </w:rPr>
                    <w:t>I</w:t>
                  </w:r>
                  <w:r>
                    <w:rPr>
                      <w:rFonts w:hint="eastAsia" w:ascii="Times New Roman" w:hAnsi="Times New Roman" w:eastAsia="宋体" w:cs="Times New Roman"/>
                      <w:szCs w:val="21"/>
                      <w:lang w:val="en-US" w:eastAsia="zh-CN"/>
                    </w:rPr>
                    <w:fldChar w:fldCharType="end"/>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1677" w:type="dxa"/>
                  <w:vAlign w:val="center"/>
                </w:tcPr>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评价工作等级</w:t>
                  </w:r>
                </w:p>
              </w:tc>
              <w:tc>
                <w:tcPr>
                  <w:tcW w:w="1677"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一</w:t>
                  </w:r>
                </w:p>
              </w:tc>
              <w:tc>
                <w:tcPr>
                  <w:tcW w:w="1678"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二</w:t>
                  </w:r>
                </w:p>
              </w:tc>
              <w:tc>
                <w:tcPr>
                  <w:tcW w:w="1678"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三</w:t>
                  </w:r>
                </w:p>
              </w:tc>
              <w:tc>
                <w:tcPr>
                  <w:tcW w:w="1679" w:type="dxa"/>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简单分析</w:t>
                  </w:r>
                </w:p>
              </w:tc>
            </w:tr>
          </w:tbl>
          <w:p>
            <w:pPr>
              <w:adjustRightInd w:val="0"/>
              <w:snapToGrid w:val="0"/>
              <w:ind w:firstLine="361" w:firstLineChars="200"/>
              <w:rPr>
                <w:bCs/>
                <w:color w:val="auto"/>
                <w:kern w:val="0"/>
                <w:sz w:val="18"/>
                <w:szCs w:val="21"/>
              </w:rPr>
            </w:pPr>
            <w:r>
              <w:rPr>
                <w:rFonts w:hint="eastAsia"/>
                <w:b/>
                <w:color w:val="auto"/>
                <w:kern w:val="0"/>
                <w:sz w:val="18"/>
                <w:szCs w:val="21"/>
              </w:rPr>
              <w:t>注：</w:t>
            </w:r>
            <w:r>
              <w:rPr>
                <w:rFonts w:hint="eastAsia"/>
                <w:bCs/>
                <w:color w:val="auto"/>
                <w:kern w:val="0"/>
                <w:sz w:val="18"/>
                <w:szCs w:val="21"/>
              </w:rPr>
              <w:t>简单分析是相对于详细评价工作内容而言，在描述危险物质、环境影响途径、环境危害后果，风险防范措施等方面给出定性的说明。</w:t>
            </w:r>
          </w:p>
          <w:p>
            <w:pPr>
              <w:widowControl/>
              <w:spacing w:line="360" w:lineRule="auto"/>
              <w:ind w:firstLine="420" w:firstLineChars="200"/>
              <w:rPr>
                <w:rFonts w:hint="eastAsia"/>
                <w:bCs/>
                <w:color w:val="auto"/>
                <w:kern w:val="0"/>
              </w:rPr>
            </w:pPr>
          </w:p>
          <w:p>
            <w:pPr>
              <w:widowControl/>
              <w:spacing w:line="360" w:lineRule="auto"/>
              <w:ind w:firstLine="480" w:firstLineChars="200"/>
              <w:rPr>
                <w:sz w:val="24"/>
                <w:szCs w:val="32"/>
              </w:rPr>
            </w:pPr>
            <w:r>
              <w:rPr>
                <w:rFonts w:hint="eastAsia"/>
                <w:bCs/>
                <w:color w:val="auto"/>
                <w:kern w:val="0"/>
                <w:sz w:val="24"/>
                <w:szCs w:val="32"/>
              </w:rPr>
              <w:t>本项目环境风险潜势为I，根据《建设项目环境风险评价技术导则》（HJ169-2018）相关要求，对本项目评价内容进行简单分析</w:t>
            </w:r>
            <w:r>
              <w:rPr>
                <w:rFonts w:hint="eastAsia" w:ascii="宋体" w:hAnsi="宋体" w:cs="宋体"/>
                <w:color w:val="000000"/>
                <w:kern w:val="0"/>
                <w:sz w:val="24"/>
                <w:szCs w:val="24"/>
                <w:lang w:bidi="ar"/>
              </w:rPr>
              <w:t>。</w:t>
            </w:r>
          </w:p>
          <w:p>
            <w:pPr>
              <w:adjustRightInd w:val="0"/>
              <w:snapToGrid w:val="0"/>
              <w:spacing w:line="360" w:lineRule="auto"/>
              <w:ind w:firstLine="482" w:firstLineChars="200"/>
              <w:rPr>
                <w:rFonts w:hint="default" w:eastAsia="宋体"/>
                <w:b/>
                <w:bCs/>
                <w:color w:val="auto"/>
                <w:sz w:val="24"/>
                <w:szCs w:val="32"/>
                <w:lang w:val="en-US" w:eastAsia="zh-CN"/>
              </w:rPr>
            </w:pPr>
            <w:r>
              <w:rPr>
                <w:rFonts w:hint="eastAsia"/>
                <w:b/>
                <w:bCs/>
                <w:sz w:val="24"/>
                <w:szCs w:val="24"/>
                <w:lang w:val="en-US" w:eastAsia="zh-CN"/>
              </w:rPr>
              <w:t>2.</w:t>
            </w:r>
            <w:r>
              <w:rPr>
                <w:rFonts w:hint="eastAsia"/>
                <w:b/>
                <w:bCs/>
                <w:color w:val="auto"/>
                <w:sz w:val="24"/>
                <w:szCs w:val="32"/>
                <w:lang w:val="en-US" w:eastAsia="zh-CN"/>
              </w:rPr>
              <w:t>五个明确</w:t>
            </w:r>
          </w:p>
          <w:p>
            <w:pPr>
              <w:adjustRightInd w:val="0"/>
              <w:snapToGrid w:val="0"/>
              <w:spacing w:line="360" w:lineRule="auto"/>
              <w:ind w:firstLine="480" w:firstLineChars="200"/>
              <w:rPr>
                <w:color w:val="auto"/>
                <w:sz w:val="24"/>
                <w:szCs w:val="32"/>
              </w:rPr>
            </w:pPr>
            <w:r>
              <w:rPr>
                <w:rFonts w:hint="eastAsia" w:ascii="Times New Roman" w:hAnsi="Times New Roman" w:eastAsia="宋体" w:cs="Times New Roman"/>
                <w:color w:val="auto"/>
                <w:sz w:val="24"/>
                <w:szCs w:val="32"/>
                <w:lang w:val="en-US" w:eastAsia="zh-CN"/>
              </w:rPr>
              <w:t>根据《关于印发2024年省生态环境厅安全生产督导工作方案的通知》、《省安委会办公室 省生态环境厅 省应急管理厅 关于转发进一步加强环保设备设施安全生产工作的通知》（苏安办电〔2023〕1号）、《关于印发&lt;全省生态环境安全与应急管理“强基提能”三年行动计划&gt;的通知》（苏环发〔2023〕5号）、市生态环境局关于印发《南通市生态环境安全与应急管理“强基提能”三年行动实施方案》的通知（通环办〔2023〕160号），编制建设项目环评文件必须做到环境风险识别、典型事故情形、风险防范措施、应急管理制度和竣工验收内容“五个明确”。</w:t>
            </w:r>
          </w:p>
          <w:p>
            <w:pPr>
              <w:adjustRightInd w:val="0"/>
              <w:snapToGrid w:val="0"/>
              <w:spacing w:line="360" w:lineRule="auto"/>
              <w:ind w:firstLine="480" w:firstLineChars="200"/>
              <w:rPr>
                <w:color w:val="auto"/>
                <w:sz w:val="24"/>
                <w:szCs w:val="32"/>
              </w:rPr>
            </w:pPr>
            <w:r>
              <w:rPr>
                <w:rFonts w:hint="eastAsia"/>
                <w:color w:val="auto"/>
                <w:sz w:val="24"/>
                <w:szCs w:val="32"/>
                <w:lang w:eastAsia="zh-CN"/>
              </w:rPr>
              <w:t>（</w:t>
            </w:r>
            <w:r>
              <w:rPr>
                <w:rFonts w:hint="eastAsia"/>
                <w:color w:val="auto"/>
                <w:sz w:val="24"/>
                <w:szCs w:val="32"/>
                <w:lang w:val="en-US" w:eastAsia="zh-CN"/>
              </w:rPr>
              <w:t>1</w:t>
            </w:r>
            <w:r>
              <w:rPr>
                <w:rFonts w:hint="eastAsia"/>
                <w:color w:val="auto"/>
                <w:sz w:val="24"/>
                <w:szCs w:val="32"/>
                <w:lang w:eastAsia="zh-CN"/>
              </w:rPr>
              <w:t>）</w:t>
            </w:r>
            <w:r>
              <w:rPr>
                <w:color w:val="auto"/>
                <w:sz w:val="24"/>
                <w:szCs w:val="32"/>
              </w:rPr>
              <w:t xml:space="preserve">环境风险识别 </w:t>
            </w:r>
          </w:p>
          <w:p>
            <w:pPr>
              <w:adjustRightInd w:val="0"/>
              <w:snapToGrid w:val="0"/>
              <w:spacing w:line="360" w:lineRule="auto"/>
              <w:ind w:firstLine="480" w:firstLineChars="200"/>
              <w:rPr>
                <w:color w:val="auto"/>
                <w:sz w:val="24"/>
                <w:szCs w:val="32"/>
              </w:rPr>
            </w:pPr>
            <w:r>
              <w:rPr>
                <w:color w:val="auto"/>
                <w:sz w:val="24"/>
                <w:szCs w:val="32"/>
              </w:rPr>
              <w:t>本项目主要环境风险识别见下表：</w:t>
            </w:r>
          </w:p>
          <w:p>
            <w:pPr>
              <w:spacing w:line="276" w:lineRule="auto"/>
              <w:jc w:val="center"/>
              <w:rPr>
                <w:b/>
                <w:bCs/>
                <w:color w:val="auto"/>
                <w:sz w:val="24"/>
                <w:szCs w:val="32"/>
              </w:rPr>
            </w:pPr>
            <w:r>
              <w:rPr>
                <w:b/>
                <w:bCs/>
                <w:color w:val="auto"/>
                <w:sz w:val="24"/>
                <w:szCs w:val="32"/>
              </w:rPr>
              <w:t>表4-</w:t>
            </w:r>
            <w:r>
              <w:rPr>
                <w:rFonts w:hint="eastAsia"/>
                <w:b/>
                <w:bCs/>
                <w:color w:val="auto"/>
                <w:sz w:val="24"/>
                <w:szCs w:val="32"/>
                <w:lang w:val="en-US" w:eastAsia="zh-CN"/>
              </w:rPr>
              <w:t>26</w:t>
            </w:r>
            <w:r>
              <w:rPr>
                <w:b/>
                <w:bCs/>
                <w:color w:val="auto"/>
                <w:sz w:val="24"/>
                <w:szCs w:val="32"/>
              </w:rPr>
              <w:t xml:space="preserve"> 本项目涉及的主要危险物质环境风险识别</w:t>
            </w:r>
          </w:p>
          <w:tbl>
            <w:tblPr>
              <w:tblStyle w:val="30"/>
              <w:tblW w:w="8391"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2768"/>
              <w:gridCol w:w="42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8" w:type="dxa"/>
                  <w:noWrap w:val="0"/>
                  <w:vAlign w:val="center"/>
                </w:tcPr>
                <w:p>
                  <w:pPr>
                    <w:autoSpaceDE w:val="0"/>
                    <w:autoSpaceDN w:val="0"/>
                    <w:adjustRightInd w:val="0"/>
                    <w:snapToGrid w:val="0"/>
                    <w:jc w:val="center"/>
                    <w:rPr>
                      <w:b/>
                      <w:bCs/>
                      <w:color w:val="auto"/>
                      <w:szCs w:val="21"/>
                    </w:rPr>
                  </w:pPr>
                  <w:r>
                    <w:rPr>
                      <w:b/>
                      <w:bCs/>
                      <w:color w:val="auto"/>
                      <w:szCs w:val="21"/>
                    </w:rPr>
                    <w:t>风险单元</w:t>
                  </w:r>
                </w:p>
              </w:tc>
              <w:tc>
                <w:tcPr>
                  <w:tcW w:w="2768" w:type="dxa"/>
                  <w:noWrap w:val="0"/>
                  <w:vAlign w:val="center"/>
                </w:tcPr>
                <w:p>
                  <w:pPr>
                    <w:autoSpaceDE w:val="0"/>
                    <w:autoSpaceDN w:val="0"/>
                    <w:adjustRightInd w:val="0"/>
                    <w:snapToGrid w:val="0"/>
                    <w:jc w:val="center"/>
                    <w:rPr>
                      <w:b/>
                      <w:bCs/>
                      <w:color w:val="auto"/>
                      <w:szCs w:val="21"/>
                    </w:rPr>
                  </w:pPr>
                  <w:r>
                    <w:rPr>
                      <w:b/>
                      <w:bCs/>
                      <w:color w:val="auto"/>
                      <w:szCs w:val="21"/>
                    </w:rPr>
                    <w:t>涉及风险物质</w:t>
                  </w:r>
                </w:p>
              </w:tc>
              <w:tc>
                <w:tcPr>
                  <w:tcW w:w="4235" w:type="dxa"/>
                  <w:noWrap w:val="0"/>
                  <w:vAlign w:val="center"/>
                </w:tcPr>
                <w:p>
                  <w:pPr>
                    <w:autoSpaceDE w:val="0"/>
                    <w:autoSpaceDN w:val="0"/>
                    <w:adjustRightInd w:val="0"/>
                    <w:snapToGrid w:val="0"/>
                    <w:jc w:val="center"/>
                    <w:rPr>
                      <w:b/>
                      <w:bCs/>
                      <w:color w:val="auto"/>
                      <w:szCs w:val="21"/>
                    </w:rPr>
                  </w:pPr>
                  <w:r>
                    <w:rPr>
                      <w:b/>
                      <w:bCs/>
                      <w:color w:val="auto"/>
                      <w:szCs w:val="21"/>
                    </w:rPr>
                    <w:t>可能影响环境的途径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8" w:type="dxa"/>
                  <w:noWrap w:val="0"/>
                  <w:vAlign w:val="center"/>
                </w:tcPr>
                <w:p>
                  <w:pPr>
                    <w:autoSpaceDE w:val="0"/>
                    <w:autoSpaceDN w:val="0"/>
                    <w:adjustRightInd w:val="0"/>
                    <w:snapToGrid w:val="0"/>
                    <w:jc w:val="center"/>
                    <w:rPr>
                      <w:rFonts w:hint="default"/>
                      <w:bCs/>
                      <w:color w:val="auto"/>
                      <w:szCs w:val="21"/>
                      <w:lang w:val="en-US" w:eastAsia="zh-CN"/>
                    </w:rPr>
                  </w:pPr>
                  <w:r>
                    <w:rPr>
                      <w:rFonts w:hint="eastAsia"/>
                      <w:bCs/>
                      <w:color w:val="auto"/>
                      <w:szCs w:val="21"/>
                      <w:lang w:val="en-US" w:eastAsia="zh-CN"/>
                    </w:rPr>
                    <w:t>生产车间</w:t>
                  </w:r>
                </w:p>
              </w:tc>
              <w:tc>
                <w:tcPr>
                  <w:tcW w:w="2768" w:type="dxa"/>
                  <w:noWrap w:val="0"/>
                  <w:vAlign w:val="center"/>
                </w:tcPr>
                <w:p>
                  <w:pPr>
                    <w:autoSpaceDE w:val="0"/>
                    <w:autoSpaceDN w:val="0"/>
                    <w:adjustRightInd w:val="0"/>
                    <w:snapToGrid w:val="0"/>
                    <w:jc w:val="center"/>
                    <w:rPr>
                      <w:rFonts w:hint="default"/>
                      <w:color w:val="auto"/>
                      <w:szCs w:val="21"/>
                      <w:lang w:val="en-US" w:eastAsia="zh-CN"/>
                    </w:rPr>
                  </w:pPr>
                  <w:r>
                    <w:rPr>
                      <w:rFonts w:hint="eastAsia"/>
                      <w:color w:val="auto"/>
                      <w:szCs w:val="21"/>
                      <w:lang w:val="en-US" w:eastAsia="zh-CN"/>
                    </w:rPr>
                    <w:t>润滑油</w:t>
                  </w:r>
                </w:p>
              </w:tc>
              <w:tc>
                <w:tcPr>
                  <w:tcW w:w="4235" w:type="dxa"/>
                  <w:noWrap w:val="0"/>
                  <w:vAlign w:val="center"/>
                </w:tcPr>
                <w:p>
                  <w:pPr>
                    <w:autoSpaceDE w:val="0"/>
                    <w:autoSpaceDN w:val="0"/>
                    <w:adjustRightInd w:val="0"/>
                    <w:snapToGrid w:val="0"/>
                    <w:rPr>
                      <w:rFonts w:hint="eastAsia"/>
                      <w:bCs/>
                      <w:color w:val="auto"/>
                      <w:szCs w:val="21"/>
                    </w:rPr>
                  </w:pPr>
                  <w:r>
                    <w:rPr>
                      <w:rFonts w:hint="eastAsia"/>
                      <w:bCs/>
                      <w:color w:val="auto"/>
                      <w:szCs w:val="21"/>
                    </w:rPr>
                    <w:t>泄漏，及其泄漏后遇明火燃烧产生的伴生/次生污染物CO等的排放。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388" w:type="dxa"/>
                  <w:noWrap w:val="0"/>
                  <w:vAlign w:val="center"/>
                </w:tcPr>
                <w:p>
                  <w:pPr>
                    <w:autoSpaceDE w:val="0"/>
                    <w:autoSpaceDN w:val="0"/>
                    <w:adjustRightInd w:val="0"/>
                    <w:snapToGrid w:val="0"/>
                    <w:jc w:val="center"/>
                    <w:rPr>
                      <w:rFonts w:hint="default"/>
                      <w:bCs/>
                      <w:color w:val="auto"/>
                      <w:szCs w:val="21"/>
                      <w:lang w:val="en-US" w:eastAsia="zh-CN"/>
                    </w:rPr>
                  </w:pPr>
                  <w:r>
                    <w:rPr>
                      <w:rFonts w:hint="eastAsia"/>
                      <w:bCs/>
                      <w:color w:val="auto"/>
                      <w:szCs w:val="21"/>
                      <w:lang w:val="en-US" w:eastAsia="zh-CN"/>
                    </w:rPr>
                    <w:t>危废仓库</w:t>
                  </w:r>
                </w:p>
              </w:tc>
              <w:tc>
                <w:tcPr>
                  <w:tcW w:w="2768" w:type="dxa"/>
                  <w:noWrap w:val="0"/>
                  <w:vAlign w:val="center"/>
                </w:tcPr>
                <w:p>
                  <w:pPr>
                    <w:autoSpaceDE w:val="0"/>
                    <w:autoSpaceDN w:val="0"/>
                    <w:adjustRightInd w:val="0"/>
                    <w:snapToGrid w:val="0"/>
                    <w:jc w:val="center"/>
                    <w:rPr>
                      <w:rFonts w:hint="default"/>
                      <w:color w:val="auto"/>
                      <w:szCs w:val="21"/>
                      <w:lang w:val="en-US" w:eastAsia="zh-CN"/>
                    </w:rPr>
                  </w:pPr>
                  <w:r>
                    <w:rPr>
                      <w:rFonts w:hint="eastAsia"/>
                      <w:color w:val="auto"/>
                      <w:szCs w:val="21"/>
                      <w:lang w:val="en-US" w:eastAsia="zh-CN"/>
                    </w:rPr>
                    <w:t>危险废物</w:t>
                  </w:r>
                </w:p>
              </w:tc>
              <w:tc>
                <w:tcPr>
                  <w:tcW w:w="4235" w:type="dxa"/>
                  <w:noWrap w:val="0"/>
                  <w:vAlign w:val="center"/>
                </w:tcPr>
                <w:p>
                  <w:pPr>
                    <w:autoSpaceDE w:val="0"/>
                    <w:autoSpaceDN w:val="0"/>
                    <w:adjustRightInd w:val="0"/>
                    <w:snapToGrid w:val="0"/>
                    <w:rPr>
                      <w:rFonts w:hint="eastAsia"/>
                      <w:bCs/>
                      <w:color w:val="auto"/>
                      <w:szCs w:val="21"/>
                    </w:rPr>
                  </w:pPr>
                  <w:r>
                    <w:rPr>
                      <w:rFonts w:hint="eastAsia"/>
                      <w:bCs/>
                      <w:color w:val="auto"/>
                      <w:szCs w:val="21"/>
                    </w:rPr>
                    <w:t>泄漏，及其泄漏后遇明火燃烧产生的伴生/次生污染物CO等的排放。</w:t>
                  </w:r>
                </w:p>
              </w:tc>
            </w:tr>
          </w:tbl>
          <w:p>
            <w:pPr>
              <w:adjustRightInd w:val="0"/>
              <w:snapToGrid w:val="0"/>
              <w:spacing w:line="360" w:lineRule="auto"/>
              <w:ind w:firstLine="422" w:firstLineChars="200"/>
              <w:rPr>
                <w:b/>
                <w:bCs/>
                <w:color w:val="auto"/>
              </w:rPr>
            </w:pP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（2）典型事故分析 </w:t>
            </w:r>
          </w:p>
          <w:p>
            <w:pPr>
              <w:adjustRightInd w:val="0"/>
              <w:snapToGrid w:val="0"/>
              <w:spacing w:line="360" w:lineRule="auto"/>
              <w:ind w:firstLine="480" w:firstLineChars="200"/>
              <w:rPr>
                <w:color w:val="auto"/>
                <w:sz w:val="24"/>
                <w:szCs w:val="24"/>
              </w:rPr>
            </w:pPr>
            <w:r>
              <w:rPr>
                <w:color w:val="auto"/>
                <w:sz w:val="24"/>
                <w:szCs w:val="24"/>
              </w:rPr>
              <w:t>经识别，本项目涉及的主要风险物质为</w:t>
            </w:r>
            <w:r>
              <w:rPr>
                <w:rFonts w:hint="eastAsia"/>
                <w:color w:val="auto"/>
                <w:sz w:val="24"/>
                <w:szCs w:val="24"/>
                <w:lang w:val="en-US" w:eastAsia="zh-CN"/>
              </w:rPr>
              <w:t>润滑油、危险废物</w:t>
            </w:r>
            <w:r>
              <w:rPr>
                <w:color w:val="auto"/>
                <w:sz w:val="24"/>
                <w:szCs w:val="24"/>
              </w:rPr>
              <w:t>。本项目风险物质如发生泄漏或者厂内发生火灾事故，泄漏废液、消防废水等如拦截不当则可能会进入周围水环境中，会导致受纳水体环境中相应污染物浓度增高，造成水环境质量污染。另厂区发生泄漏以及火灾、爆炸事故也可能会导致有毒有害物质渗透入土壤中，造成土壤、地下水污染。</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（3）环境风险防范应急措施</w:t>
            </w:r>
          </w:p>
          <w:p>
            <w:pPr>
              <w:adjustRightInd w:val="0"/>
              <w:snapToGrid w:val="0"/>
              <w:spacing w:line="360" w:lineRule="auto"/>
              <w:ind w:firstLine="480" w:firstLineChars="200"/>
              <w:rPr>
                <w:rFonts w:ascii="Times New Roman" w:hAnsi="Times New Roman"/>
                <w:bCs/>
                <w:color w:val="auto"/>
                <w:kern w:val="0"/>
                <w:sz w:val="24"/>
                <w:szCs w:val="24"/>
                <w:highlight w:val="none"/>
              </w:rPr>
            </w:pPr>
            <w:r>
              <w:rPr>
                <w:rFonts w:ascii="Times New Roman" w:hAnsi="Times New Roman"/>
                <w:bCs/>
                <w:color w:val="auto"/>
                <w:kern w:val="0"/>
                <w:sz w:val="24"/>
                <w:szCs w:val="24"/>
                <w:highlight w:val="none"/>
              </w:rPr>
              <w:t>为减少</w:t>
            </w:r>
            <w:r>
              <w:rPr>
                <w:rFonts w:hint="eastAsia"/>
                <w:bCs/>
                <w:color w:val="auto"/>
                <w:kern w:val="0"/>
                <w:sz w:val="24"/>
                <w:szCs w:val="24"/>
                <w:highlight w:val="none"/>
                <w:lang w:val="en-US" w:eastAsia="zh-CN"/>
              </w:rPr>
              <w:t>风险</w:t>
            </w:r>
            <w:r>
              <w:rPr>
                <w:rFonts w:ascii="Times New Roman" w:hAnsi="Times New Roman"/>
                <w:bCs/>
                <w:color w:val="auto"/>
                <w:kern w:val="0"/>
                <w:sz w:val="24"/>
                <w:szCs w:val="24"/>
                <w:highlight w:val="none"/>
              </w:rPr>
              <w:t>物质可能造成的环境风险，应从生产管理、工艺技术设计、自动控制设计、电气及电讯、消防及火灾报警系统等方面制定相应的环境风险防范措施：</w:t>
            </w:r>
          </w:p>
          <w:p>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生产管理：</w:t>
            </w:r>
            <w:r>
              <w:rPr>
                <w:rFonts w:ascii="Times New Roman" w:hAnsi="Times New Roman"/>
                <w:bCs/>
                <w:color w:val="auto"/>
                <w:kern w:val="0"/>
                <w:sz w:val="24"/>
                <w:szCs w:val="24"/>
                <w:highlight w:val="none"/>
              </w:rPr>
              <w:t>生产区域严格按照消防及安全的要求进行平面布置，定期检查、维护</w:t>
            </w:r>
            <w:r>
              <w:rPr>
                <w:rFonts w:hint="eastAsia" w:ascii="Times New Roman" w:hAnsi="Times New Roman"/>
                <w:bCs/>
                <w:color w:val="auto"/>
                <w:kern w:val="0"/>
                <w:sz w:val="24"/>
                <w:szCs w:val="24"/>
                <w:highlight w:val="none"/>
              </w:rPr>
              <w:t>生产设备</w:t>
            </w:r>
            <w:r>
              <w:rPr>
                <w:rFonts w:ascii="Times New Roman" w:hAnsi="Times New Roman"/>
                <w:bCs/>
                <w:color w:val="auto"/>
                <w:kern w:val="0"/>
                <w:sz w:val="24"/>
                <w:szCs w:val="24"/>
                <w:highlight w:val="none"/>
              </w:rPr>
              <w:t>、</w:t>
            </w:r>
            <w:r>
              <w:rPr>
                <w:rFonts w:hint="eastAsia" w:ascii="Times New Roman" w:hAnsi="Times New Roman"/>
                <w:bCs/>
                <w:color w:val="auto"/>
                <w:kern w:val="0"/>
                <w:sz w:val="24"/>
                <w:szCs w:val="24"/>
                <w:highlight w:val="none"/>
              </w:rPr>
              <w:t>一般固废仓库、</w:t>
            </w:r>
            <w:r>
              <w:rPr>
                <w:rFonts w:hint="eastAsia" w:ascii="Times New Roman" w:hAnsi="Times New Roman"/>
                <w:bCs/>
                <w:color w:val="auto"/>
                <w:kern w:val="0"/>
                <w:sz w:val="24"/>
                <w:szCs w:val="24"/>
                <w:highlight w:val="none"/>
                <w:lang w:val="en-US" w:eastAsia="zh-CN"/>
              </w:rPr>
              <w:t>原料堆区</w:t>
            </w:r>
            <w:r>
              <w:rPr>
                <w:rFonts w:ascii="Times New Roman" w:hAnsi="Times New Roman"/>
                <w:bCs/>
                <w:color w:val="auto"/>
                <w:kern w:val="0"/>
                <w:sz w:val="24"/>
                <w:szCs w:val="24"/>
                <w:highlight w:val="none"/>
              </w:rPr>
              <w:t>等相关设备及贮存间，以确保正常运行。</w:t>
            </w:r>
          </w:p>
          <w:p>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工艺技术设计：</w:t>
            </w:r>
            <w:r>
              <w:rPr>
                <w:rFonts w:ascii="Times New Roman" w:hAnsi="Times New Roman"/>
                <w:bCs/>
                <w:color w:val="auto"/>
                <w:kern w:val="0"/>
                <w:sz w:val="24"/>
                <w:szCs w:val="24"/>
                <w:highlight w:val="none"/>
              </w:rPr>
              <w:t>项目实施前，应制定出供正常、异常或紧急状态下的操作和维修计划，并对操作和维修人员进行岗前培训，避免因严重操作失误而造成人为事故。</w:t>
            </w:r>
          </w:p>
          <w:p>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自动控制设计：</w:t>
            </w:r>
            <w:r>
              <w:rPr>
                <w:rFonts w:ascii="Times New Roman" w:hAnsi="Times New Roman"/>
                <w:bCs/>
                <w:color w:val="auto"/>
                <w:kern w:val="0"/>
                <w:sz w:val="24"/>
                <w:szCs w:val="24"/>
                <w:highlight w:val="none"/>
              </w:rPr>
              <w:t>必要时合理安装火灾设备检测仪表、消防自控设施。</w:t>
            </w:r>
          </w:p>
          <w:p>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电气及电讯：</w:t>
            </w:r>
            <w:r>
              <w:rPr>
                <w:rFonts w:ascii="Times New Roman" w:hAnsi="Times New Roman"/>
                <w:bCs/>
                <w:color w:val="auto"/>
                <w:kern w:val="0"/>
                <w:sz w:val="24"/>
                <w:szCs w:val="24"/>
                <w:highlight w:val="none"/>
              </w:rPr>
              <w:t>厂区配备</w:t>
            </w:r>
            <w:r>
              <w:rPr>
                <w:rFonts w:hint="eastAsia" w:ascii="Times New Roman" w:hAnsi="Times New Roman"/>
                <w:bCs/>
                <w:color w:val="auto"/>
                <w:kern w:val="0"/>
                <w:sz w:val="24"/>
                <w:szCs w:val="24"/>
                <w:highlight w:val="none"/>
                <w:lang w:val="en-US" w:eastAsia="zh-CN"/>
              </w:rPr>
              <w:t>通讯手机</w:t>
            </w:r>
            <w:r>
              <w:rPr>
                <w:rFonts w:ascii="Times New Roman" w:hAnsi="Times New Roman"/>
                <w:bCs/>
                <w:color w:val="auto"/>
                <w:kern w:val="0"/>
                <w:sz w:val="24"/>
                <w:szCs w:val="24"/>
                <w:highlight w:val="none"/>
              </w:rPr>
              <w:t>等电讯设备。</w:t>
            </w:r>
          </w:p>
          <w:p>
            <w:pPr>
              <w:adjustRightInd w:val="0"/>
              <w:snapToGrid w:val="0"/>
              <w:spacing w:line="360" w:lineRule="auto"/>
              <w:ind w:firstLine="482" w:firstLineChars="200"/>
              <w:rPr>
                <w:rFonts w:ascii="Times New Roman" w:hAnsi="Times New Roman"/>
                <w:bCs/>
                <w:color w:val="auto"/>
                <w:kern w:val="0"/>
                <w:sz w:val="24"/>
                <w:szCs w:val="24"/>
                <w:highlight w:val="none"/>
              </w:rPr>
            </w:pPr>
            <w:r>
              <w:rPr>
                <w:rFonts w:ascii="Times New Roman" w:hAnsi="Times New Roman"/>
                <w:b/>
                <w:bCs w:val="0"/>
                <w:color w:val="auto"/>
                <w:kern w:val="0"/>
                <w:sz w:val="24"/>
                <w:szCs w:val="24"/>
                <w:highlight w:val="none"/>
              </w:rPr>
              <w:t>消防及火灾报警系统：</w:t>
            </w:r>
            <w:r>
              <w:rPr>
                <w:rFonts w:ascii="Times New Roman" w:hAnsi="Times New Roman"/>
                <w:bCs/>
                <w:color w:val="auto"/>
                <w:kern w:val="0"/>
                <w:sz w:val="24"/>
                <w:szCs w:val="24"/>
                <w:highlight w:val="none"/>
              </w:rPr>
              <w:t>项目需设有足够的灭火设施。这些设施包括自动报警系统、干粉灭火系统、消火栓系统等，一旦发生火灾，能保证企业有足够的灭火装置，将火灾损失降到最低。</w:t>
            </w:r>
          </w:p>
          <w:p>
            <w:pPr>
              <w:adjustRightInd w:val="0"/>
              <w:snapToGrid w:val="0"/>
              <w:spacing w:line="360" w:lineRule="auto"/>
              <w:ind w:firstLine="482" w:firstLineChars="200"/>
              <w:rPr>
                <w:rFonts w:hint="eastAsia" w:ascii="Times New Roman" w:hAnsi="Times New Roman"/>
                <w:bCs/>
                <w:color w:val="auto"/>
                <w:kern w:val="0"/>
                <w:sz w:val="24"/>
                <w:szCs w:val="24"/>
                <w:highlight w:val="none"/>
              </w:rPr>
            </w:pPr>
            <w:r>
              <w:rPr>
                <w:rFonts w:hint="eastAsia"/>
                <w:b/>
                <w:bCs w:val="0"/>
                <w:color w:val="auto"/>
                <w:kern w:val="0"/>
                <w:sz w:val="24"/>
                <w:szCs w:val="24"/>
                <w:highlight w:val="none"/>
                <w:lang w:val="en-US" w:eastAsia="zh-CN"/>
              </w:rPr>
              <w:t>废气</w:t>
            </w:r>
            <w:r>
              <w:rPr>
                <w:rFonts w:hint="eastAsia" w:ascii="Times New Roman" w:hAnsi="Times New Roman"/>
                <w:b/>
                <w:bCs w:val="0"/>
                <w:color w:val="auto"/>
                <w:kern w:val="0"/>
                <w:sz w:val="24"/>
                <w:szCs w:val="24"/>
                <w:highlight w:val="none"/>
              </w:rPr>
              <w:t>废水事故排放防范措施</w:t>
            </w:r>
            <w:r>
              <w:rPr>
                <w:rFonts w:hint="eastAsia" w:ascii="Times New Roman" w:hAnsi="Times New Roman"/>
                <w:b/>
                <w:bCs w:val="0"/>
                <w:color w:val="auto"/>
                <w:kern w:val="0"/>
                <w:sz w:val="24"/>
                <w:szCs w:val="24"/>
                <w:highlight w:val="none"/>
                <w:lang w:eastAsia="zh-CN"/>
              </w:rPr>
              <w:t>：</w:t>
            </w:r>
            <w:r>
              <w:rPr>
                <w:rFonts w:hint="eastAsia" w:ascii="Times New Roman" w:hAnsi="Times New Roman"/>
                <w:bCs/>
                <w:color w:val="auto"/>
                <w:kern w:val="0"/>
                <w:sz w:val="24"/>
                <w:szCs w:val="24"/>
                <w:highlight w:val="none"/>
              </w:rPr>
              <w:t>根据《关于做好生态环境和应急管理部门联动工作的意见》（苏环办〔2020〕101号），企业要对脱硫脱硝、煤改气、挥发性有机物回收、污水处理、粉尘处理、RTO焚烧炉等六类环境治理设施开展安全风险辨识管控，要健全内部污染防治设施稳定运行和管理责任制度，严格依据标准规范建设环境治理设施，确保环境治理设施安全、稳定、有效运行。</w:t>
            </w:r>
          </w:p>
          <w:p>
            <w:pPr>
              <w:adjustRightInd w:val="0"/>
              <w:snapToGrid w:val="0"/>
              <w:spacing w:line="360" w:lineRule="auto"/>
              <w:ind w:firstLine="480" w:firstLineChars="200"/>
              <w:rPr>
                <w:rFonts w:hint="eastAsia"/>
                <w:bCs/>
                <w:color w:val="auto"/>
                <w:kern w:val="0"/>
                <w:sz w:val="24"/>
                <w:szCs w:val="24"/>
                <w:highlight w:val="none"/>
                <w:lang w:val="en-US" w:eastAsia="zh-CN"/>
              </w:rPr>
            </w:pPr>
            <w:r>
              <w:rPr>
                <w:rFonts w:hint="eastAsia" w:ascii="Times New Roman" w:hAnsi="Times New Roman"/>
                <w:bCs/>
                <w:color w:val="auto"/>
                <w:kern w:val="0"/>
                <w:sz w:val="24"/>
                <w:szCs w:val="24"/>
                <w:highlight w:val="none"/>
              </w:rPr>
              <w:t>本项目</w:t>
            </w:r>
            <w:r>
              <w:rPr>
                <w:rFonts w:hint="eastAsia"/>
                <w:kern w:val="0"/>
                <w:sz w:val="24"/>
                <w:szCs w:val="24"/>
              </w:rPr>
              <w:t>生活污水经租赁方化粪池收集</w:t>
            </w:r>
            <w:r>
              <w:rPr>
                <w:rFonts w:hint="eastAsia"/>
                <w:kern w:val="0"/>
                <w:sz w:val="24"/>
                <w:szCs w:val="24"/>
                <w:lang w:eastAsia="zh-CN"/>
              </w:rPr>
              <w:t>，</w:t>
            </w:r>
            <w:r>
              <w:rPr>
                <w:rFonts w:hint="eastAsia" w:ascii="Times New Roman" w:hAnsi="Times New Roman" w:eastAsia="宋体" w:cs="Times New Roman"/>
                <w:kern w:val="2"/>
                <w:sz w:val="24"/>
                <w:szCs w:val="24"/>
                <w:lang w:val="en-US" w:eastAsia="zh-CN" w:bidi="ar-SA"/>
              </w:rPr>
              <w:t>依托租赁方管网及排口接管排放，如皋市大生线路器材有限公司对接管前的废水承担环保责任</w:t>
            </w:r>
            <w:r>
              <w:rPr>
                <w:rFonts w:hint="eastAsia"/>
                <w:bCs/>
                <w:color w:val="auto"/>
                <w:kern w:val="0"/>
                <w:sz w:val="24"/>
                <w:szCs w:val="24"/>
                <w:highlight w:val="none"/>
                <w:lang w:val="en-US" w:eastAsia="zh-CN"/>
              </w:rPr>
              <w:t>。</w:t>
            </w:r>
          </w:p>
          <w:p>
            <w:pPr>
              <w:adjustRightInd w:val="0"/>
              <w:snapToGrid w:val="0"/>
              <w:spacing w:line="360" w:lineRule="auto"/>
              <w:ind w:firstLine="482" w:firstLineChars="200"/>
              <w:rPr>
                <w:rFonts w:hint="default" w:ascii="Times New Roman" w:hAnsi="Times New Roman"/>
                <w:b/>
                <w:bCs w:val="0"/>
                <w:color w:val="auto"/>
                <w:kern w:val="0"/>
                <w:sz w:val="24"/>
                <w:szCs w:val="24"/>
                <w:highlight w:val="none"/>
                <w:lang w:val="en-US" w:eastAsia="zh-CN"/>
              </w:rPr>
            </w:pPr>
            <w:r>
              <w:rPr>
                <w:rFonts w:hint="eastAsia" w:ascii="Times New Roman" w:hAnsi="Times New Roman"/>
                <w:b/>
                <w:bCs w:val="0"/>
                <w:color w:val="auto"/>
                <w:kern w:val="0"/>
                <w:sz w:val="24"/>
                <w:szCs w:val="24"/>
                <w:highlight w:val="none"/>
                <w:lang w:val="en-US" w:eastAsia="zh-CN"/>
              </w:rPr>
              <w:t>火灾和爆炸事故的防范措施</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sz w:val="24"/>
                <w:szCs w:val="24"/>
                <w:lang w:val="en-US" w:eastAsia="zh-CN"/>
              </w:rPr>
              <w:t>①</w:t>
            </w:r>
            <w:r>
              <w:rPr>
                <w:rFonts w:hint="eastAsia" w:ascii="Times New Roman" w:hAnsi="Times New Roman"/>
                <w:bCs/>
                <w:color w:val="auto"/>
                <w:kern w:val="0"/>
                <w:sz w:val="24"/>
                <w:szCs w:val="24"/>
                <w:highlight w:val="none"/>
                <w:lang w:val="en-US" w:eastAsia="zh-CN"/>
              </w:rPr>
              <w:t>生产厂房已按照《建筑设计防火规范》等标准的要求建设，设置防火间距、平面布置等。</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②</w:t>
            </w:r>
            <w:r>
              <w:rPr>
                <w:rFonts w:hint="eastAsia" w:ascii="Times New Roman" w:hAnsi="Times New Roman"/>
                <w:bCs/>
                <w:color w:val="auto"/>
                <w:kern w:val="0"/>
                <w:sz w:val="24"/>
                <w:szCs w:val="24"/>
                <w:highlight w:val="none"/>
                <w:lang w:val="en-US" w:eastAsia="zh-CN"/>
              </w:rPr>
              <w:t>原料在储存和输送系统及辅助设施中，在必要的地方安装安全阀。</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③</w:t>
            </w:r>
            <w:r>
              <w:rPr>
                <w:rFonts w:hint="eastAsia" w:ascii="Times New Roman" w:hAnsi="Times New Roman"/>
                <w:bCs/>
                <w:color w:val="auto"/>
                <w:kern w:val="0"/>
                <w:sz w:val="24"/>
                <w:szCs w:val="24"/>
                <w:highlight w:val="none"/>
                <w:lang w:val="en-US" w:eastAsia="zh-CN"/>
              </w:rPr>
              <w:t>应加强火源的管理，严禁烟火带入，且设置明显的显示标志，建立奖惩制度。对设备需进行维修焊接，应经安全部门确认、准许，并有记录。机动车在厂内行驶，须安装阻火器，必要设备安装防火、防爆装置。</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④</w:t>
            </w:r>
            <w:r>
              <w:rPr>
                <w:rFonts w:hint="eastAsia" w:ascii="Times New Roman" w:hAnsi="Times New Roman"/>
                <w:bCs/>
                <w:color w:val="auto"/>
                <w:kern w:val="0"/>
                <w:sz w:val="24"/>
                <w:szCs w:val="24"/>
                <w:highlight w:val="none"/>
                <w:lang w:val="en-US" w:eastAsia="zh-CN"/>
              </w:rPr>
              <w:t>设备的安全管理：定期对设备进行安全检测，检测内容、时间、人员应有记录保存。安全检测应根据设备的安全性、危险性设定检测频次。</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4"/>
                <w:sz w:val="24"/>
                <w:szCs w:val="24"/>
                <w:lang w:val="en-US" w:eastAsia="zh-CN" w:bidi="ar-SA"/>
              </w:rPr>
              <w:t>⑤</w:t>
            </w:r>
            <w:r>
              <w:rPr>
                <w:rFonts w:hint="eastAsia" w:ascii="Times New Roman" w:hAnsi="Times New Roman"/>
                <w:bCs/>
                <w:color w:val="auto"/>
                <w:kern w:val="0"/>
                <w:sz w:val="24"/>
                <w:szCs w:val="24"/>
                <w:highlight w:val="none"/>
                <w:lang w:val="en-US" w:eastAsia="zh-CN"/>
              </w:rPr>
              <w:t>要有完善的安全消防措施。从平面布置上，本厂按国家消防安全规定，设置足够的安全距离和道路，以便安全疏散和消防。各重点部位存储区设备应设置消防系统、消火栓和干粉灭火器等。</w:t>
            </w:r>
          </w:p>
          <w:p>
            <w:pPr>
              <w:adjustRightInd w:val="0"/>
              <w:snapToGrid w:val="0"/>
              <w:spacing w:line="360" w:lineRule="auto"/>
              <w:ind w:firstLine="482" w:firstLineChars="200"/>
              <w:rPr>
                <w:rFonts w:hint="default" w:ascii="Times New Roman" w:hAnsi="Times New Roman"/>
                <w:b/>
                <w:bCs w:val="0"/>
                <w:color w:val="auto"/>
                <w:kern w:val="0"/>
                <w:sz w:val="24"/>
                <w:szCs w:val="24"/>
                <w:highlight w:val="none"/>
                <w:lang w:val="en-US" w:eastAsia="zh-CN"/>
              </w:rPr>
            </w:pPr>
            <w:r>
              <w:rPr>
                <w:rFonts w:hint="eastAsia" w:ascii="Times New Roman" w:hAnsi="Times New Roman"/>
                <w:b/>
                <w:bCs w:val="0"/>
                <w:color w:val="auto"/>
                <w:kern w:val="0"/>
                <w:sz w:val="24"/>
                <w:szCs w:val="24"/>
                <w:highlight w:val="none"/>
                <w:lang w:val="en-US" w:eastAsia="zh-CN"/>
              </w:rPr>
              <w:t>应急措施</w:t>
            </w:r>
          </w:p>
          <w:p>
            <w:pPr>
              <w:adjustRightInd w:val="0"/>
              <w:snapToGrid w:val="0"/>
              <w:spacing w:line="360" w:lineRule="auto"/>
              <w:ind w:firstLine="480" w:firstLineChars="200"/>
              <w:rPr>
                <w:rFonts w:hint="default" w:ascii="Times New Roman" w:hAnsi="Times New Roman"/>
                <w:b/>
                <w:bCs w:val="0"/>
                <w:color w:val="auto"/>
                <w:kern w:val="0"/>
                <w:sz w:val="24"/>
                <w:szCs w:val="24"/>
                <w:highlight w:val="none"/>
                <w:lang w:val="en-US" w:eastAsia="zh-CN"/>
              </w:rPr>
            </w:pPr>
            <w:r>
              <w:rPr>
                <w:rFonts w:hint="eastAsia"/>
                <w:sz w:val="24"/>
                <w:szCs w:val="24"/>
                <w:lang w:val="en-US" w:eastAsia="zh-CN"/>
              </w:rPr>
              <w:t>①</w:t>
            </w:r>
            <w:r>
              <w:rPr>
                <w:rFonts w:hint="eastAsia" w:ascii="Times New Roman" w:hAnsi="Times New Roman"/>
                <w:b w:val="0"/>
                <w:bCs/>
                <w:color w:val="auto"/>
                <w:kern w:val="0"/>
                <w:sz w:val="24"/>
                <w:szCs w:val="24"/>
                <w:highlight w:val="none"/>
                <w:lang w:val="en-US" w:eastAsia="zh-CN"/>
              </w:rPr>
              <w:t>泄漏事故的应急处理</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物质发生泄漏时，车间岗位要查明泄漏部位（装置）和原因，凡能切断物料或倒槽处理等措施消除事故的则以自救为主，如泄漏部位无法控制的，调度应果断下达急救处置的命令，同时发出报警。</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泄漏时应切断电源。应急处理人员戴好防毒面具，穿化学防护服。在确保安全情况下堵漏。用惰性材料吸收，然后作为危险废物送有资质单位处理。如大量泄漏，利用容器收容，然后收集、转移、回收或无害处理后废弃。</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对皮肤接触人员应脱去被污染的衣着，用肥皂水和清水彻底冲洗皮肤；眼睛接触人员应提起眼睑，用流动清水或生理盐水冲洗，就医；吸入人员迅速脱离现场至空气新鲜处，保持呼吸道通畅。</w:t>
            </w:r>
          </w:p>
          <w:p>
            <w:p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24"/>
                <w:lang w:val="en-US" w:eastAsia="zh-CN" w:bidi="ar-SA"/>
              </w:rPr>
              <w:t>②</w:t>
            </w:r>
            <w:r>
              <w:rPr>
                <w:rFonts w:hint="eastAsia" w:ascii="Times New Roman" w:hAnsi="Times New Roman" w:eastAsia="宋体" w:cs="Times New Roman"/>
                <w:bCs/>
                <w:color w:val="auto"/>
                <w:kern w:val="0"/>
                <w:sz w:val="24"/>
                <w:szCs w:val="24"/>
                <w:highlight w:val="none"/>
                <w:lang w:val="en-US" w:eastAsia="zh-CN"/>
              </w:rPr>
              <w:t>火灾、爆炸事故的处理</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火灾初期的 3-5 分钟是火灾自救的关键时机，迅速、正确地扑灭初期火灾可防止火灾蔓延扩大，减少事故损失。因此，火灾现场人员应迅速利用周边消防设施、灭火器材迅速扑灭初期火灾。初期火灾扑救时，应熟悉掌握各种消防设施、灭火器材的性能，不可用错。发生初期火灾或扑灭初期火灾后，应及时向应急救援组组长报告，调查分析火灾起因并作出处理。</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发生火灾、爆炸事故后的处理措施：</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应急救援组接到报警后，迅速通知有关人员，同时发出警报，应急救援人员应迅速赶往事故现场。切断电源。火灾、爆炸事故现场情况，拨打 119、120 及相关部门报警求援电话，详细说明火警发生的地址、处所、建筑物状况、人员伤亡情况等，同时派出人员接应消防队、救护车和清除交通通道障碍。迅速组织抢救伤员，引导、疏散员工、周围群众撤离事故现场；在事故现场设置警戒线，防止无关人员进入。视火灾、爆炸事故现场情况，开展火灾自救、配合消防队开展扑救。对火灾、爆炸现场以外区域采取隔离、隔绝等措施，防止火势扩大蔓延。将现场内及附近的危险物质迅速转移至安全地带。</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事故救援中，应注意穿戴好各种防护用品（具），防止救援人员伤害。事故发生后，应保护好事故现场，以便事后开展事故调查。</w:t>
            </w:r>
          </w:p>
          <w:p>
            <w:pPr>
              <w:adjustRightInd w:val="0"/>
              <w:snapToGrid w:val="0"/>
              <w:spacing w:line="360" w:lineRule="auto"/>
              <w:ind w:firstLine="480" w:firstLineChars="200"/>
              <w:rPr>
                <w:rFonts w:hint="eastAsia" w:ascii="Times New Roman" w:hAnsi="Times New Roman" w:eastAsia="宋体" w:cs="Times New Roman"/>
                <w:b w:val="0"/>
                <w:bCs/>
                <w:color w:val="auto"/>
                <w:kern w:val="0"/>
                <w:sz w:val="24"/>
                <w:szCs w:val="24"/>
                <w:highlight w:val="none"/>
                <w:lang w:val="en-US" w:eastAsia="zh-CN"/>
              </w:rPr>
            </w:pPr>
            <w:r>
              <w:rPr>
                <w:rFonts w:hint="eastAsia" w:cs="Times New Roman"/>
                <w:kern w:val="2"/>
                <w:sz w:val="24"/>
                <w:szCs w:val="24"/>
                <w:lang w:val="en-US" w:eastAsia="zh-CN" w:bidi="ar-SA"/>
              </w:rPr>
              <w:t>③</w:t>
            </w:r>
            <w:r>
              <w:rPr>
                <w:rFonts w:hint="eastAsia" w:ascii="Times New Roman" w:hAnsi="Times New Roman" w:eastAsia="宋体" w:cs="Times New Roman"/>
                <w:b w:val="0"/>
                <w:bCs/>
                <w:color w:val="auto"/>
                <w:kern w:val="0"/>
                <w:sz w:val="24"/>
                <w:szCs w:val="24"/>
                <w:highlight w:val="none"/>
                <w:lang w:val="en-US" w:eastAsia="zh-CN"/>
              </w:rPr>
              <w:t>安全风险应急措施</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a设备运行过程中，存在着火灾、触电等危险有害因素。一旦发生意外，有可能造成人员伤害或财产损失。企业应针对各类事故发生的可能性，制定预案，进行事故演练，并不断的修订和完善预案，以防患于未然。</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b对企业事故隐患的分布、发生事故的可能性及其程度进行预测。</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c定期进行安全教育，组织模拟重大事故发生时应采取的紧急处置措施，必要时组织救援设施、设备调配和人员疏散演习。</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d随时掌握事故隐患的动态变化。</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e保持安全防护用品、消防器材、救护用品等安全防护设施完好有效。</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f组织员工对预案进行学习，事故处置小组成员应了解其职责，具有应急处置能力，定期进行演练，并不断对预案进行补充和完善。</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g更新岗位应急措施，张贴在明显位置，并组织人员学习和演练。</w:t>
            </w:r>
          </w:p>
          <w:p>
            <w:pPr>
              <w:adjustRightInd w:val="0"/>
              <w:snapToGrid w:val="0"/>
              <w:spacing w:line="360" w:lineRule="auto"/>
              <w:ind w:firstLine="480" w:firstLineChars="200"/>
              <w:rPr>
                <w:rFonts w:hint="eastAsia"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h企业根据项目实际情况，按照《生产安全事故应急预案管理办法》（应急管理部2号令）、《生产安全事故应急条例》（国务院第708号令）和《生产经营单位生产安全事故应急预案编制导则》（GB/T29639-2020）要求，及时修订事故应急救援预案，并做好风险评估和应急资源调查，并将变更的信息及时报当地安全监管部门备案。</w:t>
            </w:r>
          </w:p>
          <w:p>
            <w:pPr>
              <w:adjustRightInd w:val="0"/>
              <w:snapToGrid w:val="0"/>
              <w:spacing w:line="360" w:lineRule="auto"/>
              <w:ind w:firstLine="480" w:firstLineChars="200"/>
              <w:rPr>
                <w:rFonts w:hint="default" w:ascii="Times New Roman" w:hAnsi="Times New Roman"/>
                <w:b w:val="0"/>
                <w:bCs/>
                <w:color w:val="auto"/>
                <w:kern w:val="0"/>
                <w:sz w:val="24"/>
                <w:szCs w:val="24"/>
                <w:highlight w:val="none"/>
                <w:lang w:val="en-US" w:eastAsia="zh-CN"/>
              </w:rPr>
            </w:pPr>
            <w:r>
              <w:rPr>
                <w:rFonts w:hint="eastAsia" w:ascii="Times New Roman" w:hAnsi="Times New Roman"/>
                <w:b w:val="0"/>
                <w:bCs/>
                <w:color w:val="auto"/>
                <w:kern w:val="0"/>
                <w:sz w:val="24"/>
                <w:szCs w:val="24"/>
                <w:highlight w:val="none"/>
                <w:lang w:val="en-US" w:eastAsia="zh-CN"/>
              </w:rPr>
              <w:t>（4）应急管理制度</w:t>
            </w:r>
          </w:p>
          <w:p>
            <w:p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lang w:val="en-US" w:eastAsia="zh-CN"/>
              </w:rPr>
              <w:t xml:space="preserve">对照《省生态环境厅关于印发江苏省环境影响评价文件环境应急相关内容编制要点的 通知》（苏环办〔2022〕338号文）要求，本企业环境应急管理制度内容应包括以下内容：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sz w:val="24"/>
                <w:szCs w:val="24"/>
                <w:lang w:val="en-US" w:eastAsia="zh-CN"/>
              </w:rPr>
              <w:t>①</w:t>
            </w:r>
            <w:r>
              <w:rPr>
                <w:rFonts w:hint="eastAsia" w:ascii="Times New Roman" w:hAnsi="Times New Roman" w:eastAsia="宋体" w:cs="Times New Roman"/>
                <w:bCs/>
                <w:color w:val="auto"/>
                <w:kern w:val="0"/>
                <w:sz w:val="24"/>
                <w:szCs w:val="24"/>
                <w:highlight w:val="none"/>
                <w:lang w:val="en-US" w:eastAsia="zh-CN"/>
              </w:rPr>
              <w:t>突发环境事件应急预案的编制、修订和备案要求；</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24"/>
                <w:lang w:val="en-US" w:eastAsia="zh-CN" w:bidi="ar-SA"/>
              </w:rPr>
              <w:t>②</w:t>
            </w:r>
            <w:r>
              <w:rPr>
                <w:rFonts w:hint="eastAsia" w:ascii="Times New Roman" w:hAnsi="Times New Roman" w:eastAsia="宋体" w:cs="Times New Roman"/>
                <w:bCs/>
                <w:color w:val="auto"/>
                <w:kern w:val="0"/>
                <w:sz w:val="24"/>
                <w:szCs w:val="24"/>
                <w:highlight w:val="none"/>
                <w:lang w:val="en-US" w:eastAsia="zh-CN"/>
              </w:rPr>
              <w:t>明确事故状态下的特征污染因子和应急监测能力；</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24"/>
                <w:lang w:val="en-US" w:eastAsia="zh-CN" w:bidi="ar-SA"/>
              </w:rPr>
              <w:t>③</w:t>
            </w:r>
            <w:r>
              <w:rPr>
                <w:rFonts w:hint="eastAsia" w:ascii="Times New Roman" w:hAnsi="Times New Roman" w:eastAsia="宋体" w:cs="Times New Roman"/>
                <w:bCs/>
                <w:color w:val="auto"/>
                <w:kern w:val="0"/>
                <w:sz w:val="24"/>
                <w:szCs w:val="24"/>
                <w:highlight w:val="none"/>
                <w:lang w:val="en-US" w:eastAsia="zh-CN"/>
              </w:rPr>
              <w:t>参照相关规范明确环境应急物资装备配备要求；</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24"/>
                <w:lang w:val="en-US" w:eastAsia="zh-CN" w:bidi="ar-SA"/>
              </w:rPr>
              <w:t>④</w:t>
            </w:r>
            <w:r>
              <w:rPr>
                <w:rFonts w:hint="eastAsia" w:ascii="Times New Roman" w:hAnsi="Times New Roman" w:eastAsia="宋体" w:cs="Times New Roman"/>
                <w:bCs/>
                <w:color w:val="auto"/>
                <w:kern w:val="0"/>
                <w:sz w:val="24"/>
                <w:szCs w:val="24"/>
                <w:highlight w:val="none"/>
                <w:lang w:val="en-US" w:eastAsia="zh-CN"/>
              </w:rPr>
              <w:t>建立突发环境事件隐患排查治理制度要求，明确隐患排查内容、方式和频次；</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4"/>
                <w:sz w:val="24"/>
                <w:szCs w:val="24"/>
                <w:lang w:val="en-US" w:eastAsia="zh-CN" w:bidi="ar-SA"/>
              </w:rPr>
              <w:t>⑤</w:t>
            </w:r>
            <w:r>
              <w:rPr>
                <w:rFonts w:hint="eastAsia" w:ascii="Times New Roman" w:hAnsi="Times New Roman" w:eastAsia="宋体" w:cs="Times New Roman"/>
                <w:bCs/>
                <w:color w:val="auto"/>
                <w:kern w:val="0"/>
                <w:sz w:val="24"/>
                <w:szCs w:val="24"/>
                <w:highlight w:val="none"/>
                <w:lang w:val="en-US" w:eastAsia="zh-CN"/>
              </w:rPr>
              <w:t xml:space="preserve">明确环境应急培训和演练内容、方式、频次和台账记录要求； </w:t>
            </w:r>
          </w:p>
          <w:p>
            <w:pPr>
              <w:numPr>
                <w:ilvl w:val="0"/>
                <w:numId w:val="0"/>
              </w:num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cs="Times New Roman"/>
                <w:kern w:val="2"/>
                <w:sz w:val="24"/>
                <w:szCs w:val="24"/>
                <w:lang w:val="en-US" w:eastAsia="zh-CN" w:bidi="ar-SA"/>
              </w:rPr>
              <w:t>⑥</w:t>
            </w:r>
            <w:r>
              <w:rPr>
                <w:rFonts w:hint="eastAsia" w:ascii="Times New Roman" w:hAnsi="Times New Roman" w:eastAsia="宋体" w:cs="Times New Roman"/>
                <w:bCs/>
                <w:color w:val="auto"/>
                <w:kern w:val="0"/>
                <w:sz w:val="24"/>
                <w:szCs w:val="24"/>
                <w:highlight w:val="none"/>
                <w:lang w:val="en-US" w:eastAsia="zh-CN"/>
              </w:rPr>
              <w:t>提出设置环境风险防范设施及环境应急处置卡标识标牌等相关要求。</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本项目建成后，应及时修编完善环境应急预案，并组织专业队伍学习和演练，防患于未然，以便应急救援工作的顺利开展。制订应急预案的原则如下：</w:t>
            </w:r>
          </w:p>
          <w:p>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sz w:val="24"/>
                <w:szCs w:val="24"/>
                <w:lang w:val="en-US" w:eastAsia="zh-CN"/>
              </w:rPr>
              <w:t>①</w:t>
            </w:r>
            <w:r>
              <w:rPr>
                <w:rFonts w:hint="eastAsia" w:ascii="Times New Roman" w:hAnsi="Times New Roman"/>
                <w:bCs/>
                <w:color w:val="auto"/>
                <w:kern w:val="0"/>
                <w:sz w:val="24"/>
                <w:szCs w:val="24"/>
                <w:highlight w:val="none"/>
                <w:lang w:val="en-US" w:eastAsia="zh-CN"/>
              </w:rPr>
              <w:t>确定救援组织、队伍和联络方式：企业应急救援组织机构由应急指挥部及应急救援队伍构成。应急指挥部由总指挥、副指挥、应急救援办公室及应急救援小组组成。总指挥由领导担任，下设副总指挥、应急救援办公室、2个应急救援小组。应急救援小组应明确出关键环节的负责人，定期实施培训和演习，建立规范的制度、程序等；</w:t>
            </w:r>
          </w:p>
          <w:p>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②</w:t>
            </w:r>
            <w:r>
              <w:rPr>
                <w:rFonts w:hint="eastAsia" w:ascii="Times New Roman" w:hAnsi="Times New Roman"/>
                <w:bCs/>
                <w:color w:val="auto"/>
                <w:kern w:val="0"/>
                <w:sz w:val="24"/>
                <w:szCs w:val="24"/>
                <w:highlight w:val="none"/>
                <w:lang w:val="en-US" w:eastAsia="zh-CN"/>
              </w:rPr>
              <w:t>制定事故类型、等级和相应的应急响应程序；</w:t>
            </w:r>
          </w:p>
          <w:p>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③</w:t>
            </w:r>
            <w:r>
              <w:rPr>
                <w:rFonts w:hint="eastAsia" w:ascii="Times New Roman" w:hAnsi="Times New Roman"/>
                <w:bCs/>
                <w:color w:val="auto"/>
                <w:kern w:val="0"/>
                <w:sz w:val="24"/>
                <w:szCs w:val="24"/>
                <w:highlight w:val="none"/>
                <w:lang w:val="en-US" w:eastAsia="zh-CN"/>
              </w:rPr>
              <w:t>配备必要的救灾防毒器具及防护用品，建议企业在雨水排放口配备封堵麻袋，防止受污染的雨水、消防废水未经处理直接进入外环境；</w:t>
            </w:r>
          </w:p>
          <w:p>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④</w:t>
            </w:r>
            <w:r>
              <w:rPr>
                <w:rFonts w:hint="eastAsia" w:ascii="Times New Roman" w:hAnsi="Times New Roman"/>
                <w:bCs/>
                <w:color w:val="auto"/>
                <w:kern w:val="0"/>
                <w:sz w:val="24"/>
                <w:szCs w:val="24"/>
                <w:highlight w:val="none"/>
                <w:lang w:val="en-US" w:eastAsia="zh-CN"/>
              </w:rPr>
              <w:t>对生产系统制定应急状态切断终止或自动报警连锁保护程序；</w:t>
            </w:r>
          </w:p>
          <w:p>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4"/>
                <w:sz w:val="24"/>
                <w:szCs w:val="24"/>
                <w:lang w:val="en-US" w:eastAsia="zh-CN" w:bidi="ar-SA"/>
              </w:rPr>
              <w:t>⑤</w:t>
            </w:r>
            <w:r>
              <w:rPr>
                <w:rFonts w:hint="eastAsia" w:ascii="Times New Roman" w:hAnsi="Times New Roman"/>
                <w:bCs/>
                <w:color w:val="auto"/>
                <w:kern w:val="0"/>
                <w:sz w:val="24"/>
                <w:szCs w:val="24"/>
                <w:highlight w:val="none"/>
                <w:lang w:val="en-US" w:eastAsia="zh-CN"/>
              </w:rPr>
              <w:t>岗位培训和演习，设置事故应急学习手册及报告、记录和评估；</w:t>
            </w:r>
          </w:p>
          <w:p>
            <w:pPr>
              <w:numPr>
                <w:ilvl w:val="0"/>
                <w:numId w:val="0"/>
              </w:num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cs="Times New Roman"/>
                <w:kern w:val="2"/>
                <w:sz w:val="24"/>
                <w:szCs w:val="24"/>
                <w:lang w:val="en-US" w:eastAsia="zh-CN" w:bidi="ar-SA"/>
              </w:rPr>
              <w:t>⑥</w:t>
            </w:r>
            <w:r>
              <w:rPr>
                <w:rFonts w:hint="eastAsia" w:ascii="Times New Roman" w:hAnsi="Times New Roman"/>
                <w:bCs/>
                <w:color w:val="auto"/>
                <w:kern w:val="0"/>
                <w:sz w:val="24"/>
                <w:szCs w:val="24"/>
                <w:highlight w:val="none"/>
                <w:lang w:val="en-US" w:eastAsia="zh-CN"/>
              </w:rPr>
              <w:t>制定区域防灾救援方案，厂外受影响人群的硫散、撤离方案，与当地政府、消防、环保和医疗救助等部门加强联系，以便风险事故发生时得到及时救援。</w:t>
            </w:r>
          </w:p>
          <w:p>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本项目依托租赁方事故废水的收集和封堵管控措施，确保发生事故时废水不会外排至周边水体。本项目建成后应加强对事故废水等应急管控措施的巡查，确保相关措施完备无损，发生故障时及时检修。</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企业在修编完善环境风险应急预案时，应再次关注以下内容是否具备与更新。</w:t>
            </w:r>
          </w:p>
          <w:p>
            <w:pPr>
              <w:adjustRightInd w:val="0"/>
              <w:snapToGrid w:val="0"/>
              <w:spacing w:line="240" w:lineRule="auto"/>
              <w:jc w:val="center"/>
              <w:rPr>
                <w:b/>
                <w:color w:val="auto"/>
                <w:kern w:val="0"/>
                <w:sz w:val="24"/>
                <w:szCs w:val="24"/>
              </w:rPr>
            </w:pPr>
            <w:r>
              <w:rPr>
                <w:rFonts w:hint="eastAsia"/>
                <w:b/>
                <w:color w:val="auto"/>
                <w:kern w:val="0"/>
                <w:sz w:val="24"/>
                <w:szCs w:val="24"/>
              </w:rPr>
              <w:t>表4-</w:t>
            </w:r>
            <w:r>
              <w:rPr>
                <w:rFonts w:hint="eastAsia"/>
                <w:b/>
                <w:color w:val="auto"/>
                <w:kern w:val="0"/>
                <w:sz w:val="24"/>
                <w:szCs w:val="24"/>
                <w:lang w:val="en-US" w:eastAsia="zh-CN"/>
              </w:rPr>
              <w:t xml:space="preserve">27 </w:t>
            </w:r>
            <w:r>
              <w:rPr>
                <w:rFonts w:hint="eastAsia"/>
                <w:b/>
                <w:color w:val="auto"/>
                <w:kern w:val="0"/>
                <w:sz w:val="24"/>
                <w:szCs w:val="24"/>
              </w:rPr>
              <w:t xml:space="preserve">  环境风险应急预案内容</w:t>
            </w:r>
          </w:p>
          <w:tbl>
            <w:tblPr>
              <w:tblStyle w:val="30"/>
              <w:tblW w:w="8389"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732"/>
              <w:gridCol w:w="49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12" w:space="0"/>
                    <w:left w:val="nil"/>
                    <w:bottom w:val="single" w:color="auto" w:sz="4" w:space="0"/>
                    <w:right w:val="single" w:color="auto" w:sz="4" w:space="0"/>
                  </w:tcBorders>
                  <w:noWrap w:val="0"/>
                  <w:vAlign w:val="center"/>
                </w:tcPr>
                <w:p>
                  <w:pPr>
                    <w:spacing w:line="240" w:lineRule="auto"/>
                    <w:jc w:val="center"/>
                    <w:rPr>
                      <w:b/>
                      <w:bCs/>
                      <w:color w:val="auto"/>
                      <w:sz w:val="21"/>
                      <w:szCs w:val="21"/>
                    </w:rPr>
                  </w:pPr>
                  <w:r>
                    <w:rPr>
                      <w:rFonts w:hint="eastAsia"/>
                      <w:b/>
                      <w:bCs/>
                      <w:color w:val="auto"/>
                      <w:sz w:val="21"/>
                      <w:szCs w:val="21"/>
                    </w:rPr>
                    <w:t>序号</w:t>
                  </w:r>
                </w:p>
              </w:tc>
              <w:tc>
                <w:tcPr>
                  <w:tcW w:w="2732" w:type="dxa"/>
                  <w:tcBorders>
                    <w:top w:val="single" w:color="auto" w:sz="12" w:space="0"/>
                    <w:left w:val="single" w:color="auto" w:sz="4" w:space="0"/>
                    <w:bottom w:val="single" w:color="auto" w:sz="4" w:space="0"/>
                    <w:right w:val="single" w:color="auto" w:sz="4" w:space="0"/>
                  </w:tcBorders>
                  <w:noWrap w:val="0"/>
                  <w:vAlign w:val="center"/>
                </w:tcPr>
                <w:p>
                  <w:pPr>
                    <w:spacing w:line="240" w:lineRule="auto"/>
                    <w:jc w:val="center"/>
                    <w:rPr>
                      <w:b/>
                      <w:bCs/>
                      <w:color w:val="auto"/>
                      <w:sz w:val="21"/>
                      <w:szCs w:val="21"/>
                    </w:rPr>
                  </w:pPr>
                  <w:r>
                    <w:rPr>
                      <w:rFonts w:hint="eastAsia"/>
                      <w:b/>
                      <w:bCs/>
                      <w:color w:val="auto"/>
                      <w:sz w:val="21"/>
                      <w:szCs w:val="21"/>
                    </w:rPr>
                    <w:t>项目</w:t>
                  </w:r>
                </w:p>
              </w:tc>
              <w:tc>
                <w:tcPr>
                  <w:tcW w:w="4976" w:type="dxa"/>
                  <w:tcBorders>
                    <w:top w:val="single" w:color="auto" w:sz="12" w:space="0"/>
                    <w:left w:val="single" w:color="auto" w:sz="4" w:space="0"/>
                    <w:bottom w:val="single" w:color="auto" w:sz="4" w:space="0"/>
                    <w:right w:val="nil"/>
                  </w:tcBorders>
                  <w:noWrap w:val="0"/>
                  <w:vAlign w:val="center"/>
                </w:tcPr>
                <w:p>
                  <w:pPr>
                    <w:spacing w:line="240" w:lineRule="auto"/>
                    <w:jc w:val="center"/>
                    <w:rPr>
                      <w:b/>
                      <w:bCs/>
                      <w:color w:val="auto"/>
                      <w:sz w:val="21"/>
                      <w:szCs w:val="21"/>
                    </w:rPr>
                  </w:pPr>
                  <w:r>
                    <w:rPr>
                      <w:rFonts w:hint="eastAsia"/>
                      <w:b/>
                      <w:bCs/>
                      <w:color w:val="auto"/>
                      <w:sz w:val="21"/>
                      <w:szCs w:val="21"/>
                    </w:rPr>
                    <w:t>内容及要求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1</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应急组织机构、人员</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sz w:val="21"/>
                      <w:szCs w:val="21"/>
                    </w:rPr>
                  </w:pPr>
                  <w:r>
                    <w:rPr>
                      <w:rFonts w:hint="eastAsia"/>
                      <w:color w:val="auto"/>
                      <w:sz w:val="21"/>
                      <w:szCs w:val="21"/>
                    </w:rPr>
                    <w:t>公司应急机构人员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2</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预案分级响应条件</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sz w:val="21"/>
                      <w:szCs w:val="21"/>
                    </w:rPr>
                  </w:pPr>
                  <w:r>
                    <w:rPr>
                      <w:rFonts w:hint="eastAsia"/>
                      <w:color w:val="auto"/>
                      <w:sz w:val="21"/>
                      <w:szCs w:val="21"/>
                    </w:rPr>
                    <w:t>规定预案的级别及分级响应程序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3</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应急救援保障</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sz w:val="21"/>
                      <w:szCs w:val="21"/>
                    </w:rPr>
                  </w:pPr>
                  <w:r>
                    <w:rPr>
                      <w:rFonts w:hint="eastAsia"/>
                      <w:color w:val="auto"/>
                      <w:sz w:val="21"/>
                      <w:szCs w:val="21"/>
                    </w:rPr>
                    <w:t>应急设施、设备与器材等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4</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报警、通讯联络方式</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kern w:val="0"/>
                      <w:sz w:val="21"/>
                      <w:szCs w:val="21"/>
                    </w:rPr>
                  </w:pPr>
                  <w:r>
                    <w:rPr>
                      <w:rFonts w:hint="eastAsia"/>
                      <w:color w:val="auto"/>
                      <w:sz w:val="21"/>
                      <w:szCs w:val="21"/>
                    </w:rPr>
                    <w:t>规定应急状态下的报警通讯方式；交通保障、管制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5</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应急环境监测、抢险、救援及控制措施</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kern w:val="0"/>
                      <w:sz w:val="21"/>
                      <w:szCs w:val="21"/>
                    </w:rPr>
                  </w:pPr>
                  <w:r>
                    <w:rPr>
                      <w:rFonts w:hint="eastAsia"/>
                      <w:color w:val="auto"/>
                      <w:sz w:val="21"/>
                      <w:szCs w:val="21"/>
                    </w:rPr>
                    <w:t>由环境监测站负责对事故现场进行监测，对事故性质、参数与后果进行评估，为指挥部门提供决策根据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6</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应急检测、防护措施、清除泄露措施器材</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kern w:val="0"/>
                      <w:sz w:val="21"/>
                      <w:szCs w:val="21"/>
                    </w:rPr>
                  </w:pPr>
                  <w:r>
                    <w:rPr>
                      <w:rFonts w:hint="eastAsia"/>
                      <w:color w:val="auto"/>
                      <w:sz w:val="21"/>
                      <w:szCs w:val="21"/>
                    </w:rPr>
                    <w:t>事故现场、邻近区域、控制防火区域，控制和清除污染措施及相应设备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7</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人员紧急撤离、疏散</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sz w:val="21"/>
                      <w:szCs w:val="21"/>
                    </w:rPr>
                  </w:pPr>
                  <w:r>
                    <w:rPr>
                      <w:rFonts w:hint="eastAsia"/>
                      <w:color w:val="auto"/>
                      <w:sz w:val="21"/>
                      <w:szCs w:val="21"/>
                    </w:rPr>
                    <w:t>撤离组织计划及救护，医疗救护与公众健康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4" w:space="0"/>
                    <w:right w:val="single" w:color="auto" w:sz="4" w:space="0"/>
                  </w:tcBorders>
                  <w:noWrap w:val="0"/>
                  <w:vAlign w:val="center"/>
                </w:tcPr>
                <w:p>
                  <w:pPr>
                    <w:spacing w:line="240" w:lineRule="auto"/>
                    <w:jc w:val="center"/>
                    <w:rPr>
                      <w:color w:val="auto"/>
                      <w:sz w:val="21"/>
                      <w:szCs w:val="21"/>
                    </w:rPr>
                  </w:pPr>
                  <w:r>
                    <w:rPr>
                      <w:color w:val="auto"/>
                      <w:sz w:val="21"/>
                      <w:szCs w:val="21"/>
                    </w:rPr>
                    <w:t>8</w:t>
                  </w:r>
                </w:p>
              </w:tc>
              <w:tc>
                <w:tcPr>
                  <w:tcW w:w="273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事故应急救援关闭程序与恢复措施</w:t>
                  </w:r>
                </w:p>
              </w:tc>
              <w:tc>
                <w:tcPr>
                  <w:tcW w:w="4976" w:type="dxa"/>
                  <w:tcBorders>
                    <w:top w:val="single" w:color="auto" w:sz="4" w:space="0"/>
                    <w:left w:val="single" w:color="auto" w:sz="4" w:space="0"/>
                    <w:bottom w:val="single" w:color="auto" w:sz="4" w:space="0"/>
                    <w:right w:val="nil"/>
                  </w:tcBorders>
                  <w:noWrap w:val="0"/>
                  <w:vAlign w:val="center"/>
                </w:tcPr>
                <w:p>
                  <w:pPr>
                    <w:spacing w:line="240" w:lineRule="auto"/>
                    <w:jc w:val="left"/>
                    <w:rPr>
                      <w:color w:val="auto"/>
                      <w:sz w:val="21"/>
                      <w:szCs w:val="21"/>
                    </w:rPr>
                  </w:pPr>
                  <w:r>
                    <w:rPr>
                      <w:rFonts w:hint="eastAsia"/>
                      <w:color w:val="auto"/>
                      <w:sz w:val="21"/>
                      <w:szCs w:val="21"/>
                    </w:rPr>
                    <w:t>专业队伍抢救结束后，做好事故现场善后处置，临近区域解除事故警戒及善后恢复措施，现场调查、清理、清洗工作恢复生产状态，组织生产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81" w:type="dxa"/>
                  <w:tcBorders>
                    <w:top w:val="single" w:color="auto" w:sz="4" w:space="0"/>
                    <w:left w:val="nil"/>
                    <w:bottom w:val="single" w:color="auto" w:sz="12" w:space="0"/>
                    <w:right w:val="single" w:color="auto" w:sz="4" w:space="0"/>
                  </w:tcBorders>
                  <w:noWrap w:val="0"/>
                  <w:vAlign w:val="center"/>
                </w:tcPr>
                <w:p>
                  <w:pPr>
                    <w:spacing w:line="240" w:lineRule="auto"/>
                    <w:jc w:val="center"/>
                    <w:rPr>
                      <w:color w:val="auto"/>
                      <w:sz w:val="21"/>
                      <w:szCs w:val="21"/>
                    </w:rPr>
                  </w:pPr>
                  <w:r>
                    <w:rPr>
                      <w:color w:val="auto"/>
                      <w:sz w:val="21"/>
                      <w:szCs w:val="21"/>
                    </w:rPr>
                    <w:t>9</w:t>
                  </w:r>
                </w:p>
              </w:tc>
              <w:tc>
                <w:tcPr>
                  <w:tcW w:w="2732" w:type="dxa"/>
                  <w:tcBorders>
                    <w:top w:val="single" w:color="auto" w:sz="4" w:space="0"/>
                    <w:left w:val="single" w:color="auto" w:sz="4" w:space="0"/>
                    <w:bottom w:val="single" w:color="auto" w:sz="12" w:space="0"/>
                    <w:right w:val="single" w:color="auto" w:sz="4" w:space="0"/>
                  </w:tcBorders>
                  <w:noWrap w:val="0"/>
                  <w:vAlign w:val="center"/>
                </w:tcPr>
                <w:p>
                  <w:pPr>
                    <w:spacing w:line="240" w:lineRule="auto"/>
                    <w:jc w:val="left"/>
                    <w:rPr>
                      <w:color w:val="auto"/>
                      <w:sz w:val="21"/>
                      <w:szCs w:val="21"/>
                    </w:rPr>
                  </w:pPr>
                  <w:r>
                    <w:rPr>
                      <w:rFonts w:hint="eastAsia"/>
                      <w:color w:val="auto"/>
                      <w:sz w:val="21"/>
                      <w:szCs w:val="21"/>
                    </w:rPr>
                    <w:t>应急培训计划</w:t>
                  </w:r>
                </w:p>
              </w:tc>
              <w:tc>
                <w:tcPr>
                  <w:tcW w:w="4976" w:type="dxa"/>
                  <w:tcBorders>
                    <w:top w:val="single" w:color="auto" w:sz="4" w:space="0"/>
                    <w:left w:val="single" w:color="auto" w:sz="4" w:space="0"/>
                    <w:bottom w:val="single" w:color="auto" w:sz="12" w:space="0"/>
                    <w:right w:val="nil"/>
                  </w:tcBorders>
                  <w:noWrap w:val="0"/>
                  <w:vAlign w:val="center"/>
                </w:tcPr>
                <w:p>
                  <w:pPr>
                    <w:spacing w:line="240" w:lineRule="auto"/>
                    <w:jc w:val="left"/>
                    <w:rPr>
                      <w:color w:val="auto"/>
                      <w:sz w:val="21"/>
                      <w:szCs w:val="21"/>
                    </w:rPr>
                  </w:pPr>
                  <w:r>
                    <w:rPr>
                      <w:rFonts w:hint="eastAsia"/>
                      <w:color w:val="auto"/>
                      <w:sz w:val="21"/>
                      <w:szCs w:val="21"/>
                    </w:rPr>
                    <w:t>制定计划，安排人员培训与演练</w:t>
                  </w:r>
                </w:p>
              </w:tc>
            </w:tr>
          </w:tbl>
          <w:p>
            <w:pPr>
              <w:adjustRightInd w:val="0"/>
              <w:snapToGrid w:val="0"/>
              <w:spacing w:line="360" w:lineRule="auto"/>
              <w:ind w:firstLine="420" w:firstLineChars="200"/>
              <w:rPr>
                <w:rFonts w:hint="eastAsia" w:ascii="Times New Roman" w:hAnsi="Times New Roman"/>
                <w:bCs/>
                <w:color w:val="auto"/>
                <w:kern w:val="0"/>
                <w:sz w:val="21"/>
                <w:szCs w:val="21"/>
                <w:highlight w:val="none"/>
                <w:lang w:val="en-US" w:eastAsia="zh-CN"/>
              </w:rPr>
            </w:pPr>
          </w:p>
          <w:p>
            <w:pPr>
              <w:adjustRightInd w:val="0"/>
              <w:snapToGrid w:val="0"/>
              <w:spacing w:line="360" w:lineRule="auto"/>
              <w:ind w:firstLine="480" w:firstLineChars="200"/>
              <w:rPr>
                <w:b/>
                <w:bCs/>
                <w:color w:val="auto"/>
                <w:sz w:val="24"/>
                <w:szCs w:val="24"/>
              </w:rPr>
            </w:pPr>
            <w:r>
              <w:rPr>
                <w:rFonts w:hint="eastAsia" w:ascii="Times New Roman" w:hAnsi="Times New Roman"/>
                <w:bCs/>
                <w:color w:val="auto"/>
                <w:kern w:val="0"/>
                <w:sz w:val="24"/>
                <w:szCs w:val="24"/>
                <w:highlight w:val="none"/>
                <w:lang w:val="en-US" w:eastAsia="zh-CN"/>
              </w:rPr>
              <w:t>企业生产车间厂房为丙类，对照最新消防设计规范，本项目消防废水量及应急事故池所需面积核算如下：</w:t>
            </w:r>
          </w:p>
          <w:p>
            <w:pPr>
              <w:adjustRightInd w:val="0"/>
              <w:snapToGrid w:val="0"/>
              <w:spacing w:line="360" w:lineRule="auto"/>
              <w:ind w:firstLine="482" w:firstLineChars="200"/>
              <w:rPr>
                <w:b/>
                <w:bCs/>
                <w:color w:val="auto"/>
                <w:sz w:val="24"/>
                <w:szCs w:val="24"/>
              </w:rPr>
            </w:pPr>
            <w:r>
              <w:rPr>
                <w:rFonts w:hint="eastAsia"/>
                <w:b/>
                <w:bCs/>
                <w:color w:val="auto"/>
                <w:sz w:val="24"/>
                <w:szCs w:val="24"/>
                <w:lang w:val="en-US" w:eastAsia="zh-CN"/>
              </w:rPr>
              <w:t>①应急事故池</w:t>
            </w:r>
            <w:r>
              <w:rPr>
                <w:b/>
                <w:bCs/>
                <w:color w:val="auto"/>
                <w:sz w:val="24"/>
                <w:szCs w:val="24"/>
              </w:rPr>
              <w:t xml:space="preserve"> </w:t>
            </w:r>
          </w:p>
          <w:p>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事故应急池有效容积应按</w:t>
            </w:r>
            <w:r>
              <w:rPr>
                <w:rFonts w:hint="eastAsia" w:ascii="Times New Roman" w:hAnsi="Times New Roman" w:eastAsia="宋体" w:cs="宋体"/>
                <w:color w:val="auto"/>
                <w:sz w:val="24"/>
                <w:szCs w:val="24"/>
              </w:rPr>
              <w:t>《事故状态下水体污染的预防和控制技术要求》（Q/SY 08190-2019）</w:t>
            </w:r>
            <w:r>
              <w:rPr>
                <w:rFonts w:ascii="Times New Roman" w:hAnsi="Times New Roman" w:eastAsia="宋体" w:cs="宋体"/>
                <w:color w:val="auto"/>
                <w:sz w:val="24"/>
                <w:szCs w:val="24"/>
              </w:rPr>
              <w:t>中公式计算：</w:t>
            </w:r>
          </w:p>
          <w:p>
            <w:pPr>
              <w:adjustRightInd w:val="0"/>
              <w:snapToGrid w:val="0"/>
              <w:spacing w:line="360" w:lineRule="auto"/>
              <w:ind w:firstLine="480" w:firstLineChars="200"/>
              <w:jc w:val="center"/>
              <w:rPr>
                <w:rFonts w:ascii="Times New Roman" w:hAnsi="Times New Roman" w:eastAsia="宋体" w:cs="宋体"/>
                <w:color w:val="auto"/>
                <w:sz w:val="24"/>
                <w:szCs w:val="24"/>
              </w:rPr>
            </w:pPr>
            <w:r>
              <w:rPr>
                <w:rFonts w:ascii="Times New Roman" w:hAnsi="Times New Roman" w:eastAsia="宋体" w:cs="宋体"/>
                <w:color w:val="auto"/>
                <w:sz w:val="24"/>
                <w:szCs w:val="24"/>
              </w:rPr>
              <w:t>V总=（V1+V2-V3）max+V4+V5</w:t>
            </w:r>
          </w:p>
          <w:p>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V1—最大一个容器的设备（装置）或贮罐的物料贮存量，m（本项目V1取</w:t>
            </w:r>
            <w:r>
              <w:rPr>
                <w:rFonts w:hint="eastAsia" w:ascii="Times New Roman" w:hAnsi="Times New Roman" w:eastAsia="宋体" w:cs="宋体"/>
                <w:color w:val="auto"/>
                <w:sz w:val="24"/>
                <w:szCs w:val="24"/>
                <w:lang w:val="en-US" w:eastAsia="zh-CN"/>
              </w:rPr>
              <w:t>0.2</w:t>
            </w:r>
            <w:r>
              <w:rPr>
                <w:rFonts w:ascii="Times New Roman" w:hAnsi="Times New Roman" w:eastAsia="宋体" w:cs="宋体"/>
                <w:color w:val="auto"/>
                <w:sz w:val="24"/>
                <w:szCs w:val="24"/>
              </w:rPr>
              <w:t>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V2—发生事故的储罐或装置的消防水量，m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；（根据《消防给水及消防栓系统技术规范》（GB50974-2014）、《建筑防火通用规范》（GB55037-2022），</w:t>
            </w:r>
            <w:r>
              <w:rPr>
                <w:rFonts w:hint="eastAsia" w:ascii="Times New Roman" w:hAnsi="Times New Roman" w:eastAsia="宋体" w:cs="宋体"/>
                <w:color w:val="auto"/>
                <w:sz w:val="24"/>
                <w:szCs w:val="24"/>
                <w:lang w:val="en-US" w:eastAsia="zh-CN"/>
              </w:rPr>
              <w:t>项目生产车间为耐火等级为丙类</w:t>
            </w:r>
            <w:r>
              <w:rPr>
                <w:rFonts w:ascii="Times New Roman" w:hAnsi="Times New Roman" w:eastAsia="宋体" w:cs="宋体"/>
                <w:color w:val="auto"/>
                <w:sz w:val="24"/>
                <w:szCs w:val="24"/>
              </w:rPr>
              <w:t>，</w:t>
            </w:r>
            <w:r>
              <w:rPr>
                <w:rFonts w:hint="eastAsia" w:ascii="Times New Roman" w:hAnsi="Times New Roman" w:eastAsia="宋体" w:cs="宋体"/>
                <w:color w:val="auto"/>
                <w:sz w:val="24"/>
                <w:szCs w:val="24"/>
                <w:lang w:val="en-US" w:eastAsia="zh-CN"/>
              </w:rPr>
              <w:t>室内</w:t>
            </w:r>
            <w:r>
              <w:rPr>
                <w:rFonts w:ascii="Times New Roman" w:hAnsi="Times New Roman" w:eastAsia="宋体" w:cs="宋体"/>
                <w:color w:val="auto"/>
                <w:sz w:val="24"/>
                <w:szCs w:val="24"/>
              </w:rPr>
              <w:t>消防水用量为</w:t>
            </w:r>
            <w:r>
              <w:rPr>
                <w:rFonts w:hint="eastAsia" w:cs="宋体"/>
                <w:color w:val="auto"/>
                <w:sz w:val="24"/>
                <w:szCs w:val="24"/>
                <w:lang w:val="en-US" w:eastAsia="zh-CN"/>
              </w:rPr>
              <w:t>1</w:t>
            </w:r>
            <w:r>
              <w:rPr>
                <w:rFonts w:ascii="Times New Roman" w:hAnsi="Times New Roman" w:eastAsia="宋体" w:cs="宋体"/>
                <w:color w:val="auto"/>
                <w:sz w:val="24"/>
                <w:szCs w:val="24"/>
              </w:rPr>
              <w:t>0L/s</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室</w:t>
            </w:r>
            <w:r>
              <w:rPr>
                <w:rFonts w:hint="eastAsia" w:cs="宋体"/>
                <w:color w:val="auto"/>
                <w:sz w:val="24"/>
                <w:szCs w:val="24"/>
                <w:lang w:val="en-US" w:eastAsia="zh-CN"/>
              </w:rPr>
              <w:t>外</w:t>
            </w:r>
            <w:r>
              <w:rPr>
                <w:rFonts w:ascii="Times New Roman" w:hAnsi="Times New Roman" w:eastAsia="宋体" w:cs="宋体"/>
                <w:color w:val="auto"/>
                <w:sz w:val="24"/>
                <w:szCs w:val="24"/>
              </w:rPr>
              <w:t>消防水用量为</w:t>
            </w:r>
            <w:r>
              <w:rPr>
                <w:rFonts w:hint="eastAsia" w:cs="宋体"/>
                <w:color w:val="auto"/>
                <w:sz w:val="24"/>
                <w:szCs w:val="24"/>
                <w:lang w:val="en-US" w:eastAsia="zh-CN"/>
              </w:rPr>
              <w:t>2</w:t>
            </w:r>
            <w:r>
              <w:rPr>
                <w:rFonts w:ascii="Times New Roman" w:hAnsi="Times New Roman" w:eastAsia="宋体" w:cs="宋体"/>
                <w:color w:val="auto"/>
                <w:sz w:val="24"/>
                <w:szCs w:val="24"/>
              </w:rPr>
              <w:t>0L/s</w:t>
            </w:r>
            <w:r>
              <w:rPr>
                <w:rFonts w:hint="eastAsia" w:ascii="Times New Roman" w:hAnsi="Times New Roman" w:eastAsia="宋体" w:cs="宋体"/>
                <w:color w:val="auto"/>
                <w:sz w:val="24"/>
                <w:szCs w:val="24"/>
                <w:lang w:eastAsia="zh-CN"/>
              </w:rPr>
              <w:t>，</w:t>
            </w:r>
            <w:r>
              <w:rPr>
                <w:rFonts w:ascii="Times New Roman" w:hAnsi="Times New Roman" w:eastAsia="宋体" w:cs="宋体"/>
                <w:color w:val="auto"/>
                <w:sz w:val="24"/>
                <w:szCs w:val="24"/>
              </w:rPr>
              <w:t>本项目火灾持续时间取</w:t>
            </w:r>
            <w:r>
              <w:rPr>
                <w:rFonts w:hint="eastAsia" w:ascii="Times New Roman" w:hAnsi="Times New Roman" w:eastAsia="宋体" w:cs="宋体"/>
                <w:color w:val="auto"/>
                <w:sz w:val="24"/>
                <w:szCs w:val="24"/>
                <w:lang w:val="en-US" w:eastAsia="zh-CN"/>
              </w:rPr>
              <w:t>3</w:t>
            </w:r>
            <w:r>
              <w:rPr>
                <w:rFonts w:ascii="Times New Roman" w:hAnsi="Times New Roman" w:eastAsia="宋体" w:cs="宋体"/>
                <w:color w:val="auto"/>
                <w:sz w:val="24"/>
                <w:szCs w:val="24"/>
              </w:rPr>
              <w:t>h，则本项目最大消防用水量为</w:t>
            </w:r>
            <w:r>
              <w:rPr>
                <w:rFonts w:hint="eastAsia" w:cs="宋体"/>
                <w:color w:val="auto"/>
                <w:sz w:val="24"/>
                <w:szCs w:val="24"/>
                <w:lang w:val="en-US" w:eastAsia="zh-CN"/>
              </w:rPr>
              <w:t>324</w:t>
            </w:r>
            <w:r>
              <w:rPr>
                <w:rFonts w:ascii="Times New Roman" w:hAnsi="Times New Roman" w:eastAsia="宋体" w:cs="宋体"/>
                <w:color w:val="auto"/>
                <w:sz w:val="24"/>
                <w:szCs w:val="24"/>
              </w:rPr>
              <w:t>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V3—发生事故时可以传输到其他储存或处理设施的物料量，m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（本项目V3</w:t>
            </w:r>
            <w:r>
              <w:rPr>
                <w:rFonts w:hint="eastAsia" w:cs="宋体"/>
                <w:color w:val="auto"/>
                <w:sz w:val="24"/>
                <w:szCs w:val="24"/>
                <w:lang w:val="en-US" w:eastAsia="zh-CN"/>
              </w:rPr>
              <w:t>取0</w:t>
            </w:r>
            <w:r>
              <w:rPr>
                <w:rFonts w:ascii="Times New Roman" w:hAnsi="Times New Roman" w:eastAsia="宋体" w:cs="宋体"/>
                <w:color w:val="auto"/>
                <w:sz w:val="24"/>
                <w:szCs w:val="24"/>
              </w:rPr>
              <w:t>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V4—发生事故时仍必须进入该收集系统的生产废水量，m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（本项目V4取0m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pPr>
              <w:adjustRightInd w:val="0"/>
              <w:snapToGrid w:val="0"/>
              <w:spacing w:line="360" w:lineRule="auto"/>
              <w:ind w:firstLine="480" w:firstLineChars="200"/>
              <w:rPr>
                <w:rFonts w:ascii="Times New Roman" w:hAnsi="Times New Roman" w:eastAsia="宋体" w:cs="宋体"/>
                <w:color w:val="auto"/>
                <w:sz w:val="24"/>
                <w:szCs w:val="24"/>
              </w:rPr>
            </w:pPr>
            <w:r>
              <w:rPr>
                <w:rFonts w:ascii="Times New Roman" w:hAnsi="Times New Roman" w:eastAsia="宋体" w:cs="宋体"/>
                <w:color w:val="auto"/>
                <w:sz w:val="24"/>
                <w:szCs w:val="24"/>
              </w:rPr>
              <w:t>V5—发生事故时可能进入该收集系统的降雨量，m</w:t>
            </w:r>
            <w:r>
              <w:rPr>
                <w:rFonts w:ascii="Times New Roman" w:hAnsi="Times New Roman" w:eastAsia="宋体" w:cs="宋体"/>
                <w:color w:val="auto"/>
                <w:sz w:val="24"/>
                <w:szCs w:val="24"/>
                <w:vertAlign w:val="superscript"/>
              </w:rPr>
              <w:t>3</w:t>
            </w:r>
            <w:r>
              <w:rPr>
                <w:rFonts w:ascii="Times New Roman" w:hAnsi="Times New Roman" w:eastAsia="宋体" w:cs="宋体"/>
                <w:color w:val="auto"/>
                <w:sz w:val="24"/>
                <w:szCs w:val="24"/>
              </w:rPr>
              <w:t>。</w:t>
            </w:r>
          </w:p>
          <w:p>
            <w:pPr>
              <w:keepNext w:val="0"/>
              <w:keepLines w:val="0"/>
              <w:pageBreakBefore w:val="0"/>
              <w:kinsoku/>
              <w:wordWrap/>
              <w:overflowPunct/>
              <w:topLinePunct w:val="0"/>
              <w:autoSpaceDE/>
              <w:autoSpaceDN/>
              <w:bidi w:val="0"/>
              <w:adjustRightInd w:val="0"/>
              <w:spacing w:line="360" w:lineRule="auto"/>
              <w:ind w:firstLine="480" w:firstLineChars="200"/>
              <w:jc w:val="center"/>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Q=10q•F</w:t>
            </w:r>
          </w:p>
          <w:p>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式中：</w:t>
            </w:r>
          </w:p>
          <w:p>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q—降雨强度，mm；按平均日降雨量；</w:t>
            </w:r>
          </w:p>
          <w:p>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F—区域面积，公顷，项目</w:t>
            </w:r>
            <w:r>
              <w:rPr>
                <w:rFonts w:hint="eastAsia" w:ascii="Times New Roman" w:hAnsi="Times New Roman"/>
                <w:b w:val="0"/>
                <w:bCs/>
                <w:color w:val="auto"/>
                <w:sz w:val="24"/>
                <w:szCs w:val="24"/>
                <w:lang w:val="en-US" w:eastAsia="zh-CN"/>
              </w:rPr>
              <w:t>生产区</w:t>
            </w:r>
            <w:r>
              <w:rPr>
                <w:rFonts w:hint="eastAsia" w:ascii="Times New Roman" w:hAnsi="Times New Roman"/>
                <w:b w:val="0"/>
                <w:bCs/>
                <w:color w:val="auto"/>
                <w:sz w:val="24"/>
                <w:szCs w:val="24"/>
              </w:rPr>
              <w:t>区域面积约</w:t>
            </w:r>
            <w:r>
              <w:rPr>
                <w:rFonts w:hint="eastAsia"/>
                <w:b w:val="0"/>
                <w:bCs/>
                <w:color w:val="auto"/>
                <w:sz w:val="24"/>
                <w:szCs w:val="24"/>
                <w:lang w:val="en-US" w:eastAsia="zh-CN"/>
              </w:rPr>
              <w:t>0.12</w:t>
            </w:r>
            <w:r>
              <w:rPr>
                <w:rFonts w:hint="eastAsia" w:ascii="Times New Roman" w:hAnsi="Times New Roman"/>
                <w:b w:val="0"/>
                <w:bCs/>
                <w:color w:val="auto"/>
                <w:sz w:val="24"/>
                <w:szCs w:val="24"/>
              </w:rPr>
              <w:t>公顷；</w:t>
            </w:r>
          </w:p>
          <w:p>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如皋市年平均降雨量10</w:t>
            </w:r>
            <w:r>
              <w:rPr>
                <w:rFonts w:hint="eastAsia" w:ascii="Times New Roman" w:hAnsi="Times New Roman"/>
                <w:b w:val="0"/>
                <w:bCs/>
                <w:color w:val="auto"/>
                <w:sz w:val="24"/>
                <w:szCs w:val="24"/>
                <w:lang w:val="en-US" w:eastAsia="zh-CN"/>
              </w:rPr>
              <w:t xml:space="preserve">00 </w:t>
            </w:r>
            <w:r>
              <w:rPr>
                <w:rFonts w:hint="eastAsia" w:ascii="Times New Roman" w:hAnsi="Times New Roman"/>
                <w:b w:val="0"/>
                <w:bCs/>
                <w:color w:val="auto"/>
                <w:sz w:val="24"/>
                <w:szCs w:val="24"/>
              </w:rPr>
              <w:t>mm，年平均降雨日数为1</w:t>
            </w:r>
            <w:r>
              <w:rPr>
                <w:rFonts w:hint="eastAsia" w:ascii="Times New Roman" w:hAnsi="Times New Roman"/>
                <w:b w:val="0"/>
                <w:bCs/>
                <w:color w:val="auto"/>
                <w:sz w:val="24"/>
                <w:szCs w:val="24"/>
                <w:lang w:val="en-US" w:eastAsia="zh-CN"/>
              </w:rPr>
              <w:t>50</w:t>
            </w:r>
            <w:r>
              <w:rPr>
                <w:rFonts w:hint="eastAsia" w:ascii="Times New Roman" w:hAnsi="Times New Roman"/>
                <w:b w:val="0"/>
                <w:bCs/>
                <w:color w:val="auto"/>
                <w:sz w:val="24"/>
                <w:szCs w:val="24"/>
              </w:rPr>
              <w:t>天，故平均日降雨量为</w:t>
            </w:r>
            <w:r>
              <w:rPr>
                <w:rFonts w:hint="eastAsia" w:ascii="Times New Roman" w:hAnsi="Times New Roman"/>
                <w:b w:val="0"/>
                <w:bCs/>
                <w:color w:val="auto"/>
                <w:sz w:val="24"/>
                <w:szCs w:val="24"/>
                <w:lang w:val="en-US" w:eastAsia="zh-CN"/>
              </w:rPr>
              <w:t xml:space="preserve">6.67 </w:t>
            </w:r>
            <w:r>
              <w:rPr>
                <w:rFonts w:hint="eastAsia" w:ascii="Times New Roman" w:hAnsi="Times New Roman"/>
                <w:b w:val="0"/>
                <w:bCs/>
                <w:color w:val="auto"/>
                <w:sz w:val="24"/>
                <w:szCs w:val="24"/>
              </w:rPr>
              <w:t>mm。</w:t>
            </w:r>
          </w:p>
          <w:p>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Times New Roman" w:hAnsi="Times New Roman"/>
                <w:b w:val="0"/>
                <w:bCs/>
                <w:color w:val="auto"/>
                <w:sz w:val="24"/>
                <w:szCs w:val="24"/>
              </w:rPr>
            </w:pPr>
            <w:r>
              <w:rPr>
                <w:rFonts w:hint="eastAsia" w:ascii="Times New Roman" w:hAnsi="Times New Roman"/>
                <w:b w:val="0"/>
                <w:bCs/>
                <w:color w:val="auto"/>
                <w:sz w:val="24"/>
                <w:szCs w:val="24"/>
              </w:rPr>
              <w:t>V雨=10q•F =</w:t>
            </w:r>
            <w:r>
              <w:rPr>
                <w:rFonts w:hint="eastAsia"/>
                <w:b w:val="0"/>
                <w:bCs/>
                <w:color w:val="auto"/>
                <w:sz w:val="24"/>
                <w:szCs w:val="24"/>
                <w:lang w:val="en-US" w:eastAsia="zh-CN"/>
              </w:rPr>
              <w:t>8</w:t>
            </w:r>
            <w:r>
              <w:rPr>
                <w:rFonts w:hint="eastAsia" w:ascii="Times New Roman" w:hAnsi="Times New Roman"/>
                <w:b w:val="0"/>
                <w:bCs/>
                <w:color w:val="auto"/>
                <w:sz w:val="24"/>
                <w:szCs w:val="24"/>
              </w:rPr>
              <w:t>m</w:t>
            </w:r>
            <w:r>
              <w:rPr>
                <w:rFonts w:hint="eastAsia" w:ascii="Times New Roman" w:hAnsi="Times New Roman"/>
                <w:b w:val="0"/>
                <w:bCs/>
                <w:color w:val="auto"/>
                <w:sz w:val="24"/>
                <w:szCs w:val="24"/>
                <w:vertAlign w:val="superscript"/>
              </w:rPr>
              <w:t>3</w:t>
            </w:r>
          </w:p>
          <w:p>
            <w:pPr>
              <w:adjustRightInd w:val="0"/>
              <w:snapToGrid w:val="0"/>
              <w:spacing w:line="360" w:lineRule="auto"/>
              <w:ind w:firstLine="480" w:firstLineChars="200"/>
              <w:jc w:val="center"/>
              <w:rPr>
                <w:rFonts w:hint="default" w:ascii="Times New Roman" w:hAnsi="Times New Roman" w:eastAsia="宋体" w:cs="宋体"/>
                <w:color w:val="auto"/>
                <w:sz w:val="24"/>
                <w:szCs w:val="24"/>
                <w:lang w:val="en-US" w:eastAsia="zh-CN"/>
              </w:rPr>
            </w:pPr>
            <w:r>
              <w:rPr>
                <w:rFonts w:ascii="Times New Roman" w:hAnsi="Times New Roman" w:eastAsia="宋体" w:cs="宋体"/>
                <w:color w:val="auto"/>
                <w:sz w:val="24"/>
                <w:szCs w:val="24"/>
              </w:rPr>
              <w:t>V 总＝（V1＋V2－V3）max＋V4+V5＝</w:t>
            </w:r>
            <w:r>
              <w:rPr>
                <w:rFonts w:hint="eastAsia" w:ascii="Times New Roman" w:hAnsi="Times New Roman" w:eastAsia="宋体" w:cs="宋体"/>
                <w:color w:val="auto"/>
                <w:sz w:val="24"/>
                <w:szCs w:val="24"/>
                <w:lang w:eastAsia="zh-CN"/>
              </w:rPr>
              <w:t>（</w:t>
            </w:r>
            <w:r>
              <w:rPr>
                <w:rFonts w:hint="eastAsia" w:ascii="Times New Roman" w:hAnsi="Times New Roman" w:eastAsia="宋体" w:cs="宋体"/>
                <w:color w:val="auto"/>
                <w:sz w:val="24"/>
                <w:szCs w:val="24"/>
                <w:lang w:val="en-US" w:eastAsia="zh-CN"/>
              </w:rPr>
              <w:t>0.2+</w:t>
            </w:r>
            <w:r>
              <w:rPr>
                <w:rFonts w:hint="eastAsia" w:cs="宋体"/>
                <w:color w:val="auto"/>
                <w:sz w:val="24"/>
                <w:szCs w:val="24"/>
                <w:lang w:val="en-US" w:eastAsia="zh-CN"/>
              </w:rPr>
              <w:t>324</w:t>
            </w:r>
            <w:r>
              <w:rPr>
                <w:rFonts w:hint="eastAsia" w:ascii="Times New Roman" w:hAnsi="Times New Roman" w:eastAsia="宋体" w:cs="宋体"/>
                <w:color w:val="auto"/>
                <w:sz w:val="24"/>
                <w:szCs w:val="24"/>
                <w:lang w:val="en-US" w:eastAsia="zh-CN"/>
              </w:rPr>
              <w:t>-</w:t>
            </w:r>
            <w:r>
              <w:rPr>
                <w:rFonts w:hint="eastAsia" w:cs="宋体"/>
                <w:color w:val="auto"/>
                <w:sz w:val="24"/>
                <w:szCs w:val="24"/>
                <w:lang w:val="en-US" w:eastAsia="zh-CN"/>
              </w:rPr>
              <w:t>0</w:t>
            </w:r>
            <w:r>
              <w:rPr>
                <w:rFonts w:hint="eastAsia" w:ascii="Times New Roman" w:hAnsi="Times New Roman" w:eastAsia="宋体" w:cs="宋体"/>
                <w:color w:val="auto"/>
                <w:sz w:val="24"/>
                <w:szCs w:val="24"/>
                <w:lang w:val="en-US" w:eastAsia="zh-CN"/>
              </w:rPr>
              <w:t>）+0+</w:t>
            </w:r>
            <w:r>
              <w:rPr>
                <w:rFonts w:hint="eastAsia" w:cs="宋体"/>
                <w:color w:val="auto"/>
                <w:sz w:val="24"/>
                <w:szCs w:val="24"/>
                <w:lang w:val="en-US" w:eastAsia="zh-CN"/>
              </w:rPr>
              <w:t>8</w:t>
            </w:r>
            <w:r>
              <w:rPr>
                <w:rFonts w:hint="eastAsia" w:ascii="Times New Roman" w:hAnsi="Times New Roman" w:eastAsia="宋体" w:cs="宋体"/>
                <w:color w:val="auto"/>
                <w:sz w:val="24"/>
                <w:szCs w:val="24"/>
                <w:lang w:val="en-US" w:eastAsia="zh-CN"/>
              </w:rPr>
              <w:t>=</w:t>
            </w:r>
            <w:r>
              <w:rPr>
                <w:rFonts w:hint="eastAsia" w:cs="宋体"/>
                <w:color w:val="auto"/>
                <w:sz w:val="24"/>
                <w:szCs w:val="24"/>
                <w:lang w:val="en-US" w:eastAsia="zh-CN"/>
              </w:rPr>
              <w:t>332.2</w:t>
            </w:r>
            <w:r>
              <w:rPr>
                <w:rFonts w:hint="eastAsia" w:ascii="Times New Roman" w:hAnsi="Times New Roman"/>
                <w:b w:val="0"/>
                <w:bCs/>
                <w:color w:val="auto"/>
                <w:sz w:val="24"/>
                <w:szCs w:val="24"/>
              </w:rPr>
              <w:t>m</w:t>
            </w:r>
            <w:r>
              <w:rPr>
                <w:rFonts w:hint="eastAsia" w:ascii="Times New Roman" w:hAnsi="Times New Roman"/>
                <w:b w:val="0"/>
                <w:bCs/>
                <w:color w:val="auto"/>
                <w:sz w:val="24"/>
                <w:szCs w:val="24"/>
                <w:vertAlign w:val="superscript"/>
              </w:rPr>
              <w:t>3</w:t>
            </w:r>
          </w:p>
          <w:p>
            <w:pPr>
              <w:adjustRightInd w:val="0"/>
              <w:snapToGrid w:val="0"/>
              <w:spacing w:line="360" w:lineRule="auto"/>
              <w:ind w:firstLine="480" w:firstLineChars="200"/>
              <w:rPr>
                <w:rFonts w:ascii="Times New Roman" w:hAnsi="Times New Roman" w:eastAsia="宋体" w:cs="宋体"/>
                <w:color w:val="auto"/>
                <w:sz w:val="24"/>
                <w:szCs w:val="24"/>
              </w:rPr>
            </w:pPr>
            <w:r>
              <w:rPr>
                <w:rFonts w:hint="eastAsia" w:ascii="Times New Roman" w:hAnsi="Times New Roman" w:eastAsia="宋体" w:cs="宋体"/>
                <w:color w:val="auto"/>
                <w:sz w:val="24"/>
                <w:szCs w:val="24"/>
              </w:rPr>
              <w:t>本项目依托</w:t>
            </w:r>
            <w:r>
              <w:rPr>
                <w:rFonts w:hint="eastAsia" w:ascii="Times New Roman" w:hAnsi="Times New Roman" w:eastAsia="宋体" w:cs="宋体"/>
                <w:color w:val="auto"/>
                <w:sz w:val="24"/>
                <w:szCs w:val="24"/>
                <w:lang w:val="en-US" w:eastAsia="zh-CN"/>
              </w:rPr>
              <w:t>租赁方</w:t>
            </w:r>
            <w:r>
              <w:rPr>
                <w:rFonts w:hint="eastAsia" w:ascii="Times New Roman" w:hAnsi="Times New Roman" w:eastAsia="宋体" w:cs="宋体"/>
                <w:color w:val="auto"/>
                <w:sz w:val="24"/>
                <w:szCs w:val="24"/>
              </w:rPr>
              <w:t>如皋市大生线路器材有限公司现有事故</w:t>
            </w:r>
            <w:r>
              <w:rPr>
                <w:rFonts w:hint="eastAsia" w:ascii="Times New Roman" w:hAnsi="Times New Roman" w:eastAsia="宋体" w:cs="宋体"/>
                <w:color w:val="auto"/>
                <w:sz w:val="24"/>
                <w:szCs w:val="24"/>
                <w:lang w:val="en-US" w:eastAsia="zh-CN"/>
              </w:rPr>
              <w:t>废水收集系统</w:t>
            </w:r>
            <w:r>
              <w:rPr>
                <w:rFonts w:hint="eastAsia" w:ascii="Times New Roman" w:hAnsi="Times New Roman" w:eastAsia="宋体" w:cs="宋体"/>
                <w:color w:val="auto"/>
                <w:sz w:val="24"/>
                <w:szCs w:val="24"/>
              </w:rPr>
              <w:t>，</w:t>
            </w:r>
            <w:r>
              <w:rPr>
                <w:rFonts w:hint="eastAsia" w:ascii="Times New Roman" w:hAnsi="Times New Roman" w:eastAsia="宋体" w:cs="Times New Roman"/>
                <w:kern w:val="0"/>
                <w:sz w:val="24"/>
                <w:szCs w:val="24"/>
                <w:lang w:val="en-US" w:eastAsia="zh-CN"/>
              </w:rPr>
              <w:t>租赁方</w:t>
            </w:r>
            <w:r>
              <w:rPr>
                <w:rFonts w:hint="eastAsia" w:ascii="Times New Roman" w:hAnsi="Times New Roman" w:eastAsia="宋体" w:cs="Times New Roman"/>
                <w:kern w:val="0"/>
                <w:sz w:val="24"/>
                <w:szCs w:val="24"/>
              </w:rPr>
              <w:t>如皋市大生线路器材有限公司</w:t>
            </w:r>
            <w:r>
              <w:rPr>
                <w:rFonts w:hint="eastAsia"/>
                <w:kern w:val="0"/>
                <w:sz w:val="24"/>
                <w:szCs w:val="24"/>
                <w:lang w:val="en-US" w:eastAsia="zh-CN"/>
              </w:rPr>
              <w:t>北区</w:t>
            </w:r>
            <w:r>
              <w:rPr>
                <w:rFonts w:hint="eastAsia" w:ascii="Times New Roman" w:hAnsi="Times New Roman" w:eastAsia="宋体" w:cs="Times New Roman"/>
                <w:kern w:val="0"/>
                <w:sz w:val="24"/>
                <w:szCs w:val="24"/>
              </w:rPr>
              <w:t>现有事故</w:t>
            </w:r>
            <w:r>
              <w:rPr>
                <w:rFonts w:hint="eastAsia" w:ascii="Times New Roman" w:hAnsi="Times New Roman" w:eastAsia="宋体" w:cs="Times New Roman"/>
                <w:kern w:val="0"/>
                <w:sz w:val="24"/>
                <w:szCs w:val="24"/>
                <w:lang w:val="en-US" w:eastAsia="zh-CN"/>
              </w:rPr>
              <w:t>废水收集系统</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雨水收集池兼做事故应急池</w:t>
            </w:r>
            <w:r>
              <w:rPr>
                <w:rFonts w:hint="eastAsia"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容积800</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，已安装液位计，空余</w:t>
            </w:r>
            <w:r>
              <w:rPr>
                <w:rFonts w:hint="eastAsia" w:ascii="Times New Roman" w:hAnsi="Times New Roman" w:eastAsia="宋体" w:cs="Times New Roman"/>
                <w:kern w:val="0"/>
                <w:sz w:val="24"/>
                <w:szCs w:val="24"/>
              </w:rPr>
              <w:t>容积约为5</w:t>
            </w:r>
            <w:r>
              <w:rPr>
                <w:rFonts w:hint="eastAsia" w:ascii="Times New Roman" w:hAnsi="Times New Roman" w:eastAsia="宋体" w:cs="Times New Roman"/>
                <w:kern w:val="0"/>
                <w:sz w:val="24"/>
                <w:szCs w:val="24"/>
                <w:lang w:val="en-US" w:eastAsia="zh-CN"/>
              </w:rPr>
              <w:t>0</w:t>
            </w:r>
            <w:r>
              <w:rPr>
                <w:rFonts w:hint="eastAsia" w:ascii="Times New Roman" w:hAnsi="Times New Roman" w:eastAsia="宋体" w:cs="Times New Roman"/>
                <w:kern w:val="0"/>
                <w:sz w:val="24"/>
                <w:szCs w:val="24"/>
              </w:rPr>
              <w:t>0m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rPr>
              <w:t>，</w:t>
            </w:r>
            <w:r>
              <w:rPr>
                <w:rFonts w:hint="eastAsia" w:ascii="Times New Roman" w:hAnsi="Times New Roman" w:eastAsia="宋体" w:cs="Times New Roman"/>
                <w:kern w:val="0"/>
                <w:sz w:val="24"/>
                <w:szCs w:val="24"/>
                <w:lang w:val="en-US" w:eastAsia="zh-CN"/>
              </w:rPr>
              <w:t>本项目需使用约332.2</w:t>
            </w:r>
            <w:r>
              <w:rPr>
                <w:rFonts w:hint="eastAsia" w:ascii="Times New Roman" w:hAnsi="Times New Roman" w:eastAsia="宋体" w:cs="Times New Roman"/>
                <w:kern w:val="0"/>
                <w:sz w:val="24"/>
                <w:szCs w:val="24"/>
              </w:rPr>
              <w:t>m</w:t>
            </w:r>
            <w:r>
              <w:rPr>
                <w:rFonts w:hint="eastAsia" w:ascii="Times New Roman" w:hAnsi="Times New Roman" w:eastAsia="宋体" w:cs="Times New Roman"/>
                <w:kern w:val="0"/>
                <w:sz w:val="24"/>
                <w:szCs w:val="24"/>
                <w:vertAlign w:val="superscript"/>
              </w:rPr>
              <w:t>3</w:t>
            </w:r>
            <w:r>
              <w:rPr>
                <w:rFonts w:hint="eastAsia" w:ascii="Times New Roman" w:hAnsi="Times New Roman" w:eastAsia="宋体" w:cs="Times New Roman"/>
                <w:kern w:val="0"/>
                <w:sz w:val="24"/>
                <w:szCs w:val="24"/>
                <w:lang w:val="en-US" w:eastAsia="zh-CN"/>
              </w:rPr>
              <w:t>，</w:t>
            </w:r>
            <w:r>
              <w:rPr>
                <w:rFonts w:hint="eastAsia" w:ascii="Times New Roman" w:hAnsi="Times New Roman" w:eastAsia="宋体" w:cs="Times New Roman"/>
                <w:kern w:val="0"/>
                <w:sz w:val="24"/>
                <w:szCs w:val="24"/>
              </w:rPr>
              <w:t>可满足事故应急使用，且具有防渗防漏功能，满足重点防渗要求</w:t>
            </w:r>
            <w:r>
              <w:rPr>
                <w:rFonts w:hint="eastAsia" w:cs="Times New Roman"/>
                <w:kern w:val="0"/>
                <w:sz w:val="24"/>
                <w:szCs w:val="24"/>
                <w:lang w:eastAsia="zh-CN"/>
              </w:rPr>
              <w:t>。</w:t>
            </w:r>
            <w:r>
              <w:rPr>
                <w:rFonts w:hint="eastAsia" w:ascii="Times New Roman" w:hAnsi="Times New Roman" w:eastAsia="宋体" w:cs="Times New Roman"/>
                <w:kern w:val="0"/>
                <w:sz w:val="24"/>
                <w:szCs w:val="24"/>
              </w:rPr>
              <w:t>因此本项目依托可行</w:t>
            </w:r>
            <w:r>
              <w:rPr>
                <w:rFonts w:hint="eastAsia" w:ascii="Times New Roman" w:hAnsi="Times New Roman" w:eastAsia="宋体" w:cs="宋体"/>
                <w:color w:val="auto"/>
                <w:sz w:val="24"/>
                <w:szCs w:val="24"/>
              </w:rPr>
              <w:t>。应急事故池已与雨水管网连通并安装切换阀门，一旦发生泄漏事故，污染物进入事故池中贮存，不外排，不会对保护目标产生影响</w:t>
            </w:r>
            <w:r>
              <w:rPr>
                <w:rFonts w:ascii="Times New Roman" w:hAnsi="Times New Roman" w:eastAsia="宋体" w:cs="宋体"/>
                <w:color w:val="auto"/>
                <w:sz w:val="24"/>
                <w:szCs w:val="24"/>
              </w:rPr>
              <w:t>。</w:t>
            </w:r>
          </w:p>
          <w:p>
            <w:pPr>
              <w:adjustRightInd w:val="0"/>
              <w:snapToGrid w:val="0"/>
              <w:spacing w:line="360" w:lineRule="auto"/>
              <w:ind w:firstLine="482" w:firstLineChars="200"/>
              <w:rPr>
                <w:rFonts w:hint="eastAsia" w:ascii="Times New Roman" w:hAnsi="Times New Roman" w:eastAsia="宋体"/>
                <w:b/>
                <w:bCs w:val="0"/>
                <w:color w:val="auto"/>
                <w:kern w:val="0"/>
                <w:sz w:val="24"/>
                <w:szCs w:val="24"/>
                <w:highlight w:val="none"/>
                <w:lang w:val="en-US" w:eastAsia="zh-CN"/>
              </w:rPr>
            </w:pPr>
            <w:r>
              <w:rPr>
                <w:rFonts w:hint="eastAsia"/>
                <w:b/>
                <w:bCs w:val="0"/>
                <w:color w:val="auto"/>
                <w:kern w:val="0"/>
                <w:sz w:val="24"/>
                <w:szCs w:val="24"/>
                <w:highlight w:val="none"/>
                <w:lang w:val="en-US" w:eastAsia="zh-CN"/>
              </w:rPr>
              <w:t>②事故废水收集措施</w:t>
            </w:r>
          </w:p>
          <w:p>
            <w:pPr>
              <w:adjustRightInd w:val="0"/>
              <w:snapToGrid w:val="0"/>
              <w:spacing w:line="360" w:lineRule="auto"/>
              <w:ind w:firstLine="480" w:firstLineChars="200"/>
              <w:rPr>
                <w:rFonts w:hint="eastAsia"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为防止被污染的消防水等通过厂区雨水管道等途径进入周围地表水体，对周围地表水的生态环境造成突发性的污染事故，</w:t>
            </w:r>
            <w:r>
              <w:rPr>
                <w:rFonts w:hint="eastAsia"/>
                <w:bCs/>
                <w:color w:val="auto"/>
                <w:kern w:val="0"/>
                <w:sz w:val="24"/>
                <w:szCs w:val="24"/>
                <w:highlight w:val="none"/>
                <w:lang w:val="en-US" w:eastAsia="zh-CN"/>
              </w:rPr>
              <w:t>已</w:t>
            </w:r>
            <w:r>
              <w:rPr>
                <w:rFonts w:hint="eastAsia" w:ascii="Times New Roman" w:hAnsi="Times New Roman"/>
                <w:bCs/>
                <w:color w:val="auto"/>
                <w:kern w:val="0"/>
                <w:sz w:val="24"/>
                <w:szCs w:val="24"/>
                <w:highlight w:val="none"/>
              </w:rPr>
              <w:t>采取以下措施予以防范：</w:t>
            </w:r>
          </w:p>
          <w:p>
            <w:pPr>
              <w:adjustRightInd w:val="0"/>
              <w:snapToGrid w:val="0"/>
              <w:spacing w:line="360" w:lineRule="auto"/>
              <w:ind w:firstLine="480" w:firstLineChars="200"/>
              <w:rPr>
                <w:rFonts w:hint="eastAsia"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a.</w:t>
            </w:r>
            <w:r>
              <w:rPr>
                <w:rFonts w:hint="eastAsia" w:ascii="Times New Roman" w:hAnsi="Times New Roman"/>
                <w:bCs/>
                <w:color w:val="auto"/>
                <w:kern w:val="0"/>
                <w:sz w:val="24"/>
                <w:szCs w:val="24"/>
                <w:highlight w:val="none"/>
                <w:lang w:val="en-US" w:eastAsia="zh-CN"/>
              </w:rPr>
              <w:t>依托租赁方雨污管网，</w:t>
            </w:r>
            <w:r>
              <w:rPr>
                <w:rFonts w:hint="eastAsia" w:ascii="Times New Roman" w:hAnsi="Times New Roman"/>
                <w:bCs/>
                <w:color w:val="auto"/>
                <w:kern w:val="0"/>
                <w:sz w:val="24"/>
                <w:szCs w:val="24"/>
                <w:highlight w:val="none"/>
              </w:rPr>
              <w:t>雨水</w:t>
            </w:r>
            <w:r>
              <w:rPr>
                <w:rFonts w:hint="eastAsia" w:ascii="Times New Roman" w:hAnsi="Times New Roman"/>
                <w:bCs/>
                <w:color w:val="auto"/>
                <w:kern w:val="0"/>
                <w:sz w:val="24"/>
                <w:szCs w:val="24"/>
                <w:highlight w:val="none"/>
                <w:lang w:val="en-US" w:eastAsia="zh-CN"/>
              </w:rPr>
              <w:t>排口已</w:t>
            </w:r>
            <w:r>
              <w:rPr>
                <w:rFonts w:hint="eastAsia" w:ascii="Times New Roman" w:hAnsi="Times New Roman"/>
                <w:bCs/>
                <w:color w:val="auto"/>
                <w:kern w:val="0"/>
                <w:sz w:val="24"/>
                <w:szCs w:val="24"/>
                <w:highlight w:val="none"/>
              </w:rPr>
              <w:t>设置切换阀，能够及时阻断被污染的消防水或其它废水进入雨水管道。</w:t>
            </w:r>
          </w:p>
          <w:p>
            <w:pPr>
              <w:adjustRightInd w:val="0"/>
              <w:snapToGrid w:val="0"/>
              <w:spacing w:line="360" w:lineRule="auto"/>
              <w:ind w:firstLine="480" w:firstLineChars="200"/>
              <w:rPr>
                <w:rFonts w:hint="eastAsia" w:ascii="Times New Roman" w:hAnsi="Times New Roman" w:eastAsia="宋体"/>
                <w:bCs/>
                <w:color w:val="auto"/>
                <w:kern w:val="0"/>
                <w:sz w:val="24"/>
                <w:szCs w:val="24"/>
                <w:highlight w:val="none"/>
                <w:lang w:eastAsia="zh-CN"/>
              </w:rPr>
            </w:pPr>
            <w:r>
              <w:rPr>
                <w:rFonts w:hint="eastAsia" w:ascii="Times New Roman" w:hAnsi="Times New Roman"/>
                <w:bCs/>
                <w:color w:val="auto"/>
                <w:kern w:val="0"/>
                <w:sz w:val="24"/>
                <w:szCs w:val="24"/>
                <w:highlight w:val="none"/>
              </w:rPr>
              <w:t>b.事故状态下，第一时间切断雨水外排口，</w:t>
            </w:r>
            <w:r>
              <w:rPr>
                <w:rFonts w:hint="eastAsia"/>
                <w:bCs/>
                <w:color w:val="auto"/>
                <w:kern w:val="0"/>
                <w:sz w:val="24"/>
                <w:szCs w:val="24"/>
                <w:highlight w:val="none"/>
                <w:lang w:val="en-US" w:eastAsia="zh-CN"/>
              </w:rPr>
              <w:t>将</w:t>
            </w:r>
            <w:r>
              <w:rPr>
                <w:rFonts w:hint="eastAsia" w:ascii="Times New Roman" w:hAnsi="Times New Roman"/>
                <w:bCs/>
                <w:color w:val="auto"/>
                <w:kern w:val="0"/>
                <w:sz w:val="24"/>
                <w:szCs w:val="24"/>
                <w:highlight w:val="none"/>
              </w:rPr>
              <w:t>事故废水截留在</w:t>
            </w:r>
            <w:r>
              <w:rPr>
                <w:rFonts w:hint="eastAsia"/>
                <w:bCs/>
                <w:color w:val="auto"/>
                <w:kern w:val="0"/>
                <w:sz w:val="24"/>
                <w:szCs w:val="24"/>
                <w:highlight w:val="none"/>
                <w:lang w:val="en-US" w:eastAsia="zh-CN"/>
              </w:rPr>
              <w:t>租赁方</w:t>
            </w:r>
            <w:r>
              <w:rPr>
                <w:rFonts w:hint="eastAsia" w:ascii="Times New Roman" w:hAnsi="Times New Roman"/>
                <w:bCs/>
                <w:color w:val="auto"/>
                <w:kern w:val="0"/>
                <w:sz w:val="24"/>
                <w:szCs w:val="24"/>
                <w:highlight w:val="none"/>
              </w:rPr>
              <w:t>雨水管网</w:t>
            </w:r>
            <w:r>
              <w:rPr>
                <w:rFonts w:hint="eastAsia"/>
                <w:bCs/>
                <w:color w:val="auto"/>
                <w:kern w:val="0"/>
                <w:sz w:val="24"/>
                <w:szCs w:val="24"/>
                <w:highlight w:val="none"/>
                <w:lang w:val="en-US" w:eastAsia="zh-CN"/>
              </w:rPr>
              <w:t>与应急事故池</w:t>
            </w:r>
            <w:r>
              <w:rPr>
                <w:rFonts w:hint="eastAsia" w:ascii="Times New Roman" w:hAnsi="Times New Roman"/>
                <w:bCs/>
                <w:color w:val="auto"/>
                <w:kern w:val="0"/>
                <w:sz w:val="24"/>
                <w:szCs w:val="24"/>
                <w:highlight w:val="none"/>
              </w:rPr>
              <w:t>中，待事故结束，事故废水经检测合格后送污水处理厂处理，若检测结果不符合污水处理厂标准，则作为危废委托有资质单位处置。</w:t>
            </w:r>
          </w:p>
          <w:p>
            <w:pPr>
              <w:adjustRightInd w:val="0"/>
              <w:snapToGrid w:val="0"/>
              <w:spacing w:line="360" w:lineRule="auto"/>
              <w:ind w:firstLine="480" w:firstLineChars="200"/>
              <w:rPr>
                <w:rFonts w:hint="default" w:ascii="Times New Roman" w:hAnsi="Times New Roman" w:eastAsia="宋体"/>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c</w:t>
            </w:r>
            <w:r>
              <w:rPr>
                <w:rFonts w:hint="eastAsia" w:ascii="Times New Roman" w:hAnsi="Times New Roman"/>
                <w:bCs/>
                <w:color w:val="auto"/>
                <w:kern w:val="0"/>
                <w:sz w:val="24"/>
                <w:szCs w:val="24"/>
                <w:highlight w:val="none"/>
              </w:rPr>
              <w:t>.经常对排水管道进行检查和维修，保持畅通、完好。加强企业安全管理制度和安全教育，制定防止事故发生的各种规章制度并严格执行，使安全工作做到经常化和制度化。</w:t>
            </w:r>
          </w:p>
          <w:p>
            <w:pPr>
              <w:adjustRightInd w:val="0"/>
              <w:snapToGrid w:val="0"/>
              <w:spacing w:line="360" w:lineRule="auto"/>
              <w:ind w:firstLine="482" w:firstLineChars="200"/>
              <w:rPr>
                <w:rFonts w:hint="eastAsia" w:ascii="Times New Roman" w:hAnsi="Times New Roman" w:eastAsia="宋体" w:cs="Times New Roman"/>
                <w:b/>
                <w:bCs w:val="0"/>
                <w:color w:val="auto"/>
                <w:kern w:val="0"/>
                <w:sz w:val="24"/>
                <w:szCs w:val="24"/>
                <w:highlight w:val="none"/>
                <w:lang w:val="en-US" w:eastAsia="zh-CN"/>
              </w:rPr>
            </w:pPr>
            <w:r>
              <w:rPr>
                <w:rFonts w:hint="eastAsia" w:ascii="Times New Roman" w:hAnsi="Times New Roman" w:eastAsia="宋体" w:cs="Times New Roman"/>
                <w:b/>
                <w:bCs w:val="0"/>
                <w:color w:val="auto"/>
                <w:kern w:val="0"/>
                <w:sz w:val="24"/>
                <w:szCs w:val="24"/>
                <w:highlight w:val="none"/>
                <w:lang w:val="en-US" w:eastAsia="zh-CN"/>
              </w:rPr>
              <w:t>③构筑环境风险三级（单元-厂区-园区）应急防范体系</w:t>
            </w:r>
          </w:p>
          <w:p>
            <w:pPr>
              <w:adjustRightInd w:val="0"/>
              <w:snapToGrid w:val="0"/>
              <w:spacing w:line="360" w:lineRule="auto"/>
              <w:ind w:firstLine="480" w:firstLineChars="200"/>
              <w:rPr>
                <w:rFonts w:hint="eastAsia"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rPr>
              <w:t>a、第一级防控体系的功能主要是将事故废水控制在事故风险源所在区域单元，该体系主要是由收集沟和管道等配套基础设施组成，防止污染雨水和轻微事故泄漏造成的环境污染</w:t>
            </w:r>
            <w:r>
              <w:rPr>
                <w:rFonts w:hint="eastAsia" w:ascii="Times New Roman" w:hAnsi="Times New Roman" w:eastAsia="宋体" w:cs="Times New Roman"/>
                <w:bCs/>
                <w:color w:val="auto"/>
                <w:kern w:val="0"/>
                <w:sz w:val="24"/>
                <w:szCs w:val="24"/>
                <w:highlight w:val="none"/>
                <w:lang w:val="en-US" w:eastAsia="zh-CN"/>
              </w:rPr>
              <w:t>。</w:t>
            </w:r>
            <w:r>
              <w:rPr>
                <w:rFonts w:hint="eastAsia" w:ascii="Times New Roman" w:hAnsi="Times New Roman"/>
                <w:bCs/>
                <w:color w:val="auto"/>
                <w:kern w:val="0"/>
                <w:sz w:val="24"/>
                <w:szCs w:val="24"/>
                <w:highlight w:val="none"/>
              </w:rPr>
              <w:t>事故状态下，第一时间切断雨水外排口，</w:t>
            </w:r>
            <w:r>
              <w:rPr>
                <w:rFonts w:hint="eastAsia"/>
                <w:bCs/>
                <w:color w:val="auto"/>
                <w:kern w:val="0"/>
                <w:sz w:val="24"/>
                <w:szCs w:val="24"/>
                <w:highlight w:val="none"/>
                <w:lang w:val="en-US" w:eastAsia="zh-CN"/>
              </w:rPr>
              <w:t>将</w:t>
            </w:r>
            <w:r>
              <w:rPr>
                <w:rFonts w:hint="eastAsia" w:ascii="Times New Roman" w:hAnsi="Times New Roman"/>
                <w:bCs/>
                <w:color w:val="auto"/>
                <w:kern w:val="0"/>
                <w:sz w:val="24"/>
                <w:szCs w:val="24"/>
                <w:highlight w:val="none"/>
              </w:rPr>
              <w:t>事故废水截留在</w:t>
            </w:r>
            <w:r>
              <w:rPr>
                <w:rFonts w:hint="eastAsia"/>
                <w:bCs/>
                <w:color w:val="auto"/>
                <w:kern w:val="0"/>
                <w:sz w:val="24"/>
                <w:szCs w:val="24"/>
                <w:highlight w:val="none"/>
                <w:lang w:val="en-US" w:eastAsia="zh-CN"/>
              </w:rPr>
              <w:t>租赁方</w:t>
            </w:r>
            <w:r>
              <w:rPr>
                <w:rFonts w:hint="eastAsia" w:ascii="Times New Roman" w:hAnsi="Times New Roman"/>
                <w:bCs/>
                <w:color w:val="auto"/>
                <w:kern w:val="0"/>
                <w:sz w:val="24"/>
                <w:szCs w:val="24"/>
                <w:highlight w:val="none"/>
              </w:rPr>
              <w:t>雨水管网</w:t>
            </w:r>
            <w:r>
              <w:rPr>
                <w:rFonts w:hint="eastAsia"/>
                <w:bCs/>
                <w:color w:val="auto"/>
                <w:kern w:val="0"/>
                <w:sz w:val="24"/>
                <w:szCs w:val="24"/>
                <w:highlight w:val="none"/>
                <w:lang w:val="en-US" w:eastAsia="zh-CN"/>
              </w:rPr>
              <w:t>与应急事故池</w:t>
            </w:r>
            <w:r>
              <w:rPr>
                <w:rFonts w:hint="eastAsia" w:ascii="Times New Roman" w:hAnsi="Times New Roman"/>
                <w:bCs/>
                <w:color w:val="auto"/>
                <w:kern w:val="0"/>
                <w:sz w:val="24"/>
                <w:szCs w:val="24"/>
                <w:highlight w:val="none"/>
              </w:rPr>
              <w:t>中，待事故结束，事故废水经检测合格后送污水处理厂处理，若检测结果不符合污水处理厂标准，则作为危废委托有资质单位处置</w:t>
            </w:r>
            <w:r>
              <w:rPr>
                <w:rFonts w:hint="eastAsia"/>
                <w:bCs/>
                <w:color w:val="auto"/>
                <w:kern w:val="0"/>
                <w:sz w:val="24"/>
                <w:szCs w:val="24"/>
                <w:highlight w:val="none"/>
                <w:lang w:eastAsia="zh-CN"/>
              </w:rPr>
              <w:t>。</w:t>
            </w:r>
          </w:p>
          <w:p>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rPr>
              <w:t>b、第二级防控体系必须建设厂区应急事故水池、拦污坝及其配套设施（如事故导排系统），防止单套生产装置较大事故泄漏物料和消防废水造成的环境污染；事故应急池应在突发事故状态下拦截和收集厂区范围内的事故废水，避免其危害外部环境致使事故扩大化，因此事故应急池被视为企业的关键防控设施体系。事故应急池应必需具备以下基本属性要求：专一性，禁止他用；自流式，即进水方式不依赖动力；池容足够大；地下式，防蚀防渗。</w:t>
            </w:r>
            <w:r>
              <w:rPr>
                <w:rFonts w:hint="eastAsia" w:ascii="Times New Roman" w:hAnsi="Times New Roman" w:eastAsia="宋体" w:cs="Times New Roman"/>
                <w:bCs/>
                <w:color w:val="auto"/>
                <w:kern w:val="0"/>
                <w:sz w:val="24"/>
                <w:szCs w:val="24"/>
                <w:highlight w:val="none"/>
                <w:lang w:val="en-US" w:eastAsia="zh-CN"/>
              </w:rPr>
              <w:t>本项目</w:t>
            </w:r>
            <w:r>
              <w:rPr>
                <w:rFonts w:hint="eastAsia" w:ascii="Times New Roman" w:hAnsi="Times New Roman" w:eastAsia="宋体" w:cs="宋体"/>
                <w:color w:val="auto"/>
                <w:sz w:val="24"/>
                <w:szCs w:val="24"/>
              </w:rPr>
              <w:t>依托</w:t>
            </w:r>
            <w:r>
              <w:rPr>
                <w:rFonts w:hint="eastAsia" w:ascii="Times New Roman" w:hAnsi="Times New Roman" w:eastAsia="宋体" w:cs="宋体"/>
                <w:color w:val="auto"/>
                <w:sz w:val="24"/>
                <w:szCs w:val="24"/>
                <w:lang w:val="en-US" w:eastAsia="zh-CN"/>
              </w:rPr>
              <w:t>租赁方</w:t>
            </w:r>
            <w:r>
              <w:rPr>
                <w:rFonts w:hint="eastAsia" w:ascii="Times New Roman" w:hAnsi="Times New Roman" w:eastAsia="宋体" w:cs="宋体"/>
                <w:color w:val="auto"/>
                <w:sz w:val="24"/>
                <w:szCs w:val="24"/>
              </w:rPr>
              <w:t>现有事故</w:t>
            </w:r>
            <w:r>
              <w:rPr>
                <w:rFonts w:hint="eastAsia" w:ascii="Times New Roman" w:hAnsi="Times New Roman" w:eastAsia="宋体" w:cs="宋体"/>
                <w:color w:val="auto"/>
                <w:sz w:val="24"/>
                <w:szCs w:val="24"/>
                <w:lang w:val="en-US" w:eastAsia="zh-CN"/>
              </w:rPr>
              <w:t>废水收集系统</w:t>
            </w:r>
            <w:r>
              <w:rPr>
                <w:rFonts w:hint="eastAsia" w:ascii="Times New Roman" w:hAnsi="Times New Roman" w:eastAsia="宋体" w:cs="Times New Roman"/>
                <w:bCs/>
                <w:color w:val="auto"/>
                <w:kern w:val="0"/>
                <w:sz w:val="24"/>
                <w:szCs w:val="24"/>
                <w:highlight w:val="none"/>
                <w:lang w:val="en-US" w:eastAsia="zh-CN"/>
              </w:rPr>
              <w:t>，满足事故状态下的拦截及收集。</w:t>
            </w:r>
          </w:p>
          <w:p>
            <w:pPr>
              <w:adjustRightInd w:val="0"/>
              <w:snapToGrid w:val="0"/>
              <w:spacing w:line="360" w:lineRule="auto"/>
              <w:ind w:firstLine="480" w:firstLineChars="200"/>
              <w:rPr>
                <w:rFonts w:hint="default" w:ascii="Times New Roman" w:hAnsi="Times New Roman" w:eastAsia="宋体" w:cs="Times New Roman"/>
                <w:bCs/>
                <w:color w:val="auto"/>
                <w:kern w:val="0"/>
                <w:sz w:val="24"/>
                <w:szCs w:val="24"/>
                <w:highlight w:val="none"/>
                <w:lang w:val="en-US" w:eastAsia="zh-CN"/>
              </w:rPr>
            </w:pPr>
            <w:r>
              <w:rPr>
                <w:rFonts w:hint="eastAsia" w:ascii="Times New Roman" w:hAnsi="Times New Roman" w:eastAsia="宋体" w:cs="Times New Roman"/>
                <w:bCs/>
                <w:color w:val="auto"/>
                <w:kern w:val="0"/>
                <w:sz w:val="24"/>
                <w:szCs w:val="24"/>
                <w:highlight w:val="none"/>
              </w:rPr>
              <w:t>c、第三级水环境风险防控体系是针对企业厂内防范能力有限而导致事故废水可能外溢出厂界的应急处理。与其他邻近企业实现资源共享和救援合作，增强事故废水的防范能力，防止事故废水进入环境敏感区，必要是启动园区突发环境事件应急预案。</w:t>
            </w:r>
            <w:r>
              <w:rPr>
                <w:rFonts w:hint="eastAsia" w:ascii="Times New Roman" w:hAnsi="Times New Roman" w:eastAsia="宋体" w:cs="Times New Roman"/>
                <w:bCs/>
                <w:color w:val="auto"/>
                <w:kern w:val="0"/>
                <w:sz w:val="24"/>
                <w:szCs w:val="24"/>
                <w:highlight w:val="none"/>
                <w:lang w:val="en-US" w:eastAsia="zh-CN"/>
              </w:rPr>
              <w:t>本项目</w:t>
            </w:r>
            <w:r>
              <w:rPr>
                <w:rFonts w:hint="eastAsia" w:ascii="Times New Roman" w:hAnsi="Times New Roman" w:eastAsia="宋体" w:cs="宋体"/>
                <w:color w:val="auto"/>
                <w:sz w:val="24"/>
                <w:szCs w:val="24"/>
              </w:rPr>
              <w:t>依托</w:t>
            </w:r>
            <w:r>
              <w:rPr>
                <w:rFonts w:hint="eastAsia" w:ascii="Times New Roman" w:hAnsi="Times New Roman" w:eastAsia="宋体" w:cs="宋体"/>
                <w:color w:val="auto"/>
                <w:sz w:val="24"/>
                <w:szCs w:val="24"/>
                <w:lang w:val="en-US" w:eastAsia="zh-CN"/>
              </w:rPr>
              <w:t>租赁方</w:t>
            </w:r>
            <w:r>
              <w:rPr>
                <w:rFonts w:hint="eastAsia" w:ascii="Times New Roman" w:hAnsi="Times New Roman" w:eastAsia="宋体" w:cs="宋体"/>
                <w:color w:val="auto"/>
                <w:sz w:val="24"/>
                <w:szCs w:val="24"/>
              </w:rPr>
              <w:t>如皋市大生线路器材有限公司</w:t>
            </w:r>
            <w:r>
              <w:rPr>
                <w:rFonts w:hint="eastAsia" w:ascii="Times New Roman" w:hAnsi="Times New Roman" w:eastAsia="宋体" w:cs="宋体"/>
                <w:color w:val="auto"/>
                <w:sz w:val="24"/>
                <w:szCs w:val="24"/>
                <w:lang w:val="en-US" w:eastAsia="zh-CN"/>
              </w:rPr>
              <w:t>，</w:t>
            </w:r>
            <w:r>
              <w:rPr>
                <w:rFonts w:hint="eastAsia" w:ascii="Times New Roman" w:hAnsi="Times New Roman" w:eastAsia="宋体" w:cs="Times New Roman"/>
                <w:bCs/>
                <w:color w:val="auto"/>
                <w:kern w:val="0"/>
                <w:sz w:val="24"/>
                <w:szCs w:val="24"/>
                <w:highlight w:val="none"/>
                <w:lang w:val="en-US" w:eastAsia="zh-CN"/>
              </w:rPr>
              <w:t>实现资源共享和救援合作，满足第三级水环境风险防控。</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ascii="Times New Roman" w:hAnsi="Times New Roman"/>
                <w:b w:val="0"/>
                <w:bCs/>
                <w:color w:val="auto"/>
                <w:kern w:val="0"/>
                <w:sz w:val="24"/>
                <w:szCs w:val="24"/>
                <w:highlight w:val="none"/>
                <w:lang w:val="en-US" w:eastAsia="zh-CN"/>
              </w:rPr>
              <w:t>（5）</w:t>
            </w:r>
            <w:r>
              <w:rPr>
                <w:rFonts w:hint="eastAsia"/>
                <w:b w:val="0"/>
                <w:bCs/>
                <w:color w:val="auto"/>
                <w:kern w:val="0"/>
                <w:sz w:val="24"/>
                <w:szCs w:val="24"/>
                <w:highlight w:val="none"/>
                <w:lang w:val="en-US" w:eastAsia="zh-CN"/>
              </w:rPr>
              <w:t>企业突发性环境事件应急监测方案</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事故应急监测将在突发环境事件发生时，启动应急监测方案，并与区域应急监测方案相衔接，由应急指挥部与有资质监测公司取得联系，实施事故应急监测。</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①突发性大气环境监测</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监测因子为：根据事故范围选择适当的监测因子，发生泄漏事故选择非甲烷总烃作为监测因子。</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监测时间和频次：按照事故持续时间决定监测时间，根据事故严重性决定监测频次。一般情况下特征因子，每小时监测1次，随事故控制减弱，适当减少监测频次。</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测点布设：按事故发生时的主导风向的下风向，考虑区域功能，设置1-2个测点。</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公司现有环境监测计划的日常环境监测因子和频次不能满足事故监控的要求。事故应急监测将在突发环境事件发生时，启动应急监测方案，并与区域应急监测方案相衔接，由应急指挥部与有资质监测公司等有资质监测单位取得联系，实施事故应急监测。</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②水环境监测</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监测因子为：根据事故范围选择适当的监测因子，选择COD、SS、氨氮、tp、TN、石油类等作为监测因子。</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监测时间和频次：按照事故持续时间决定监测时间，根据事故严重性决定监测频次。一般情况下每小时取样一次。随事故控制减弱，适当减少监测频次。</w:t>
            </w:r>
          </w:p>
          <w:p>
            <w:pPr>
              <w:adjustRightInd w:val="0"/>
              <w:snapToGrid w:val="0"/>
              <w:spacing w:line="360" w:lineRule="auto"/>
              <w:ind w:firstLine="480" w:firstLineChars="200"/>
              <w:rPr>
                <w:rFonts w:hint="eastAsia"/>
                <w:b w:val="0"/>
                <w:bCs/>
                <w:color w:val="auto"/>
                <w:kern w:val="0"/>
                <w:sz w:val="24"/>
                <w:szCs w:val="24"/>
                <w:highlight w:val="none"/>
                <w:lang w:val="en-US" w:eastAsia="zh-CN"/>
              </w:rPr>
            </w:pPr>
            <w:r>
              <w:rPr>
                <w:rFonts w:hint="eastAsia"/>
                <w:b w:val="0"/>
                <w:bCs/>
                <w:color w:val="auto"/>
                <w:kern w:val="0"/>
                <w:sz w:val="24"/>
                <w:szCs w:val="24"/>
                <w:highlight w:val="none"/>
                <w:lang w:val="en-US" w:eastAsia="zh-CN"/>
              </w:rPr>
              <w:t>测点布设：为防止公司事故、消防废水进入水体，对雨水排口、污水排口及雨水排入河流（东文革河）进行监测。</w:t>
            </w:r>
          </w:p>
          <w:p>
            <w:pPr>
              <w:adjustRightInd w:val="0"/>
              <w:snapToGrid w:val="0"/>
              <w:spacing w:line="360" w:lineRule="auto"/>
              <w:ind w:firstLine="480" w:firstLineChars="200"/>
              <w:rPr>
                <w:rFonts w:hint="default" w:ascii="Times New Roman" w:hAnsi="Times New Roman"/>
                <w:b w:val="0"/>
                <w:bCs/>
                <w:color w:val="auto"/>
                <w:kern w:val="0"/>
                <w:sz w:val="24"/>
                <w:szCs w:val="24"/>
                <w:highlight w:val="none"/>
                <w:lang w:val="en-US" w:eastAsia="zh-CN"/>
              </w:rPr>
            </w:pPr>
            <w:r>
              <w:rPr>
                <w:rFonts w:hint="eastAsia"/>
                <w:b w:val="0"/>
                <w:bCs/>
                <w:color w:val="auto"/>
                <w:kern w:val="0"/>
                <w:sz w:val="24"/>
                <w:szCs w:val="24"/>
                <w:highlight w:val="none"/>
                <w:lang w:val="en-US" w:eastAsia="zh-CN"/>
              </w:rPr>
              <w:t>（6）</w:t>
            </w:r>
            <w:r>
              <w:rPr>
                <w:rFonts w:hint="eastAsia" w:ascii="Times New Roman" w:hAnsi="Times New Roman"/>
                <w:b w:val="0"/>
                <w:bCs/>
                <w:color w:val="auto"/>
                <w:kern w:val="0"/>
                <w:sz w:val="24"/>
                <w:szCs w:val="24"/>
                <w:highlight w:val="none"/>
                <w:lang w:val="en-US" w:eastAsia="zh-CN"/>
              </w:rPr>
              <w:t>竣工验收内容</w:t>
            </w:r>
          </w:p>
          <w:p>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本项目建成后，应将安全环境风险防范措施完善情况纳入竣工验收内容：</w:t>
            </w:r>
          </w:p>
          <w:p>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①租赁方事故应急池有足够容积暂存事故废水，各阀门安装完好，确保能将事故废水控制在厂区范围内，不外排；</w:t>
            </w:r>
          </w:p>
          <w:p>
            <w:pPr>
              <w:adjustRightInd w:val="0"/>
              <w:snapToGrid w:val="0"/>
              <w:spacing w:line="360" w:lineRule="auto"/>
              <w:ind w:firstLine="480" w:firstLineChars="200"/>
              <w:rPr>
                <w:rFonts w:hint="eastAsia"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②各应急物资充分到位，定时维护，确保时刻完好可用；</w:t>
            </w:r>
          </w:p>
          <w:p>
            <w:pPr>
              <w:adjustRightInd w:val="0"/>
              <w:snapToGrid w:val="0"/>
              <w:spacing w:line="360" w:lineRule="auto"/>
              <w:ind w:firstLine="480" w:firstLineChars="200"/>
              <w:rPr>
                <w:rFonts w:hint="default" w:ascii="Times New Roman" w:hAnsi="Times New Roman"/>
                <w:bCs/>
                <w:color w:val="auto"/>
                <w:kern w:val="0"/>
                <w:sz w:val="24"/>
                <w:szCs w:val="24"/>
                <w:highlight w:val="none"/>
                <w:lang w:val="en-US" w:eastAsia="zh-CN"/>
              </w:rPr>
            </w:pPr>
            <w:r>
              <w:rPr>
                <w:rFonts w:hint="eastAsia" w:ascii="Times New Roman" w:hAnsi="Times New Roman"/>
                <w:bCs/>
                <w:color w:val="auto"/>
                <w:kern w:val="0"/>
                <w:sz w:val="24"/>
                <w:szCs w:val="24"/>
                <w:highlight w:val="none"/>
                <w:lang w:val="en-US" w:eastAsia="zh-CN"/>
              </w:rPr>
              <w:t>③厂区及生产车间消防设施、防爆措施落实到位；</w:t>
            </w:r>
          </w:p>
          <w:p>
            <w:pPr>
              <w:adjustRightInd w:val="0"/>
              <w:snapToGrid w:val="0"/>
              <w:spacing w:line="360" w:lineRule="auto"/>
              <w:ind w:firstLine="480" w:firstLineChars="200"/>
              <w:rPr>
                <w:rFonts w:hint="eastAsia"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lang w:val="en-US" w:eastAsia="zh-CN"/>
              </w:rPr>
              <w:t>④环境应急预案按相关要求编制完成，管控及应急措施落实到位。</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7</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与苏环发〔2023〕5 号相符性分析</w:t>
            </w:r>
          </w:p>
          <w:p>
            <w:pPr>
              <w:adjustRightInd w:val="0"/>
              <w:snapToGrid w:val="0"/>
              <w:spacing w:line="360" w:lineRule="auto"/>
              <w:ind w:firstLine="480" w:firstLineChars="200"/>
              <w:rPr>
                <w:rFonts w:hint="eastAsia"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rPr>
              <w:t>根据《全省生态环境安全与应急管理“强基提能”三年行动计划》（苏环发〔2023〕5号），结合环境风险等级，本项目可开展简单分析。</w:t>
            </w:r>
          </w:p>
          <w:p>
            <w:pPr>
              <w:adjustRightInd w:val="0"/>
              <w:snapToGrid w:val="0"/>
              <w:spacing w:line="360" w:lineRule="auto"/>
              <w:ind w:firstLine="480" w:firstLineChars="200"/>
              <w:rPr>
                <w:rFonts w:hint="eastAsia"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rPr>
              <w:t>建设单位需响应号召，有效提升本质环境安全水平。推动环境安全主体责任落实，建立“三落实三必须”机制；推动环评和预案质量提升，建设项目内容做到环境风险识别、典型事故情形、风险防范措施、应急管理制度和竣工验收内容“五个明确”，项目建成后将及时编制应急预案并备案；推动环境应急基础设计建设，构筑企业“风险单元-管网、应急池-厂界”的突发水污染事件“三道防线”；强化常态化隐患排查治理。</w:t>
            </w:r>
          </w:p>
          <w:p>
            <w:pPr>
              <w:adjustRightInd w:val="0"/>
              <w:snapToGrid w:val="0"/>
              <w:spacing w:line="360" w:lineRule="auto"/>
              <w:ind w:firstLine="482" w:firstLineChars="200"/>
              <w:rPr>
                <w:b/>
                <w:bCs/>
                <w:color w:val="auto"/>
                <w:sz w:val="24"/>
                <w:szCs w:val="32"/>
              </w:rPr>
            </w:pPr>
            <w:r>
              <w:rPr>
                <w:rFonts w:hint="eastAsia"/>
                <w:b/>
                <w:bCs/>
                <w:color w:val="auto"/>
                <w:sz w:val="24"/>
                <w:szCs w:val="32"/>
                <w:lang w:val="en-US" w:eastAsia="zh-CN"/>
              </w:rPr>
              <w:t>3、环境</w:t>
            </w:r>
            <w:r>
              <w:rPr>
                <w:b/>
                <w:bCs/>
                <w:color w:val="auto"/>
                <w:sz w:val="24"/>
                <w:szCs w:val="32"/>
              </w:rPr>
              <w:t xml:space="preserve">风险结论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color w:val="auto"/>
                <w:sz w:val="24"/>
                <w:szCs w:val="32"/>
              </w:rPr>
              <w:t>在各环境风险防范措施落实到位的情况下，可降低建设项目的环境风险，最大程度减少对环境可能造成的危害，项目对环境的风险影响可接受</w:t>
            </w:r>
            <w:r>
              <w:rPr>
                <w:rFonts w:hint="eastAsia" w:ascii="Times New Roman" w:hAnsi="Times New Roman" w:eastAsia="宋体" w:cs="Times New Roman"/>
                <w:sz w:val="24"/>
                <w:szCs w:val="24"/>
                <w:lang w:val="en-US" w:eastAsia="zh-CN"/>
              </w:rPr>
              <w:t>。</w:t>
            </w:r>
          </w:p>
          <w:p>
            <w:pPr>
              <w:adjustRightInd w:val="0"/>
              <w:snapToGrid w:val="0"/>
              <w:spacing w:line="360" w:lineRule="auto"/>
              <w:ind w:left="400"/>
              <w:rPr>
                <w:rFonts w:ascii="宋体" w:hAnsi="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八</w:t>
            </w:r>
            <w:r>
              <w:rPr>
                <w:rFonts w:hint="eastAsia" w:ascii="宋体" w:hAnsi="宋体" w:cs="宋体"/>
                <w:b/>
                <w:bCs/>
                <w:sz w:val="24"/>
                <w:szCs w:val="24"/>
                <w:lang w:eastAsia="zh-CN"/>
              </w:rPr>
              <w:t>）</w:t>
            </w:r>
            <w:r>
              <w:rPr>
                <w:rFonts w:hint="eastAsia" w:ascii="宋体" w:hAnsi="宋体" w:cs="宋体"/>
                <w:b/>
                <w:bCs/>
                <w:sz w:val="24"/>
                <w:szCs w:val="24"/>
              </w:rPr>
              <w:t>电磁辐射</w:t>
            </w:r>
          </w:p>
          <w:p>
            <w:pPr>
              <w:adjustRightInd w:val="0"/>
              <w:snapToGrid w:val="0"/>
              <w:spacing w:line="360" w:lineRule="auto"/>
              <w:ind w:firstLine="480" w:firstLineChars="200"/>
              <w:rPr>
                <w:sz w:val="24"/>
                <w:szCs w:val="24"/>
              </w:rPr>
            </w:pPr>
            <w:r>
              <w:rPr>
                <w:sz w:val="24"/>
                <w:szCs w:val="24"/>
              </w:rPr>
              <w:t>本项目不涉及电磁辐射装置。</w:t>
            </w:r>
          </w:p>
          <w:p>
            <w:pPr>
              <w:adjustRightInd w:val="0"/>
              <w:snapToGrid w:val="0"/>
              <w:spacing w:line="360" w:lineRule="auto"/>
              <w:ind w:left="400"/>
              <w:rPr>
                <w:rFonts w:hint="default" w:ascii="宋体" w:hAnsi="宋体" w:eastAsia="宋体" w:cs="宋体"/>
                <w:b/>
                <w:bCs/>
                <w:sz w:val="24"/>
                <w:szCs w:val="24"/>
              </w:rPr>
            </w:pPr>
            <w:r>
              <w:rPr>
                <w:rFonts w:hint="eastAsia" w:ascii="宋体" w:hAnsi="宋体" w:eastAsia="宋体" w:cs="宋体"/>
                <w:b/>
                <w:bCs/>
                <w:sz w:val="24"/>
                <w:szCs w:val="24"/>
                <w:lang w:val="en-US" w:eastAsia="zh-CN"/>
              </w:rPr>
              <w:t>（九）</w:t>
            </w:r>
            <w:r>
              <w:rPr>
                <w:rFonts w:hint="default" w:ascii="宋体" w:hAnsi="宋体" w:eastAsia="宋体" w:cs="宋体"/>
                <w:b/>
                <w:bCs/>
                <w:sz w:val="24"/>
                <w:szCs w:val="24"/>
              </w:rPr>
              <w:t>环保投资一览表</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本项目总投资</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00</w:t>
            </w:r>
            <w:r>
              <w:rPr>
                <w:rFonts w:hint="default" w:ascii="Times New Roman" w:hAnsi="Times New Roman" w:eastAsia="宋体" w:cs="Times New Roman"/>
                <w:sz w:val="24"/>
                <w:szCs w:val="24"/>
              </w:rPr>
              <w:t>万元，环保投资约</w:t>
            </w:r>
            <w:r>
              <w:rPr>
                <w:rFonts w:hint="eastAsia" w:cs="Times New Roman"/>
                <w:sz w:val="24"/>
                <w:szCs w:val="24"/>
                <w:lang w:val="en-US" w:eastAsia="zh-CN"/>
              </w:rPr>
              <w:t>15</w:t>
            </w:r>
            <w:r>
              <w:rPr>
                <w:rFonts w:hint="default" w:ascii="Times New Roman" w:hAnsi="Times New Roman" w:eastAsia="宋体" w:cs="Times New Roman"/>
                <w:sz w:val="24"/>
                <w:szCs w:val="24"/>
              </w:rPr>
              <w:t>万元，占项目总投资的</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%。建设项目“三同时”验收一览表见下表。</w:t>
            </w:r>
          </w:p>
          <w:p>
            <w:pPr>
              <w:pStyle w:val="7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表4-</w:t>
            </w:r>
            <w:r>
              <w:rPr>
                <w:rFonts w:hint="eastAsia" w:cs="Times New Roman"/>
                <w:b/>
                <w:bCs/>
                <w:color w:val="auto"/>
                <w:sz w:val="24"/>
                <w:szCs w:val="22"/>
                <w:highlight w:val="none"/>
                <w:lang w:val="en-US" w:eastAsia="zh-CN"/>
              </w:rPr>
              <w:t>28  项目</w:t>
            </w:r>
            <w:r>
              <w:rPr>
                <w:rFonts w:hint="default" w:ascii="Times New Roman" w:hAnsi="Times New Roman" w:cs="Times New Roman"/>
                <w:b/>
                <w:bCs/>
                <w:color w:val="auto"/>
                <w:sz w:val="24"/>
                <w:szCs w:val="22"/>
                <w:highlight w:val="none"/>
              </w:rPr>
              <w:t>“三同时”验收项目一览表</w:t>
            </w:r>
          </w:p>
          <w:tbl>
            <w:tblPr>
              <w:tblStyle w:val="30"/>
              <w:tblW w:w="8391" w:type="dxa"/>
              <w:jc w:val="center"/>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319"/>
              <w:gridCol w:w="730"/>
              <w:gridCol w:w="1185"/>
              <w:gridCol w:w="1566"/>
              <w:gridCol w:w="2922"/>
              <w:gridCol w:w="791"/>
              <w:gridCol w:w="878"/>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319" w:type="dxa"/>
                  <w:tcBorders>
                    <w:tl2br w:val="nil"/>
                    <w:tr2bl w:val="nil"/>
                  </w:tcBorders>
                  <w:noWrap w:val="0"/>
                  <w:tcMar>
                    <w:left w:w="0" w:type="dxa"/>
                    <w:right w:w="0" w:type="dxa"/>
                  </w:tcMar>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类别</w:t>
                  </w:r>
                </w:p>
              </w:tc>
              <w:tc>
                <w:tcPr>
                  <w:tcW w:w="730" w:type="dxa"/>
                  <w:tcBorders>
                    <w:tl2br w:val="nil"/>
                    <w:tr2bl w:val="nil"/>
                  </w:tcBorders>
                  <w:noWrap w:val="0"/>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污染源</w:t>
                  </w:r>
                </w:p>
              </w:tc>
              <w:tc>
                <w:tcPr>
                  <w:tcW w:w="1185" w:type="dxa"/>
                  <w:tcBorders>
                    <w:tl2br w:val="nil"/>
                    <w:tr2bl w:val="nil"/>
                  </w:tcBorders>
                  <w:noWrap w:val="0"/>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污染物</w:t>
                  </w:r>
                </w:p>
              </w:tc>
              <w:tc>
                <w:tcPr>
                  <w:tcW w:w="1566" w:type="dxa"/>
                  <w:tcBorders>
                    <w:tl2br w:val="nil"/>
                    <w:tr2bl w:val="nil"/>
                  </w:tcBorders>
                  <w:noWrap w:val="0"/>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治理措施（建设数量、规模及处理能力）</w:t>
                  </w:r>
                </w:p>
              </w:tc>
              <w:tc>
                <w:tcPr>
                  <w:tcW w:w="2922" w:type="dxa"/>
                  <w:tcBorders>
                    <w:tl2br w:val="nil"/>
                    <w:tr2bl w:val="nil"/>
                  </w:tcBorders>
                  <w:noWrap w:val="0"/>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处理效果、执行标准或拟达要求</w:t>
                  </w:r>
                </w:p>
              </w:tc>
              <w:tc>
                <w:tcPr>
                  <w:tcW w:w="791" w:type="dxa"/>
                  <w:tcBorders>
                    <w:tl2br w:val="nil"/>
                    <w:tr2bl w:val="nil"/>
                  </w:tcBorders>
                  <w:noWrap w:val="0"/>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环保投资（万元）</w:t>
                  </w:r>
                </w:p>
              </w:tc>
              <w:tc>
                <w:tcPr>
                  <w:tcW w:w="878" w:type="dxa"/>
                  <w:tcBorders>
                    <w:tl2br w:val="nil"/>
                    <w:tr2bl w:val="nil"/>
                  </w:tcBorders>
                  <w:noWrap w:val="0"/>
                  <w:tcMar>
                    <w:left w:w="0" w:type="dxa"/>
                    <w:right w:w="0" w:type="dxa"/>
                  </w:tcMar>
                  <w:vAlign w:val="center"/>
                </w:tcPr>
                <w:p>
                  <w:pPr>
                    <w:pStyle w:val="79"/>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完成时间及进度</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319" w:type="dxa"/>
                  <w:tcBorders>
                    <w:tl2br w:val="nil"/>
                    <w:tr2bl w:val="nil"/>
                  </w:tcBorders>
                  <w:shd w:val="clear" w:color="auto" w:fill="auto"/>
                  <w:noWrap w:val="0"/>
                  <w:tcMar>
                    <w:left w:w="0" w:type="dxa"/>
                    <w:right w:w="0" w:type="dxa"/>
                  </w:tcMar>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无组织</w:t>
                  </w:r>
                  <w:r>
                    <w:rPr>
                      <w:rFonts w:hint="default" w:ascii="Times New Roman" w:hAnsi="Times New Roman" w:cs="Times New Roman"/>
                      <w:color w:val="auto"/>
                      <w:sz w:val="21"/>
                      <w:szCs w:val="21"/>
                      <w:highlight w:val="none"/>
                      <w:lang w:val="en-US" w:eastAsia="zh-CN"/>
                    </w:rPr>
                    <w:t>废气</w:t>
                  </w:r>
                </w:p>
              </w:tc>
              <w:tc>
                <w:tcPr>
                  <w:tcW w:w="730" w:type="dxa"/>
                  <w:tcBorders>
                    <w:tl2br w:val="nil"/>
                    <w:tr2bl w:val="nil"/>
                  </w:tcBorders>
                  <w:shd w:val="clear" w:color="auto" w:fill="auto"/>
                  <w:noWrap w:val="0"/>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厂界</w:t>
                  </w:r>
                  <w:r>
                    <w:rPr>
                      <w:rFonts w:hint="eastAsia" w:cs="Times New Roman"/>
                      <w:color w:val="auto"/>
                      <w:sz w:val="21"/>
                      <w:szCs w:val="21"/>
                      <w:highlight w:val="none"/>
                      <w:lang w:val="en-US" w:eastAsia="zh-CN"/>
                    </w:rPr>
                    <w:t>/厂区车间外</w:t>
                  </w:r>
                </w:p>
              </w:tc>
              <w:tc>
                <w:tcPr>
                  <w:tcW w:w="1185" w:type="dxa"/>
                  <w:tcBorders>
                    <w:tl2br w:val="nil"/>
                    <w:tr2bl w:val="nil"/>
                  </w:tcBorders>
                  <w:noWrap w:val="0"/>
                  <w:vAlign w:val="center"/>
                </w:tcPr>
                <w:p>
                  <w:pPr>
                    <w:pStyle w:val="79"/>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非甲烷总烃</w:t>
                  </w:r>
                </w:p>
              </w:tc>
              <w:tc>
                <w:tcPr>
                  <w:tcW w:w="1566" w:type="dxa"/>
                  <w:tcBorders>
                    <w:tl2br w:val="nil"/>
                    <w:tr2bl w:val="nil"/>
                  </w:tcBorders>
                  <w:noWrap w:val="0"/>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lang w:val="en-US" w:eastAsia="zh-CN"/>
                    </w:rPr>
                    <w:t>车间通风</w:t>
                  </w:r>
                </w:p>
              </w:tc>
              <w:tc>
                <w:tcPr>
                  <w:tcW w:w="2922" w:type="dxa"/>
                  <w:tcBorders>
                    <w:tl2br w:val="nil"/>
                    <w:tr2bl w:val="nil"/>
                  </w:tcBorders>
                  <w:noWrap w:val="0"/>
                  <w:vAlign w:val="center"/>
                </w:tcPr>
                <w:p>
                  <w:pPr>
                    <w:pStyle w:val="79"/>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《合成树脂工业污染物排放标准》（GB 31572-2015，含2024年修改单）及《大气污染物综合排放标准》（DB32/4041-2021）</w:t>
                  </w:r>
                </w:p>
              </w:tc>
              <w:tc>
                <w:tcPr>
                  <w:tcW w:w="791" w:type="dxa"/>
                  <w:tcBorders>
                    <w:tl2br w:val="nil"/>
                    <w:tr2bl w:val="nil"/>
                  </w:tcBorders>
                  <w:noWrap w:val="0"/>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878" w:type="dxa"/>
                  <w:vMerge w:val="restart"/>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与主体工程同步设计、同步施工、同步使用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319" w:type="dxa"/>
                  <w:tcBorders>
                    <w:tl2br w:val="nil"/>
                    <w:tr2bl w:val="nil"/>
                  </w:tcBorders>
                  <w:noWrap w:val="0"/>
                  <w:tcMar>
                    <w:left w:w="0" w:type="dxa"/>
                    <w:right w:w="0" w:type="dxa"/>
                  </w:tcMar>
                  <w:vAlign w:val="center"/>
                </w:tcPr>
                <w:p>
                  <w:pPr>
                    <w:pStyle w:val="7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w:t>
                  </w:r>
                </w:p>
              </w:tc>
              <w:tc>
                <w:tcPr>
                  <w:tcW w:w="730" w:type="dxa"/>
                  <w:tcBorders>
                    <w:tl2br w:val="nil"/>
                    <w:tr2bl w:val="nil"/>
                  </w:tcBorders>
                  <w:noWrap w:val="0"/>
                  <w:vAlign w:val="center"/>
                </w:tcPr>
                <w:p>
                  <w:pPr>
                    <w:pStyle w:val="7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生活</w:t>
                  </w:r>
                </w:p>
              </w:tc>
              <w:tc>
                <w:tcPr>
                  <w:tcW w:w="1185" w:type="dxa"/>
                  <w:tcBorders>
                    <w:tl2br w:val="nil"/>
                    <w:tr2bl w:val="nil"/>
                  </w:tcBorders>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pH、COD、SS、氨氮、TN、TP</w:t>
                  </w:r>
                </w:p>
              </w:tc>
              <w:tc>
                <w:tcPr>
                  <w:tcW w:w="1566" w:type="dxa"/>
                  <w:tcBorders>
                    <w:tl2br w:val="nil"/>
                    <w:tr2bl w:val="nil"/>
                  </w:tcBorders>
                  <w:noWrap w:val="0"/>
                  <w:vAlign w:val="center"/>
                </w:tcPr>
                <w:p>
                  <w:pPr>
                    <w:pStyle w:val="79"/>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化粪池，依托租赁方管网接管排放</w:t>
                  </w:r>
                </w:p>
              </w:tc>
              <w:tc>
                <w:tcPr>
                  <w:tcW w:w="2922" w:type="dxa"/>
                  <w:tcBorders>
                    <w:tl2br w:val="nil"/>
                    <w:tr2bl w:val="nil"/>
                  </w:tcBorders>
                  <w:noWrap w:val="0"/>
                  <w:vAlign w:val="center"/>
                </w:tcPr>
                <w:p>
                  <w:pPr>
                    <w:pStyle w:val="79"/>
                    <w:jc w:val="both"/>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rPr>
                    <w:t>《污水综合排放标准》（GB8978-1996）</w:t>
                  </w:r>
                  <w:r>
                    <w:rPr>
                      <w:rFonts w:hint="default" w:ascii="Times New Roman" w:hAnsi="Times New Roman" w:eastAsia="宋体" w:cs="Times New Roman"/>
                      <w:color w:val="auto"/>
                      <w:sz w:val="21"/>
                      <w:szCs w:val="21"/>
                      <w:lang w:eastAsia="zh-CN"/>
                    </w:rPr>
                    <w:t>、《污水排入城镇下水道水质标准》（GB/T31962-2015）</w:t>
                  </w:r>
                </w:p>
              </w:tc>
              <w:tc>
                <w:tcPr>
                  <w:tcW w:w="791" w:type="dxa"/>
                  <w:tcBorders>
                    <w:tl2br w:val="nil"/>
                    <w:tr2bl w:val="nil"/>
                  </w:tcBorders>
                  <w:noWrap w:val="0"/>
                  <w:vAlign w:val="center"/>
                </w:tcPr>
                <w:p>
                  <w:pPr>
                    <w:pStyle w:val="79"/>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319" w:type="dxa"/>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730"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各类设备运转</w:t>
                  </w:r>
                </w:p>
              </w:tc>
              <w:tc>
                <w:tcPr>
                  <w:tcW w:w="1185"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566"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选用低噪声设备、合理布局，设备减震、厂房隔声，距离衰减</w:t>
                  </w:r>
                </w:p>
              </w:tc>
              <w:tc>
                <w:tcPr>
                  <w:tcW w:w="2922" w:type="dxa"/>
                  <w:tcBorders>
                    <w:tl2br w:val="nil"/>
                    <w:tr2bl w:val="nil"/>
                  </w:tcBorders>
                  <w:noWrap w:val="0"/>
                  <w:vAlign w:val="center"/>
                </w:tcPr>
                <w:p>
                  <w:pPr>
                    <w:pStyle w:val="79"/>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厂界噪声达《工业企业厂界环境噪声排放标准》（GB12348-2008）3类标准</w:t>
                  </w:r>
                </w:p>
              </w:tc>
              <w:tc>
                <w:tcPr>
                  <w:tcW w:w="791" w:type="dxa"/>
                  <w:tcBorders>
                    <w:tl2br w:val="nil"/>
                    <w:tr2bl w:val="nil"/>
                  </w:tcBorders>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180" w:hRule="atLeast"/>
                <w:jc w:val="center"/>
              </w:trPr>
              <w:tc>
                <w:tcPr>
                  <w:tcW w:w="319" w:type="dxa"/>
                  <w:vMerge w:val="restart"/>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固体废物</w:t>
                  </w:r>
                </w:p>
              </w:tc>
              <w:tc>
                <w:tcPr>
                  <w:tcW w:w="730" w:type="dxa"/>
                  <w:vMerge w:val="restart"/>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生产过程</w:t>
                  </w:r>
                </w:p>
              </w:tc>
              <w:tc>
                <w:tcPr>
                  <w:tcW w:w="1185" w:type="dxa"/>
                  <w:tcBorders>
                    <w:tl2br w:val="nil"/>
                    <w:tr2bl w:val="nil"/>
                  </w:tcBorders>
                  <w:shd w:val="clear" w:color="auto" w:fill="auto"/>
                  <w:noWrap w:val="0"/>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一般固废</w:t>
                  </w:r>
                </w:p>
              </w:tc>
              <w:tc>
                <w:tcPr>
                  <w:tcW w:w="1566" w:type="dxa"/>
                  <w:tcBorders>
                    <w:tl2br w:val="nil"/>
                    <w:tr2bl w:val="nil"/>
                  </w:tcBorders>
                  <w:shd w:val="clear" w:color="auto" w:fill="auto"/>
                  <w:noWrap w:val="0"/>
                  <w:vAlign w:val="center"/>
                </w:tcPr>
                <w:p>
                  <w:pPr>
                    <w:pStyle w:val="79"/>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一般固废库</w:t>
                  </w:r>
                  <w:r>
                    <w:rPr>
                      <w:rFonts w:hint="eastAsia" w:cs="Times New Roman"/>
                      <w:color w:val="auto"/>
                      <w:sz w:val="21"/>
                      <w:szCs w:val="21"/>
                      <w:highlight w:val="none"/>
                      <w:lang w:val="en-US" w:eastAsia="zh-CN"/>
                    </w:rPr>
                    <w:t>20</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p>
              </w:tc>
              <w:tc>
                <w:tcPr>
                  <w:tcW w:w="2922" w:type="dxa"/>
                  <w:tcBorders>
                    <w:tl2br w:val="nil"/>
                    <w:tr2bl w:val="nil"/>
                  </w:tcBorders>
                  <w:shd w:val="clear" w:color="auto" w:fill="auto"/>
                  <w:noWrap w:val="0"/>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sz w:val="21"/>
                      <w:szCs w:val="21"/>
                      <w:highlight w:val="none"/>
                    </w:rPr>
                    <w:t>/</w:t>
                  </w:r>
                </w:p>
              </w:tc>
              <w:tc>
                <w:tcPr>
                  <w:tcW w:w="791" w:type="dxa"/>
                  <w:tcBorders>
                    <w:tl2br w:val="nil"/>
                    <w:tr2bl w:val="nil"/>
                  </w:tcBorders>
                  <w:shd w:val="clear" w:color="auto" w:fill="auto"/>
                  <w:noWrap w:val="0"/>
                  <w:vAlign w:val="center"/>
                </w:tcPr>
                <w:p>
                  <w:pPr>
                    <w:pStyle w:val="79"/>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 w:val="21"/>
                      <w:szCs w:val="21"/>
                      <w:highlight w:val="none"/>
                      <w:lang w:val="en-US" w:eastAsia="zh-CN"/>
                    </w:rPr>
                    <w:t>2</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180" w:hRule="atLeast"/>
                <w:jc w:val="center"/>
              </w:trPr>
              <w:tc>
                <w:tcPr>
                  <w:tcW w:w="319" w:type="dxa"/>
                  <w:vMerge w:val="continue"/>
                  <w:tcBorders>
                    <w:tl2br w:val="nil"/>
                    <w:tr2bl w:val="nil"/>
                  </w:tcBorders>
                  <w:noWrap w:val="0"/>
                  <w:tcMar>
                    <w:left w:w="0" w:type="dxa"/>
                    <w:right w:w="0" w:type="dxa"/>
                  </w:tcMar>
                  <w:vAlign w:val="center"/>
                </w:tcPr>
                <w:p>
                  <w:pPr>
                    <w:pStyle w:val="79"/>
                  </w:pPr>
                </w:p>
              </w:tc>
              <w:tc>
                <w:tcPr>
                  <w:tcW w:w="730" w:type="dxa"/>
                  <w:vMerge w:val="continue"/>
                  <w:tcBorders>
                    <w:tl2br w:val="nil"/>
                    <w:tr2bl w:val="nil"/>
                  </w:tcBorders>
                  <w:noWrap w:val="0"/>
                  <w:vAlign w:val="center"/>
                </w:tcPr>
                <w:p>
                  <w:pPr>
                    <w:pStyle w:val="79"/>
                  </w:pPr>
                </w:p>
              </w:tc>
              <w:tc>
                <w:tcPr>
                  <w:tcW w:w="1185" w:type="dxa"/>
                  <w:tcBorders>
                    <w:tl2br w:val="nil"/>
                    <w:tr2bl w:val="nil"/>
                  </w:tcBorders>
                  <w:shd w:val="clear" w:color="auto" w:fill="auto"/>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危险废物</w:t>
                  </w:r>
                </w:p>
              </w:tc>
              <w:tc>
                <w:tcPr>
                  <w:tcW w:w="1566" w:type="dxa"/>
                  <w:tcBorders>
                    <w:tl2br w:val="nil"/>
                    <w:tr2bl w:val="nil"/>
                  </w:tcBorders>
                  <w:shd w:val="clear" w:color="auto" w:fill="auto"/>
                  <w:noWrap w:val="0"/>
                  <w:vAlign w:val="center"/>
                </w:tcPr>
                <w:p>
                  <w:pPr>
                    <w:pStyle w:val="79"/>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危废仓库5</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2</w:t>
                  </w:r>
                </w:p>
              </w:tc>
              <w:tc>
                <w:tcPr>
                  <w:tcW w:w="2922" w:type="dxa"/>
                  <w:tcBorders>
                    <w:tl2br w:val="nil"/>
                    <w:tr2bl w:val="nil"/>
                  </w:tcBorders>
                  <w:shd w:val="clear" w:color="auto" w:fill="auto"/>
                  <w:noWrap w:val="0"/>
                  <w:vAlign w:val="center"/>
                </w:tcPr>
                <w:p>
                  <w:pPr>
                    <w:pStyle w:val="7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791" w:type="dxa"/>
                  <w:tcBorders>
                    <w:tl2br w:val="nil"/>
                    <w:tr2bl w:val="nil"/>
                  </w:tcBorders>
                  <w:shd w:val="clear" w:color="auto" w:fill="auto"/>
                  <w:noWrap w:val="0"/>
                  <w:vAlign w:val="center"/>
                </w:tcPr>
                <w:p>
                  <w:pPr>
                    <w:pStyle w:val="79"/>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gridSpan w:val="3"/>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绿化</w:t>
                  </w:r>
                </w:p>
              </w:tc>
              <w:tc>
                <w:tcPr>
                  <w:tcW w:w="1566"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依托</w:t>
                  </w:r>
                  <w:r>
                    <w:rPr>
                      <w:rFonts w:hint="eastAsia" w:ascii="Times New Roman" w:hAnsi="Times New Roman" w:cs="Times New Roman"/>
                      <w:color w:val="auto"/>
                      <w:sz w:val="21"/>
                      <w:szCs w:val="21"/>
                      <w:highlight w:val="none"/>
                      <w:lang w:val="en-US" w:eastAsia="zh-CN"/>
                    </w:rPr>
                    <w:t>租赁方</w:t>
                  </w:r>
                </w:p>
              </w:tc>
              <w:tc>
                <w:tcPr>
                  <w:tcW w:w="2922"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91" w:type="dxa"/>
                  <w:tcBorders>
                    <w:tl2br w:val="nil"/>
                    <w:tr2bl w:val="nil"/>
                  </w:tcBorders>
                  <w:noWrap w:val="0"/>
                  <w:vAlign w:val="center"/>
                </w:tcPr>
                <w:p>
                  <w:pPr>
                    <w:pStyle w:val="79"/>
                    <w:rPr>
                      <w:rFonts w:hint="eastAsia"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gridSpan w:val="3"/>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雨污分流、排污口规范化设置（流量计、在线监测仪等）</w:t>
                  </w:r>
                </w:p>
              </w:tc>
              <w:tc>
                <w:tcPr>
                  <w:tcW w:w="1566" w:type="dxa"/>
                  <w:tcBorders>
                    <w:tl2br w:val="nil"/>
                    <w:tr2bl w:val="nil"/>
                  </w:tcBorders>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本项目雨污水排口依托</w:t>
                  </w:r>
                  <w:r>
                    <w:rPr>
                      <w:rFonts w:hint="eastAsia" w:cs="Times New Roman"/>
                      <w:color w:val="auto"/>
                      <w:sz w:val="21"/>
                      <w:szCs w:val="21"/>
                      <w:highlight w:val="none"/>
                      <w:lang w:val="en-US" w:eastAsia="zh-CN"/>
                    </w:rPr>
                    <w:t>租赁方</w:t>
                  </w:r>
                </w:p>
              </w:tc>
              <w:tc>
                <w:tcPr>
                  <w:tcW w:w="2922"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满足《江苏省排污口设置及规范化整治管理办法》</w:t>
                  </w:r>
                </w:p>
              </w:tc>
              <w:tc>
                <w:tcPr>
                  <w:tcW w:w="791" w:type="dxa"/>
                  <w:tcBorders>
                    <w:tl2br w:val="nil"/>
                    <w:tr2bl w:val="nil"/>
                  </w:tcBorders>
                  <w:noWrap w:val="0"/>
                  <w:vAlign w:val="center"/>
                </w:tcPr>
                <w:p>
                  <w:pPr>
                    <w:pStyle w:val="79"/>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gridSpan w:val="3"/>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总量平衡方案</w:t>
                  </w:r>
                </w:p>
              </w:tc>
              <w:tc>
                <w:tcPr>
                  <w:tcW w:w="4488" w:type="dxa"/>
                  <w:gridSpan w:val="2"/>
                  <w:tcBorders>
                    <w:tl2br w:val="nil"/>
                    <w:tr2bl w:val="nil"/>
                  </w:tcBorders>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本项目属于</w:t>
                  </w:r>
                  <w:r>
                    <w:rPr>
                      <w:rFonts w:hint="eastAsia" w:cs="Times New Roman"/>
                      <w:color w:val="auto"/>
                      <w:szCs w:val="21"/>
                      <w:lang w:val="en-US" w:eastAsia="zh-CN"/>
                    </w:rPr>
                    <w:t>C2924 泡沫塑料制造</w:t>
                  </w:r>
                  <w:r>
                    <w:rPr>
                      <w:rFonts w:hint="default" w:ascii="Times New Roman" w:hAnsi="Times New Roman" w:eastAsia="宋体" w:cs="Times New Roman"/>
                      <w:color w:val="auto"/>
                      <w:sz w:val="21"/>
                      <w:szCs w:val="21"/>
                      <w:highlight w:val="none"/>
                      <w:lang w:val="en-US" w:eastAsia="zh-CN"/>
                    </w:rPr>
                    <w:t>，对照《固定污染源排污许可分类管理名录》，实行</w:t>
                  </w:r>
                  <w:r>
                    <w:rPr>
                      <w:rFonts w:hint="eastAsia" w:cs="Times New Roman"/>
                      <w:color w:val="auto"/>
                      <w:sz w:val="21"/>
                      <w:szCs w:val="21"/>
                      <w:highlight w:val="none"/>
                      <w:lang w:val="en-US" w:eastAsia="zh-CN"/>
                    </w:rPr>
                    <w:t>登记</w:t>
                  </w:r>
                  <w:r>
                    <w:rPr>
                      <w:rFonts w:hint="default" w:ascii="Times New Roman" w:hAnsi="Times New Roman" w:eastAsia="宋体" w:cs="Times New Roman"/>
                      <w:color w:val="auto"/>
                      <w:sz w:val="21"/>
                      <w:szCs w:val="21"/>
                      <w:highlight w:val="none"/>
                      <w:lang w:val="en-US" w:eastAsia="zh-CN"/>
                    </w:rPr>
                    <w:t>管理</w:t>
                  </w:r>
                  <w:r>
                    <w:rPr>
                      <w:rFonts w:hint="eastAsia" w:ascii="Times New Roman" w:hAnsi="Times New Roman" w:cs="Times New Roman"/>
                      <w:color w:val="auto"/>
                      <w:sz w:val="21"/>
                      <w:szCs w:val="21"/>
                      <w:highlight w:val="none"/>
                      <w:lang w:val="en-US" w:eastAsia="zh-CN"/>
                    </w:rPr>
                    <w:t>，无需实施总量平衡</w:t>
                  </w:r>
                </w:p>
              </w:tc>
              <w:tc>
                <w:tcPr>
                  <w:tcW w:w="791" w:type="dxa"/>
                  <w:tcBorders>
                    <w:tl2br w:val="nil"/>
                    <w:tr2bl w:val="nil"/>
                  </w:tcBorders>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gridSpan w:val="3"/>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区域解决问题</w:t>
                  </w:r>
                </w:p>
              </w:tc>
              <w:tc>
                <w:tcPr>
                  <w:tcW w:w="4488" w:type="dxa"/>
                  <w:gridSpan w:val="2"/>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91"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2234" w:type="dxa"/>
                  <w:gridSpan w:val="3"/>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大气环境防护距离设置（以设施或厂界设置，敏感保护目标等）</w:t>
                  </w:r>
                </w:p>
              </w:tc>
              <w:tc>
                <w:tcPr>
                  <w:tcW w:w="4488" w:type="dxa"/>
                  <w:gridSpan w:val="2"/>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791"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78" w:type="dxa"/>
                  <w:vMerge w:val="continue"/>
                  <w:tcBorders>
                    <w:tl2br w:val="nil"/>
                    <w:tr2bl w:val="nil"/>
                  </w:tcBorders>
                  <w:noWrap w:val="0"/>
                  <w:tcMar>
                    <w:left w:w="0" w:type="dxa"/>
                    <w:right w:w="0" w:type="dxa"/>
                  </w:tcMar>
                  <w:vAlign w:val="center"/>
                </w:tcPr>
                <w:p>
                  <w:pPr>
                    <w:pStyle w:val="79"/>
                    <w:rPr>
                      <w:rFonts w:hint="default" w:ascii="Times New Roman" w:hAnsi="Times New Roman"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Ex>
              <w:trPr>
                <w:trHeight w:val="340" w:hRule="atLeast"/>
                <w:jc w:val="center"/>
              </w:trPr>
              <w:tc>
                <w:tcPr>
                  <w:tcW w:w="6722" w:type="dxa"/>
                  <w:gridSpan w:val="5"/>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791" w:type="dxa"/>
                  <w:tcBorders>
                    <w:tl2br w:val="nil"/>
                    <w:tr2bl w:val="nil"/>
                  </w:tcBorders>
                  <w:noWrap w:val="0"/>
                  <w:vAlign w:val="center"/>
                </w:tcPr>
                <w:p>
                  <w:pPr>
                    <w:pStyle w:val="7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15</w:t>
                  </w:r>
                </w:p>
              </w:tc>
              <w:tc>
                <w:tcPr>
                  <w:tcW w:w="878" w:type="dxa"/>
                  <w:tcBorders>
                    <w:tl2br w:val="nil"/>
                    <w:tr2bl w:val="nil"/>
                  </w:tcBorders>
                  <w:noWrap w:val="0"/>
                  <w:vAlign w:val="center"/>
                </w:tcPr>
                <w:p>
                  <w:pPr>
                    <w:pStyle w:val="7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r>
          </w:tbl>
          <w:p>
            <w:pPr>
              <w:pStyle w:val="2"/>
              <w:rPr>
                <w:vertAlign w:val="baseline"/>
              </w:rPr>
            </w:pPr>
          </w:p>
        </w:tc>
      </w:tr>
    </w:tbl>
    <w:p>
      <w:pPr>
        <w:pStyle w:val="2"/>
        <w:sectPr>
          <w:pgSz w:w="11907" w:h="16840"/>
          <w:pgMar w:top="1701" w:right="1531" w:bottom="2127" w:left="1531" w:header="851" w:footer="851" w:gutter="0"/>
          <w:pgNumType w:fmt="decimal"/>
          <w:cols w:space="720" w:num="1"/>
          <w:docGrid w:linePitch="312" w:charSpace="0"/>
        </w:sectPr>
      </w:pPr>
    </w:p>
    <w:p>
      <w:pPr>
        <w:pStyle w:val="26"/>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1" w:name="_Hlk54167917"/>
      <w:r>
        <w:rPr>
          <w:rFonts w:hint="eastAsia" w:ascii="黑体" w:hAnsi="黑体" w:eastAsia="黑体"/>
          <w:snapToGrid w:val="0"/>
          <w:sz w:val="30"/>
          <w:szCs w:val="30"/>
        </w:rPr>
        <w:t>环境保护措施监督检查清单</w:t>
      </w:r>
      <w:bookmarkEnd w:id="1"/>
    </w:p>
    <w:tbl>
      <w:tblPr>
        <w:tblStyle w:val="30"/>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470"/>
        <w:gridCol w:w="1477"/>
        <w:gridCol w:w="2035"/>
        <w:gridCol w:w="28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tcBorders>
              <w:tl2br w:val="single" w:color="auto" w:sz="4" w:space="0"/>
            </w:tcBorders>
          </w:tcPr>
          <w:p>
            <w:pPr>
              <w:tabs>
                <w:tab w:val="center" w:pos="539"/>
              </w:tabs>
              <w:adjustRightInd w:val="0"/>
              <w:snapToGrid w:val="0"/>
              <w:rPr>
                <w:sz w:val="24"/>
                <w:szCs w:val="24"/>
              </w:rPr>
            </w:pPr>
            <w:r>
              <w:rPr>
                <w:rFonts w:hint="eastAsia"/>
                <w:sz w:val="24"/>
                <w:szCs w:val="24"/>
              </w:rPr>
              <w:tab/>
            </w:r>
            <w:r>
              <w:rPr>
                <w:rFonts w:hint="eastAsia"/>
                <w:sz w:val="24"/>
                <w:szCs w:val="24"/>
              </w:rPr>
              <w:t>内容</w:t>
            </w:r>
          </w:p>
          <w:p>
            <w:pPr>
              <w:adjustRightInd w:val="0"/>
              <w:snapToGrid w:val="0"/>
              <w:rPr>
                <w:sz w:val="24"/>
                <w:szCs w:val="24"/>
              </w:rPr>
            </w:pPr>
          </w:p>
          <w:p>
            <w:pPr>
              <w:adjustRightInd w:val="0"/>
              <w:snapToGrid w:val="0"/>
              <w:rPr>
                <w:sz w:val="24"/>
                <w:szCs w:val="24"/>
              </w:rPr>
            </w:pPr>
            <w:r>
              <w:rPr>
                <w:rFonts w:hint="eastAsia"/>
                <w:sz w:val="24"/>
                <w:szCs w:val="24"/>
              </w:rPr>
              <w:t>要素</w:t>
            </w:r>
          </w:p>
        </w:tc>
        <w:tc>
          <w:tcPr>
            <w:tcW w:w="1470" w:type="dxa"/>
            <w:vAlign w:val="center"/>
          </w:tcPr>
          <w:p>
            <w:pPr>
              <w:adjustRightInd w:val="0"/>
              <w:snapToGrid w:val="0"/>
              <w:jc w:val="center"/>
              <w:rPr>
                <w:sz w:val="24"/>
                <w:szCs w:val="24"/>
              </w:rPr>
            </w:pPr>
            <w:r>
              <w:rPr>
                <w:rFonts w:hint="eastAsia"/>
                <w:sz w:val="24"/>
                <w:szCs w:val="24"/>
              </w:rPr>
              <w:t>排放口(编号、</w:t>
            </w:r>
          </w:p>
          <w:p>
            <w:pPr>
              <w:adjustRightInd w:val="0"/>
              <w:snapToGrid w:val="0"/>
              <w:jc w:val="center"/>
              <w:rPr>
                <w:sz w:val="24"/>
                <w:szCs w:val="24"/>
              </w:rPr>
            </w:pPr>
            <w:r>
              <w:rPr>
                <w:rFonts w:hint="eastAsia"/>
                <w:sz w:val="24"/>
                <w:szCs w:val="24"/>
              </w:rPr>
              <w:t>名称)/污染源</w:t>
            </w:r>
          </w:p>
        </w:tc>
        <w:tc>
          <w:tcPr>
            <w:tcW w:w="1477" w:type="dxa"/>
            <w:vAlign w:val="center"/>
          </w:tcPr>
          <w:p>
            <w:pPr>
              <w:adjustRightInd w:val="0"/>
              <w:snapToGrid w:val="0"/>
              <w:jc w:val="center"/>
              <w:rPr>
                <w:sz w:val="24"/>
                <w:szCs w:val="24"/>
              </w:rPr>
            </w:pPr>
            <w:r>
              <w:rPr>
                <w:rFonts w:hint="eastAsia"/>
                <w:sz w:val="24"/>
                <w:szCs w:val="24"/>
              </w:rPr>
              <w:t>污染物项目</w:t>
            </w:r>
          </w:p>
        </w:tc>
        <w:tc>
          <w:tcPr>
            <w:tcW w:w="2035" w:type="dxa"/>
            <w:vAlign w:val="center"/>
          </w:tcPr>
          <w:p>
            <w:pPr>
              <w:adjustRightInd w:val="0"/>
              <w:snapToGrid w:val="0"/>
              <w:jc w:val="center"/>
              <w:rPr>
                <w:sz w:val="24"/>
                <w:szCs w:val="24"/>
              </w:rPr>
            </w:pPr>
            <w:r>
              <w:rPr>
                <w:rFonts w:hint="eastAsia"/>
                <w:sz w:val="24"/>
                <w:szCs w:val="24"/>
              </w:rPr>
              <w:t>环境保护措施</w:t>
            </w:r>
          </w:p>
        </w:tc>
        <w:tc>
          <w:tcPr>
            <w:tcW w:w="2856" w:type="dxa"/>
            <w:vAlign w:val="center"/>
          </w:tcPr>
          <w:p>
            <w:pPr>
              <w:adjustRightInd w:val="0"/>
              <w:snapToGrid w:val="0"/>
              <w:jc w:val="center"/>
              <w:rPr>
                <w:sz w:val="24"/>
                <w:szCs w:val="24"/>
              </w:rPr>
            </w:pPr>
            <w:r>
              <w:rPr>
                <w:rFonts w:hint="eastAsia"/>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Align w:val="center"/>
          </w:tcPr>
          <w:p>
            <w:pPr>
              <w:adjustRightInd w:val="0"/>
              <w:snapToGrid w:val="0"/>
              <w:jc w:val="center"/>
              <w:rPr>
                <w:sz w:val="24"/>
                <w:szCs w:val="24"/>
              </w:rPr>
            </w:pPr>
            <w:r>
              <w:rPr>
                <w:rFonts w:hint="eastAsia"/>
                <w:sz w:val="24"/>
                <w:szCs w:val="24"/>
              </w:rPr>
              <w:t>大气环境</w:t>
            </w:r>
          </w:p>
        </w:tc>
        <w:tc>
          <w:tcPr>
            <w:tcW w:w="1470" w:type="dxa"/>
            <w:shd w:val="clear" w:color="auto" w:fill="auto"/>
            <w:vAlign w:val="center"/>
          </w:tcPr>
          <w:p>
            <w:pPr>
              <w:adjustRightInd w:val="0"/>
              <w:snapToGrid w:val="0"/>
              <w:jc w:val="center"/>
              <w:rPr>
                <w:rFonts w:hint="default" w:ascii="Times New Roman" w:hAnsi="Times New Roman" w:eastAsia="宋体" w:cs="Times New Roman"/>
                <w:kern w:val="2"/>
                <w:sz w:val="24"/>
                <w:szCs w:val="24"/>
                <w:lang w:val="en-US" w:eastAsia="zh-CN" w:bidi="ar-SA"/>
              </w:rPr>
            </w:pPr>
            <w:r>
              <w:rPr>
                <w:rFonts w:hint="eastAsia"/>
                <w:sz w:val="24"/>
                <w:szCs w:val="24"/>
                <w:lang w:val="en-US" w:eastAsia="zh-CN"/>
              </w:rPr>
              <w:t>无组织废气</w:t>
            </w:r>
          </w:p>
        </w:tc>
        <w:tc>
          <w:tcPr>
            <w:tcW w:w="1477" w:type="dxa"/>
            <w:shd w:val="clear" w:color="auto" w:fill="auto"/>
            <w:vAlign w:val="center"/>
          </w:tcPr>
          <w:p>
            <w:pPr>
              <w:adjustRightInd w:val="0"/>
              <w:snapToGrid w:val="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非甲烷总烃</w:t>
            </w:r>
          </w:p>
        </w:tc>
        <w:tc>
          <w:tcPr>
            <w:tcW w:w="2035" w:type="dxa"/>
            <w:shd w:val="clear" w:color="auto" w:fill="auto"/>
            <w:vAlign w:val="center"/>
          </w:tcPr>
          <w:p>
            <w:pPr>
              <w:adjustRightInd w:val="0"/>
              <w:snapToGrid w:val="0"/>
              <w:jc w:val="center"/>
              <w:rPr>
                <w:rFonts w:hint="eastAsia" w:ascii="Times New Roman" w:hAnsi="Times New Roman" w:eastAsia="宋体" w:cs="Times New Roman"/>
                <w:kern w:val="0"/>
                <w:sz w:val="24"/>
                <w:szCs w:val="24"/>
                <w:lang w:val="en-US" w:eastAsia="zh-CN" w:bidi="ar-SA"/>
              </w:rPr>
            </w:pPr>
            <w:r>
              <w:rPr>
                <w:rFonts w:hint="eastAsia"/>
                <w:kern w:val="0"/>
                <w:sz w:val="24"/>
                <w:szCs w:val="24"/>
                <w:lang w:val="en-US" w:eastAsia="zh-CN"/>
              </w:rPr>
              <w:t>车间通风</w:t>
            </w:r>
          </w:p>
        </w:tc>
        <w:tc>
          <w:tcPr>
            <w:tcW w:w="2856" w:type="dxa"/>
            <w:vAlign w:val="center"/>
          </w:tcPr>
          <w:p>
            <w:pPr>
              <w:adjustRightInd w:val="0"/>
              <w:snapToGrid w:val="0"/>
              <w:jc w:val="center"/>
              <w:rPr>
                <w:sz w:val="24"/>
                <w:szCs w:val="24"/>
              </w:rPr>
            </w:pPr>
            <w:r>
              <w:rPr>
                <w:rFonts w:hint="eastAsia"/>
                <w:kern w:val="0"/>
                <w:sz w:val="24"/>
                <w:szCs w:val="24"/>
              </w:rPr>
              <w:t>《合成树脂工业污染物排放标准》（GB 31572-2015，含2024年修改单）</w:t>
            </w:r>
            <w:r>
              <w:rPr>
                <w:rFonts w:hint="eastAsia"/>
                <w:kern w:val="0"/>
                <w:sz w:val="24"/>
                <w:szCs w:val="24"/>
                <w:lang w:val="en-US" w:eastAsia="zh-CN"/>
              </w:rPr>
              <w:t>、</w:t>
            </w:r>
            <w:r>
              <w:rPr>
                <w:rFonts w:hint="eastAsia"/>
                <w:sz w:val="24"/>
                <w:szCs w:val="24"/>
              </w:rPr>
              <w:t>《大气污染物综合排放标准》（DB32 4041-2021）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Merge w:val="restart"/>
            <w:vAlign w:val="center"/>
          </w:tcPr>
          <w:p>
            <w:pPr>
              <w:adjustRightInd w:val="0"/>
              <w:snapToGrid w:val="0"/>
              <w:jc w:val="center"/>
              <w:rPr>
                <w:sz w:val="24"/>
                <w:szCs w:val="24"/>
              </w:rPr>
            </w:pPr>
            <w:r>
              <w:rPr>
                <w:rFonts w:hint="eastAsia"/>
                <w:sz w:val="24"/>
                <w:szCs w:val="24"/>
              </w:rPr>
              <w:t>地表水环境</w:t>
            </w:r>
          </w:p>
        </w:tc>
        <w:tc>
          <w:tcPr>
            <w:tcW w:w="1470" w:type="dxa"/>
            <w:vMerge w:val="restart"/>
            <w:vAlign w:val="center"/>
          </w:tcPr>
          <w:p>
            <w:pPr>
              <w:adjustRightInd w:val="0"/>
              <w:snapToGrid w:val="0"/>
              <w:jc w:val="center"/>
              <w:rPr>
                <w:sz w:val="24"/>
                <w:szCs w:val="24"/>
              </w:rPr>
            </w:pPr>
            <w:r>
              <w:rPr>
                <w:rFonts w:hint="eastAsia"/>
                <w:sz w:val="24"/>
                <w:szCs w:val="24"/>
              </w:rPr>
              <w:t>DW001</w:t>
            </w:r>
          </w:p>
          <w:p>
            <w:pPr>
              <w:adjustRightInd w:val="0"/>
              <w:snapToGrid w:val="0"/>
              <w:jc w:val="center"/>
              <w:rPr>
                <w:sz w:val="24"/>
                <w:szCs w:val="24"/>
              </w:rPr>
            </w:pPr>
            <w:r>
              <w:rPr>
                <w:rFonts w:hint="eastAsia"/>
                <w:sz w:val="24"/>
                <w:szCs w:val="24"/>
              </w:rPr>
              <w:t>废水排放口</w:t>
            </w:r>
          </w:p>
        </w:tc>
        <w:tc>
          <w:tcPr>
            <w:tcW w:w="1477" w:type="dxa"/>
            <w:vAlign w:val="center"/>
          </w:tcPr>
          <w:p>
            <w:pPr>
              <w:adjustRightInd w:val="0"/>
              <w:snapToGrid w:val="0"/>
              <w:jc w:val="center"/>
              <w:rPr>
                <w:sz w:val="24"/>
                <w:szCs w:val="24"/>
              </w:rPr>
            </w:pPr>
            <w:r>
              <w:rPr>
                <w:rFonts w:hint="eastAsia"/>
                <w:sz w:val="24"/>
                <w:szCs w:val="24"/>
              </w:rPr>
              <w:t>COD</w:t>
            </w:r>
          </w:p>
        </w:tc>
        <w:tc>
          <w:tcPr>
            <w:tcW w:w="2035" w:type="dxa"/>
            <w:vMerge w:val="restart"/>
            <w:vAlign w:val="center"/>
          </w:tcPr>
          <w:p>
            <w:pPr>
              <w:adjustRightInd w:val="0"/>
              <w:snapToGrid w:val="0"/>
              <w:rPr>
                <w:sz w:val="24"/>
                <w:szCs w:val="24"/>
              </w:rPr>
            </w:pPr>
            <w:r>
              <w:rPr>
                <w:rFonts w:hint="eastAsia"/>
                <w:kern w:val="0"/>
                <w:sz w:val="24"/>
                <w:szCs w:val="24"/>
              </w:rPr>
              <w:t>生活污水经租赁方化粪池收集</w:t>
            </w:r>
            <w:r>
              <w:rPr>
                <w:sz w:val="24"/>
                <w:szCs w:val="24"/>
              </w:rPr>
              <w:t>达接管</w:t>
            </w:r>
            <w:r>
              <w:rPr>
                <w:rFonts w:hint="eastAsia"/>
                <w:sz w:val="24"/>
                <w:szCs w:val="24"/>
              </w:rPr>
              <w:t>标准</w:t>
            </w:r>
            <w:r>
              <w:rPr>
                <w:sz w:val="24"/>
                <w:szCs w:val="24"/>
              </w:rPr>
              <w:t>后</w:t>
            </w:r>
            <w:r>
              <w:rPr>
                <w:rFonts w:hint="eastAsia"/>
                <w:sz w:val="24"/>
                <w:szCs w:val="24"/>
              </w:rPr>
              <w:t>接管</w:t>
            </w:r>
            <w:r>
              <w:rPr>
                <w:rFonts w:hint="eastAsia"/>
                <w:kern w:val="0"/>
                <w:sz w:val="24"/>
                <w:szCs w:val="24"/>
              </w:rPr>
              <w:t>如皋恒发水处理有限公司</w:t>
            </w:r>
            <w:r>
              <w:rPr>
                <w:sz w:val="24"/>
                <w:szCs w:val="24"/>
              </w:rPr>
              <w:t>处理</w:t>
            </w:r>
          </w:p>
        </w:tc>
        <w:tc>
          <w:tcPr>
            <w:tcW w:w="2856" w:type="dxa"/>
            <w:vMerge w:val="restart"/>
            <w:vAlign w:val="center"/>
          </w:tcPr>
          <w:p>
            <w:pPr>
              <w:adjustRightInd w:val="0"/>
              <w:snapToGrid w:val="0"/>
              <w:jc w:val="center"/>
              <w:rPr>
                <w:sz w:val="24"/>
                <w:szCs w:val="24"/>
              </w:rPr>
            </w:pPr>
            <w:r>
              <w:rPr>
                <w:rFonts w:hint="eastAsia"/>
                <w:sz w:val="24"/>
                <w:szCs w:val="24"/>
              </w:rPr>
              <w:t>《污水综合排放标准》（GB8978-1996）、《污水排入城镇下水道水质标准》（GB/T 31962-2015）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Merge w:val="continue"/>
            <w:vAlign w:val="center"/>
          </w:tcPr>
          <w:p>
            <w:pPr>
              <w:adjustRightInd w:val="0"/>
              <w:snapToGrid w:val="0"/>
              <w:jc w:val="center"/>
              <w:rPr>
                <w:sz w:val="24"/>
                <w:szCs w:val="24"/>
              </w:rPr>
            </w:pPr>
          </w:p>
        </w:tc>
        <w:tc>
          <w:tcPr>
            <w:tcW w:w="1470" w:type="dxa"/>
            <w:vMerge w:val="continue"/>
            <w:vAlign w:val="center"/>
          </w:tcPr>
          <w:p>
            <w:pPr>
              <w:adjustRightInd w:val="0"/>
              <w:snapToGrid w:val="0"/>
              <w:jc w:val="center"/>
              <w:rPr>
                <w:sz w:val="24"/>
                <w:szCs w:val="24"/>
              </w:rPr>
            </w:pPr>
          </w:p>
        </w:tc>
        <w:tc>
          <w:tcPr>
            <w:tcW w:w="1477" w:type="dxa"/>
            <w:vAlign w:val="center"/>
          </w:tcPr>
          <w:p>
            <w:pPr>
              <w:adjustRightInd w:val="0"/>
              <w:snapToGrid w:val="0"/>
              <w:jc w:val="center"/>
              <w:rPr>
                <w:sz w:val="24"/>
                <w:szCs w:val="24"/>
              </w:rPr>
            </w:pPr>
            <w:r>
              <w:rPr>
                <w:rFonts w:hint="eastAsia"/>
                <w:sz w:val="24"/>
                <w:szCs w:val="24"/>
              </w:rPr>
              <w:t>SS</w:t>
            </w:r>
          </w:p>
        </w:tc>
        <w:tc>
          <w:tcPr>
            <w:tcW w:w="2035" w:type="dxa"/>
            <w:vMerge w:val="continue"/>
            <w:vAlign w:val="center"/>
          </w:tcPr>
          <w:p>
            <w:pPr>
              <w:adjustRightInd w:val="0"/>
              <w:snapToGrid w:val="0"/>
              <w:rPr>
                <w:sz w:val="24"/>
                <w:szCs w:val="24"/>
              </w:rPr>
            </w:pPr>
          </w:p>
        </w:tc>
        <w:tc>
          <w:tcPr>
            <w:tcW w:w="2856" w:type="dxa"/>
            <w:vMerge w:val="continue"/>
            <w:vAlign w:val="center"/>
          </w:tcPr>
          <w:p>
            <w:pPr>
              <w:adjustRightInd w:val="0"/>
              <w:snapToGrid w:val="0"/>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Merge w:val="continue"/>
            <w:vAlign w:val="center"/>
          </w:tcPr>
          <w:p>
            <w:pPr>
              <w:adjustRightInd w:val="0"/>
              <w:snapToGrid w:val="0"/>
              <w:jc w:val="center"/>
              <w:rPr>
                <w:sz w:val="24"/>
                <w:szCs w:val="24"/>
              </w:rPr>
            </w:pPr>
          </w:p>
        </w:tc>
        <w:tc>
          <w:tcPr>
            <w:tcW w:w="1470" w:type="dxa"/>
            <w:vMerge w:val="continue"/>
            <w:vAlign w:val="center"/>
          </w:tcPr>
          <w:p>
            <w:pPr>
              <w:adjustRightInd w:val="0"/>
              <w:snapToGrid w:val="0"/>
              <w:jc w:val="center"/>
              <w:rPr>
                <w:sz w:val="24"/>
                <w:szCs w:val="24"/>
              </w:rPr>
            </w:pPr>
          </w:p>
        </w:tc>
        <w:tc>
          <w:tcPr>
            <w:tcW w:w="1477" w:type="dxa"/>
            <w:vAlign w:val="center"/>
          </w:tcPr>
          <w:p>
            <w:pPr>
              <w:adjustRightInd w:val="0"/>
              <w:snapToGrid w:val="0"/>
              <w:jc w:val="center"/>
              <w:rPr>
                <w:sz w:val="24"/>
                <w:szCs w:val="24"/>
              </w:rPr>
            </w:pPr>
            <w:r>
              <w:rPr>
                <w:rFonts w:hint="eastAsia"/>
                <w:sz w:val="24"/>
                <w:szCs w:val="24"/>
              </w:rPr>
              <w:t>氨氮</w:t>
            </w:r>
          </w:p>
        </w:tc>
        <w:tc>
          <w:tcPr>
            <w:tcW w:w="2035" w:type="dxa"/>
            <w:vMerge w:val="continue"/>
            <w:vAlign w:val="center"/>
          </w:tcPr>
          <w:p>
            <w:pPr>
              <w:adjustRightInd w:val="0"/>
              <w:snapToGrid w:val="0"/>
              <w:rPr>
                <w:sz w:val="24"/>
                <w:szCs w:val="24"/>
              </w:rPr>
            </w:pPr>
          </w:p>
        </w:tc>
        <w:tc>
          <w:tcPr>
            <w:tcW w:w="2856" w:type="dxa"/>
            <w:vMerge w:val="continue"/>
            <w:vAlign w:val="center"/>
          </w:tcPr>
          <w:p>
            <w:pPr>
              <w:adjustRightInd w:val="0"/>
              <w:snapToGrid w:val="0"/>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Merge w:val="continue"/>
            <w:vAlign w:val="center"/>
          </w:tcPr>
          <w:p>
            <w:pPr>
              <w:adjustRightInd w:val="0"/>
              <w:snapToGrid w:val="0"/>
              <w:jc w:val="center"/>
              <w:rPr>
                <w:sz w:val="24"/>
                <w:szCs w:val="24"/>
              </w:rPr>
            </w:pPr>
          </w:p>
        </w:tc>
        <w:tc>
          <w:tcPr>
            <w:tcW w:w="1470" w:type="dxa"/>
            <w:vMerge w:val="continue"/>
            <w:vAlign w:val="center"/>
          </w:tcPr>
          <w:p>
            <w:pPr>
              <w:adjustRightInd w:val="0"/>
              <w:snapToGrid w:val="0"/>
              <w:jc w:val="center"/>
              <w:rPr>
                <w:sz w:val="24"/>
                <w:szCs w:val="24"/>
              </w:rPr>
            </w:pPr>
          </w:p>
        </w:tc>
        <w:tc>
          <w:tcPr>
            <w:tcW w:w="1477" w:type="dxa"/>
            <w:vAlign w:val="center"/>
          </w:tcPr>
          <w:p>
            <w:pPr>
              <w:adjustRightInd w:val="0"/>
              <w:snapToGrid w:val="0"/>
              <w:jc w:val="center"/>
              <w:rPr>
                <w:sz w:val="24"/>
                <w:szCs w:val="24"/>
              </w:rPr>
            </w:pPr>
            <w:r>
              <w:rPr>
                <w:rFonts w:hint="eastAsia"/>
                <w:sz w:val="24"/>
                <w:szCs w:val="24"/>
              </w:rPr>
              <w:t>总磷</w:t>
            </w:r>
          </w:p>
        </w:tc>
        <w:tc>
          <w:tcPr>
            <w:tcW w:w="2035" w:type="dxa"/>
            <w:vMerge w:val="continue"/>
            <w:vAlign w:val="center"/>
          </w:tcPr>
          <w:p>
            <w:pPr>
              <w:adjustRightInd w:val="0"/>
              <w:snapToGrid w:val="0"/>
              <w:rPr>
                <w:sz w:val="24"/>
                <w:szCs w:val="24"/>
              </w:rPr>
            </w:pPr>
          </w:p>
        </w:tc>
        <w:tc>
          <w:tcPr>
            <w:tcW w:w="2856" w:type="dxa"/>
            <w:vMerge w:val="continue"/>
            <w:vAlign w:val="center"/>
          </w:tcPr>
          <w:p>
            <w:pPr>
              <w:adjustRightInd w:val="0"/>
              <w:snapToGrid w:val="0"/>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Merge w:val="continue"/>
            <w:vAlign w:val="center"/>
          </w:tcPr>
          <w:p>
            <w:pPr>
              <w:adjustRightInd w:val="0"/>
              <w:snapToGrid w:val="0"/>
              <w:jc w:val="center"/>
              <w:rPr>
                <w:sz w:val="24"/>
                <w:szCs w:val="24"/>
              </w:rPr>
            </w:pPr>
          </w:p>
        </w:tc>
        <w:tc>
          <w:tcPr>
            <w:tcW w:w="1470" w:type="dxa"/>
            <w:vMerge w:val="continue"/>
            <w:vAlign w:val="center"/>
          </w:tcPr>
          <w:p>
            <w:pPr>
              <w:adjustRightInd w:val="0"/>
              <w:snapToGrid w:val="0"/>
              <w:jc w:val="center"/>
              <w:rPr>
                <w:sz w:val="24"/>
                <w:szCs w:val="24"/>
              </w:rPr>
            </w:pPr>
          </w:p>
        </w:tc>
        <w:tc>
          <w:tcPr>
            <w:tcW w:w="1477" w:type="dxa"/>
            <w:vAlign w:val="center"/>
          </w:tcPr>
          <w:p>
            <w:pPr>
              <w:adjustRightInd w:val="0"/>
              <w:snapToGrid w:val="0"/>
              <w:jc w:val="center"/>
              <w:rPr>
                <w:sz w:val="24"/>
                <w:szCs w:val="24"/>
              </w:rPr>
            </w:pPr>
            <w:r>
              <w:rPr>
                <w:rFonts w:hint="eastAsia"/>
                <w:sz w:val="24"/>
                <w:szCs w:val="24"/>
              </w:rPr>
              <w:t>总氮</w:t>
            </w:r>
          </w:p>
        </w:tc>
        <w:tc>
          <w:tcPr>
            <w:tcW w:w="2035" w:type="dxa"/>
            <w:vMerge w:val="continue"/>
            <w:vAlign w:val="center"/>
          </w:tcPr>
          <w:p>
            <w:pPr>
              <w:adjustRightInd w:val="0"/>
              <w:snapToGrid w:val="0"/>
              <w:rPr>
                <w:sz w:val="24"/>
                <w:szCs w:val="24"/>
              </w:rPr>
            </w:pPr>
          </w:p>
        </w:tc>
        <w:tc>
          <w:tcPr>
            <w:tcW w:w="2856" w:type="dxa"/>
            <w:vMerge w:val="continue"/>
            <w:vAlign w:val="center"/>
          </w:tcPr>
          <w:p>
            <w:pPr>
              <w:adjustRightInd w:val="0"/>
              <w:snapToGrid w:val="0"/>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Align w:val="center"/>
          </w:tcPr>
          <w:p>
            <w:pPr>
              <w:adjustRightInd w:val="0"/>
              <w:snapToGrid w:val="0"/>
              <w:jc w:val="center"/>
              <w:rPr>
                <w:sz w:val="24"/>
                <w:szCs w:val="24"/>
              </w:rPr>
            </w:pPr>
            <w:r>
              <w:rPr>
                <w:rFonts w:hint="eastAsia"/>
                <w:sz w:val="24"/>
                <w:szCs w:val="24"/>
              </w:rPr>
              <w:t>声环境</w:t>
            </w:r>
          </w:p>
        </w:tc>
        <w:tc>
          <w:tcPr>
            <w:tcW w:w="1470" w:type="dxa"/>
            <w:vAlign w:val="center"/>
          </w:tcPr>
          <w:p>
            <w:pPr>
              <w:adjustRightInd w:val="0"/>
              <w:snapToGrid w:val="0"/>
              <w:jc w:val="center"/>
              <w:rPr>
                <w:sz w:val="24"/>
                <w:szCs w:val="24"/>
              </w:rPr>
            </w:pPr>
            <w:r>
              <w:rPr>
                <w:rFonts w:hint="eastAsia"/>
                <w:sz w:val="24"/>
                <w:szCs w:val="24"/>
              </w:rPr>
              <w:t>高噪声设备</w:t>
            </w:r>
          </w:p>
        </w:tc>
        <w:tc>
          <w:tcPr>
            <w:tcW w:w="1477" w:type="dxa"/>
            <w:vAlign w:val="center"/>
          </w:tcPr>
          <w:p>
            <w:pPr>
              <w:adjustRightInd w:val="0"/>
              <w:snapToGrid w:val="0"/>
              <w:jc w:val="center"/>
              <w:rPr>
                <w:sz w:val="24"/>
                <w:szCs w:val="24"/>
              </w:rPr>
            </w:pPr>
            <w:r>
              <w:rPr>
                <w:rFonts w:hint="eastAsia"/>
                <w:sz w:val="24"/>
                <w:szCs w:val="24"/>
              </w:rPr>
              <w:t>噪声</w:t>
            </w:r>
          </w:p>
        </w:tc>
        <w:tc>
          <w:tcPr>
            <w:tcW w:w="2035" w:type="dxa"/>
            <w:vAlign w:val="center"/>
          </w:tcPr>
          <w:p>
            <w:pPr>
              <w:adjustRightInd w:val="0"/>
              <w:snapToGrid w:val="0"/>
              <w:jc w:val="center"/>
              <w:rPr>
                <w:sz w:val="24"/>
                <w:szCs w:val="24"/>
              </w:rPr>
            </w:pPr>
            <w:r>
              <w:rPr>
                <w:rFonts w:hint="eastAsia"/>
                <w:sz w:val="24"/>
                <w:szCs w:val="24"/>
              </w:rPr>
              <w:t>厂房隔声、设备减振</w:t>
            </w:r>
          </w:p>
        </w:tc>
        <w:tc>
          <w:tcPr>
            <w:tcW w:w="2856" w:type="dxa"/>
            <w:vAlign w:val="center"/>
          </w:tcPr>
          <w:p>
            <w:pPr>
              <w:adjustRightInd w:val="0"/>
              <w:snapToGrid w:val="0"/>
              <w:jc w:val="center"/>
              <w:rPr>
                <w:sz w:val="24"/>
                <w:szCs w:val="24"/>
              </w:rPr>
            </w:pPr>
            <w:r>
              <w:rPr>
                <w:rFonts w:hint="eastAsia"/>
                <w:sz w:val="24"/>
                <w:szCs w:val="24"/>
              </w:rPr>
              <w:t>《工业企业厂界环境噪声排放标准》（GB12348-2008）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22" w:type="dxa"/>
            <w:vAlign w:val="center"/>
          </w:tcPr>
          <w:p>
            <w:pPr>
              <w:adjustRightInd w:val="0"/>
              <w:snapToGrid w:val="0"/>
              <w:jc w:val="center"/>
              <w:rPr>
                <w:sz w:val="24"/>
                <w:szCs w:val="24"/>
              </w:rPr>
            </w:pPr>
            <w:r>
              <w:rPr>
                <w:rFonts w:hint="eastAsia"/>
                <w:sz w:val="24"/>
                <w:szCs w:val="24"/>
              </w:rPr>
              <w:t>电磁辐射</w:t>
            </w:r>
          </w:p>
        </w:tc>
        <w:tc>
          <w:tcPr>
            <w:tcW w:w="1470" w:type="dxa"/>
            <w:vAlign w:val="center"/>
          </w:tcPr>
          <w:p>
            <w:pPr>
              <w:adjustRightInd w:val="0"/>
              <w:snapToGrid w:val="0"/>
              <w:jc w:val="center"/>
              <w:rPr>
                <w:sz w:val="24"/>
                <w:szCs w:val="24"/>
              </w:rPr>
            </w:pPr>
            <w:r>
              <w:rPr>
                <w:rFonts w:hint="eastAsia"/>
                <w:sz w:val="24"/>
                <w:szCs w:val="24"/>
              </w:rPr>
              <w:t>/</w:t>
            </w:r>
          </w:p>
        </w:tc>
        <w:tc>
          <w:tcPr>
            <w:tcW w:w="1477" w:type="dxa"/>
            <w:vAlign w:val="center"/>
          </w:tcPr>
          <w:p>
            <w:pPr>
              <w:adjustRightInd w:val="0"/>
              <w:snapToGrid w:val="0"/>
              <w:jc w:val="center"/>
              <w:rPr>
                <w:sz w:val="24"/>
                <w:szCs w:val="24"/>
              </w:rPr>
            </w:pPr>
            <w:r>
              <w:rPr>
                <w:rFonts w:hint="eastAsia"/>
                <w:sz w:val="24"/>
                <w:szCs w:val="24"/>
              </w:rPr>
              <w:t>/</w:t>
            </w:r>
          </w:p>
        </w:tc>
        <w:tc>
          <w:tcPr>
            <w:tcW w:w="2035" w:type="dxa"/>
            <w:vAlign w:val="center"/>
          </w:tcPr>
          <w:p>
            <w:pPr>
              <w:adjustRightInd w:val="0"/>
              <w:snapToGrid w:val="0"/>
              <w:jc w:val="center"/>
              <w:rPr>
                <w:sz w:val="24"/>
                <w:szCs w:val="24"/>
              </w:rPr>
            </w:pPr>
            <w:r>
              <w:rPr>
                <w:rFonts w:hint="eastAsia"/>
                <w:sz w:val="24"/>
                <w:szCs w:val="24"/>
              </w:rPr>
              <w:t>/</w:t>
            </w:r>
          </w:p>
        </w:tc>
        <w:tc>
          <w:tcPr>
            <w:tcW w:w="2856" w:type="dxa"/>
            <w:vAlign w:val="center"/>
          </w:tcPr>
          <w:p>
            <w:pPr>
              <w:adjustRightInd w:val="0"/>
              <w:snapToGrid w:val="0"/>
              <w:jc w:val="center"/>
              <w:rPr>
                <w:sz w:val="24"/>
                <w:szCs w:val="24"/>
              </w:rPr>
            </w:pPr>
            <w:r>
              <w:rPr>
                <w:rFonts w:hint="eastAsia"/>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222" w:type="dxa"/>
            <w:vAlign w:val="center"/>
          </w:tcPr>
          <w:p>
            <w:pPr>
              <w:adjustRightInd w:val="0"/>
              <w:snapToGrid w:val="0"/>
              <w:jc w:val="center"/>
              <w:rPr>
                <w:sz w:val="24"/>
                <w:szCs w:val="24"/>
              </w:rPr>
            </w:pPr>
            <w:r>
              <w:rPr>
                <w:rFonts w:hint="eastAsia"/>
                <w:sz w:val="24"/>
                <w:szCs w:val="24"/>
              </w:rPr>
              <w:t>固体废物</w:t>
            </w:r>
          </w:p>
        </w:tc>
        <w:tc>
          <w:tcPr>
            <w:tcW w:w="7838" w:type="dxa"/>
            <w:gridSpan w:val="4"/>
            <w:vAlign w:val="center"/>
          </w:tcPr>
          <w:p>
            <w:pPr>
              <w:adjustRightInd w:val="0"/>
              <w:snapToGrid w:val="0"/>
              <w:spacing w:line="360" w:lineRule="auto"/>
              <w:ind w:firstLine="480" w:firstLineChars="200"/>
              <w:rPr>
                <w:sz w:val="24"/>
                <w:szCs w:val="24"/>
              </w:rPr>
            </w:pPr>
            <w:r>
              <w:rPr>
                <w:rFonts w:hint="eastAsia"/>
                <w:sz w:val="24"/>
                <w:szCs w:val="24"/>
              </w:rPr>
              <w:t>本项目运营过程产生的</w:t>
            </w:r>
            <w:r>
              <w:rPr>
                <w:rFonts w:hint="eastAsia"/>
                <w:sz w:val="24"/>
                <w:szCs w:val="24"/>
                <w:lang w:val="en-US" w:eastAsia="zh-CN"/>
              </w:rPr>
              <w:t>残次品</w:t>
            </w:r>
            <w:r>
              <w:rPr>
                <w:rFonts w:hint="eastAsia"/>
                <w:sz w:val="24"/>
                <w:szCs w:val="24"/>
              </w:rPr>
              <w:t>、</w:t>
            </w:r>
            <w:r>
              <w:rPr>
                <w:rFonts w:hint="eastAsia"/>
                <w:sz w:val="24"/>
                <w:szCs w:val="24"/>
                <w:lang w:val="en-US" w:eastAsia="zh-CN"/>
              </w:rPr>
              <w:t>废</w:t>
            </w:r>
            <w:r>
              <w:rPr>
                <w:rFonts w:hint="eastAsia"/>
                <w:sz w:val="24"/>
                <w:szCs w:val="24"/>
              </w:rPr>
              <w:t>包装材料等属一般固废</w:t>
            </w:r>
            <w:r>
              <w:rPr>
                <w:rFonts w:hint="eastAsia"/>
                <w:sz w:val="24"/>
                <w:szCs w:val="24"/>
                <w:lang w:eastAsia="zh-CN"/>
              </w:rPr>
              <w:t>，</w:t>
            </w:r>
            <w:r>
              <w:rPr>
                <w:rFonts w:hint="eastAsia"/>
                <w:sz w:val="24"/>
                <w:szCs w:val="24"/>
              </w:rPr>
              <w:t>集中收集后</w:t>
            </w:r>
            <w:r>
              <w:rPr>
                <w:rFonts w:hint="eastAsia"/>
                <w:sz w:val="24"/>
                <w:szCs w:val="24"/>
                <w:lang w:val="en-US" w:eastAsia="zh-CN"/>
              </w:rPr>
              <w:t>委托利用</w:t>
            </w:r>
            <w:r>
              <w:rPr>
                <w:rFonts w:hint="eastAsia"/>
                <w:sz w:val="24"/>
                <w:szCs w:val="24"/>
              </w:rPr>
              <w:t>；废抹布手套</w:t>
            </w:r>
            <w:r>
              <w:rPr>
                <w:rFonts w:hint="eastAsia"/>
                <w:sz w:val="24"/>
                <w:szCs w:val="24"/>
                <w:lang w:eastAsia="zh-CN"/>
              </w:rPr>
              <w:t>、</w:t>
            </w:r>
            <w:r>
              <w:rPr>
                <w:rFonts w:hint="eastAsia"/>
                <w:sz w:val="24"/>
                <w:szCs w:val="24"/>
                <w:lang w:val="en-US" w:eastAsia="zh-CN"/>
              </w:rPr>
              <w:t>废机油、空压机含油废水</w:t>
            </w:r>
            <w:r>
              <w:rPr>
                <w:rFonts w:hint="eastAsia"/>
                <w:sz w:val="24"/>
                <w:szCs w:val="24"/>
              </w:rPr>
              <w:t>等属</w:t>
            </w:r>
            <w:r>
              <w:rPr>
                <w:rFonts w:hint="eastAsia"/>
                <w:sz w:val="24"/>
                <w:szCs w:val="24"/>
                <w:lang w:val="en-US" w:eastAsia="zh-CN"/>
              </w:rPr>
              <w:t>危险</w:t>
            </w:r>
            <w:r>
              <w:rPr>
                <w:rFonts w:hint="eastAsia"/>
                <w:sz w:val="24"/>
                <w:szCs w:val="24"/>
              </w:rPr>
              <w:t>固废</w:t>
            </w:r>
            <w:r>
              <w:rPr>
                <w:rFonts w:hint="eastAsia"/>
                <w:sz w:val="24"/>
                <w:szCs w:val="24"/>
                <w:lang w:eastAsia="zh-CN"/>
              </w:rPr>
              <w:t>，</w:t>
            </w:r>
            <w:r>
              <w:rPr>
                <w:rFonts w:hint="eastAsia"/>
                <w:sz w:val="24"/>
                <w:szCs w:val="24"/>
              </w:rPr>
              <w:t>集中收集后</w:t>
            </w:r>
            <w:r>
              <w:rPr>
                <w:rFonts w:hint="eastAsia"/>
                <w:sz w:val="24"/>
                <w:szCs w:val="24"/>
                <w:lang w:val="en-US" w:eastAsia="zh-CN"/>
              </w:rPr>
              <w:t>委托处置</w:t>
            </w:r>
            <w:r>
              <w:rPr>
                <w:rFonts w:hint="eastAsia"/>
                <w:sz w:val="24"/>
                <w:szCs w:val="24"/>
              </w:rPr>
              <w:t>。</w:t>
            </w:r>
            <w:r>
              <w:rPr>
                <w:rFonts w:hint="eastAsia"/>
                <w:sz w:val="24"/>
                <w:szCs w:val="24"/>
                <w:lang w:val="en-US" w:eastAsia="zh-CN"/>
              </w:rPr>
              <w:t>生活垃圾环卫清运。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1222" w:type="dxa"/>
            <w:vAlign w:val="center"/>
          </w:tcPr>
          <w:p>
            <w:pPr>
              <w:adjustRightInd w:val="0"/>
              <w:snapToGrid w:val="0"/>
              <w:jc w:val="center"/>
              <w:rPr>
                <w:sz w:val="24"/>
                <w:szCs w:val="24"/>
              </w:rPr>
            </w:pPr>
            <w:r>
              <w:rPr>
                <w:rFonts w:hint="eastAsia"/>
                <w:sz w:val="24"/>
                <w:szCs w:val="24"/>
              </w:rPr>
              <w:t>土壤及地下水污染防治措施</w:t>
            </w:r>
          </w:p>
        </w:tc>
        <w:tc>
          <w:tcPr>
            <w:tcW w:w="7838" w:type="dxa"/>
            <w:gridSpan w:val="4"/>
            <w:vAlign w:val="center"/>
          </w:tcPr>
          <w:p>
            <w:pPr>
              <w:widowControl/>
              <w:adjustRightInd w:val="0"/>
              <w:snapToGrid w:val="0"/>
              <w:spacing w:line="360" w:lineRule="auto"/>
              <w:ind w:firstLine="480" w:firstLineChars="200"/>
              <w:rPr>
                <w:sz w:val="24"/>
                <w:szCs w:val="24"/>
              </w:rPr>
            </w:pPr>
            <w:r>
              <w:rPr>
                <w:rFonts w:hint="eastAsia"/>
                <w:sz w:val="24"/>
                <w:szCs w:val="24"/>
              </w:rPr>
              <w:t>厂区将采取不同等级的防渗措施，以确保其可靠性和有效性。一般固废暂存场所、生产车间、办公区为一般防渗区。一般污染区的防渗设计满足《一般工业固体废物贮存和填埋污染控制标准》（GB18599-2020）。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222" w:type="dxa"/>
            <w:vAlign w:val="center"/>
          </w:tcPr>
          <w:p>
            <w:pPr>
              <w:adjustRightInd w:val="0"/>
              <w:snapToGrid w:val="0"/>
              <w:jc w:val="center"/>
              <w:rPr>
                <w:sz w:val="24"/>
                <w:szCs w:val="24"/>
              </w:rPr>
            </w:pPr>
            <w:r>
              <w:rPr>
                <w:rFonts w:hint="eastAsia"/>
                <w:sz w:val="24"/>
                <w:szCs w:val="24"/>
              </w:rPr>
              <w:t>生态保护</w:t>
            </w:r>
          </w:p>
          <w:p>
            <w:pPr>
              <w:adjustRightInd w:val="0"/>
              <w:snapToGrid w:val="0"/>
              <w:jc w:val="center"/>
              <w:rPr>
                <w:sz w:val="24"/>
                <w:szCs w:val="24"/>
              </w:rPr>
            </w:pPr>
            <w:r>
              <w:rPr>
                <w:rFonts w:hint="eastAsia"/>
                <w:sz w:val="24"/>
                <w:szCs w:val="24"/>
              </w:rPr>
              <w:t>措施</w:t>
            </w:r>
          </w:p>
        </w:tc>
        <w:tc>
          <w:tcPr>
            <w:tcW w:w="7838" w:type="dxa"/>
            <w:gridSpan w:val="4"/>
            <w:vAlign w:val="center"/>
          </w:tcPr>
          <w:p>
            <w:pPr>
              <w:widowControl/>
              <w:adjustRightInd w:val="0"/>
              <w:snapToGrid w:val="0"/>
              <w:spacing w:line="360" w:lineRule="auto"/>
              <w:rPr>
                <w:sz w:val="24"/>
                <w:szCs w:val="24"/>
              </w:rPr>
            </w:pPr>
            <w:r>
              <w:rPr>
                <w:rFonts w:hint="eastAsia"/>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222" w:type="dxa"/>
            <w:vAlign w:val="center"/>
          </w:tcPr>
          <w:p>
            <w:pPr>
              <w:adjustRightInd w:val="0"/>
              <w:snapToGrid w:val="0"/>
              <w:jc w:val="center"/>
              <w:rPr>
                <w:spacing w:val="-8"/>
                <w:sz w:val="24"/>
                <w:szCs w:val="24"/>
              </w:rPr>
            </w:pPr>
            <w:r>
              <w:rPr>
                <w:rFonts w:hint="eastAsia"/>
                <w:spacing w:val="-8"/>
                <w:sz w:val="24"/>
                <w:szCs w:val="24"/>
              </w:rPr>
              <w:t>环境风险</w:t>
            </w:r>
          </w:p>
          <w:p>
            <w:pPr>
              <w:adjustRightInd w:val="0"/>
              <w:snapToGrid w:val="0"/>
              <w:jc w:val="center"/>
              <w:rPr>
                <w:spacing w:val="-8"/>
                <w:sz w:val="24"/>
                <w:szCs w:val="24"/>
              </w:rPr>
            </w:pPr>
            <w:r>
              <w:rPr>
                <w:rFonts w:hint="eastAsia"/>
                <w:spacing w:val="-8"/>
                <w:sz w:val="24"/>
                <w:szCs w:val="24"/>
              </w:rPr>
              <w:t>防范措施</w:t>
            </w:r>
          </w:p>
        </w:tc>
        <w:tc>
          <w:tcPr>
            <w:tcW w:w="78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sz w:val="24"/>
                <w:szCs w:val="24"/>
              </w:rPr>
            </w:pPr>
            <w:r>
              <w:rPr>
                <w:rFonts w:hint="eastAsia"/>
                <w:sz w:val="24"/>
                <w:szCs w:val="24"/>
              </w:rPr>
              <w:t>①租赁方事故应急池有足够容积暂存事故废水，各阀门安装完好，确保能将事故废水控制在厂区范围内，不外排；</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sz w:val="24"/>
                <w:szCs w:val="24"/>
              </w:rPr>
            </w:pPr>
            <w:r>
              <w:rPr>
                <w:rFonts w:hint="eastAsia"/>
                <w:sz w:val="24"/>
                <w:szCs w:val="24"/>
              </w:rPr>
              <w:t>②各应急物资充分到位，定时维护，确保时刻完好可用；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sz w:val="24"/>
                <w:szCs w:val="24"/>
              </w:rPr>
            </w:pPr>
            <w:r>
              <w:rPr>
                <w:rFonts w:hint="eastAsia"/>
                <w:sz w:val="24"/>
                <w:szCs w:val="24"/>
              </w:rPr>
              <w:t>③厂区及生产车间消防设施、防爆措施落实到位；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r>
              <w:rPr>
                <w:rFonts w:hint="eastAsia"/>
                <w:sz w:val="24"/>
                <w:szCs w:val="24"/>
              </w:rPr>
              <w:t>④环境应急预案按相关要求编制完成，管控及应急措施落实到位。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jc w:val="center"/>
        </w:trPr>
        <w:tc>
          <w:tcPr>
            <w:tcW w:w="1222" w:type="dxa"/>
            <w:vAlign w:val="center"/>
          </w:tcPr>
          <w:p>
            <w:pPr>
              <w:adjustRightInd w:val="0"/>
              <w:snapToGrid w:val="0"/>
              <w:jc w:val="center"/>
              <w:rPr>
                <w:spacing w:val="-8"/>
                <w:sz w:val="24"/>
                <w:szCs w:val="24"/>
              </w:rPr>
            </w:pPr>
            <w:r>
              <w:rPr>
                <w:rFonts w:hint="eastAsia"/>
                <w:spacing w:val="-8"/>
                <w:sz w:val="24"/>
                <w:szCs w:val="24"/>
              </w:rPr>
              <w:t>其他环境</w:t>
            </w:r>
          </w:p>
          <w:p>
            <w:pPr>
              <w:adjustRightInd w:val="0"/>
              <w:snapToGrid w:val="0"/>
              <w:jc w:val="center"/>
              <w:rPr>
                <w:spacing w:val="-8"/>
                <w:sz w:val="24"/>
                <w:szCs w:val="24"/>
              </w:rPr>
            </w:pPr>
            <w:r>
              <w:rPr>
                <w:rFonts w:hint="eastAsia"/>
                <w:spacing w:val="-8"/>
                <w:sz w:val="24"/>
                <w:szCs w:val="24"/>
              </w:rPr>
              <w:t>管理要求</w:t>
            </w:r>
          </w:p>
        </w:tc>
        <w:tc>
          <w:tcPr>
            <w:tcW w:w="7838"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sz w:val="24"/>
                <w:szCs w:val="24"/>
              </w:rPr>
            </w:pPr>
            <w:r>
              <w:rPr>
                <w:rFonts w:hint="eastAsia" w:ascii="Times New Roman" w:hAnsi="Times New Roman" w:eastAsia="宋体" w:cs="Times New Roman"/>
                <w:sz w:val="24"/>
                <w:szCs w:val="24"/>
                <w:lang w:val="en-US" w:eastAsia="zh-CN"/>
              </w:rPr>
              <w:t>纳入排污许可管理的建设项目，排污单位应当在项目产生实际污染物排放之前，按照国家排污许可有关管理规定要求，申请排污许可证，不得无证排污或不按证排污。建设项目建成后，环保设施调试前，建设单位应向社会公开并向环保部门报送竣工、环保设施调试日期，并在投入调试前取得相关许可证。调试期3个月内建设单位按照《建设项目竣工环境保护验收暂行办法》自行组织验收，建设单位应当在出具验收合格的意见后5个工作日内，通过网站或者其他便于公众知悉的方式，依法向社会公开验收报告和验收意见，公开的期限不得少于20个工作日。公开结束后5个工作日内，建设单位应当登录全国建设项目竣工环境保护验收信息平台，填报相关信息并对信息的真实性、准确性和完整性负责。</w:t>
            </w:r>
          </w:p>
        </w:tc>
      </w:tr>
    </w:tbl>
    <w:p>
      <w:pPr>
        <w:pStyle w:val="26"/>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30"/>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tcPr>
          <w:p>
            <w:pPr>
              <w:spacing w:line="360" w:lineRule="auto"/>
              <w:ind w:left="21" w:leftChars="10" w:firstLine="384" w:firstLineChars="183"/>
              <w:rPr>
                <w:rFonts w:ascii="宋体" w:cs="宋体"/>
                <w:szCs w:val="21"/>
              </w:rPr>
            </w:pPr>
          </w:p>
          <w:p>
            <w:pPr>
              <w:spacing w:line="360" w:lineRule="auto"/>
              <w:ind w:left="21" w:leftChars="10" w:firstLine="439" w:firstLineChars="183"/>
              <w:rPr>
                <w:rFonts w:ascii="宋体" w:cs="宋体"/>
                <w:sz w:val="24"/>
              </w:rPr>
            </w:pPr>
            <w:r>
              <w:rPr>
                <w:rFonts w:hint="eastAsia"/>
                <w:sz w:val="24"/>
                <w:szCs w:val="32"/>
              </w:rPr>
              <w:t>综上所述，建设项目类型及其选址、布局、规模等符合环境保护法律法规和相关法定规划；产生的各项污染物经采取有效污染防治措施后可确保达标排放，并能满足区域环境质量改善目标管理要求，对周围环境及生态环境影响较小，建设项目建设从环保上角度是可行的。</w:t>
            </w:r>
          </w:p>
        </w:tc>
      </w:tr>
    </w:tbl>
    <w:p>
      <w:pPr>
        <w:rPr>
          <w:rFonts w:ascii="宋体"/>
        </w:rPr>
        <w:sectPr>
          <w:pgSz w:w="11906" w:h="16838"/>
          <w:pgMar w:top="1701" w:right="1531" w:bottom="1701" w:left="1531" w:header="851" w:footer="851" w:gutter="0"/>
          <w:pgNumType w:fmt="decimal"/>
          <w:cols w:space="720" w:num="1"/>
          <w:docGrid w:linePitch="312" w:charSpace="0"/>
        </w:sectPr>
      </w:pPr>
    </w:p>
    <w:p>
      <w:pPr>
        <w:pStyle w:val="26"/>
        <w:adjustRightInd w:val="0"/>
        <w:snapToGrid w:val="0"/>
        <w:spacing w:before="0" w:beforeAutospacing="0" w:after="0" w:afterAutospacing="0" w:line="360"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pPr>
        <w:pStyle w:val="26"/>
        <w:adjustRightInd w:val="0"/>
        <w:snapToGrid w:val="0"/>
        <w:spacing w:before="0" w:beforeAutospacing="0" w:after="0" w:afterAutospacing="0" w:line="360" w:lineRule="auto"/>
        <w:jc w:val="center"/>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30"/>
        <w:tblW w:w="1349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5"/>
        <w:gridCol w:w="1382"/>
        <w:gridCol w:w="1261"/>
        <w:gridCol w:w="1382"/>
        <w:gridCol w:w="2074"/>
        <w:gridCol w:w="1644"/>
        <w:gridCol w:w="2079"/>
        <w:gridCol w:w="17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tcBorders>
              <w:tl2br w:val="single" w:color="auto" w:sz="4" w:space="0"/>
            </w:tcBorders>
            <w:tcMar>
              <w:left w:w="28" w:type="dxa"/>
              <w:right w:w="28" w:type="dxa"/>
            </w:tcMar>
            <w:vAlign w:val="center"/>
          </w:tcPr>
          <w:p>
            <w:pPr>
              <w:pStyle w:val="37"/>
              <w:spacing w:beforeLines="0" w:afterLines="0" w:line="240" w:lineRule="auto"/>
              <w:jc w:val="right"/>
              <w:rPr>
                <w:rFonts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项目</w:t>
            </w:r>
          </w:p>
          <w:p>
            <w:pPr>
              <w:pStyle w:val="37"/>
              <w:spacing w:beforeLines="0" w:afterLines="0" w:line="240" w:lineRule="auto"/>
              <w:jc w:val="left"/>
              <w:rPr>
                <w:rFonts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分类</w:t>
            </w:r>
          </w:p>
        </w:tc>
        <w:tc>
          <w:tcPr>
            <w:tcW w:w="1175" w:type="dxa"/>
            <w:tcMar>
              <w:left w:w="28" w:type="dxa"/>
              <w:right w:w="28" w:type="dxa"/>
            </w:tcMar>
            <w:vAlign w:val="center"/>
          </w:tcPr>
          <w:p>
            <w:pPr>
              <w:pStyle w:val="37"/>
              <w:spacing w:beforeLines="0" w:afterLines="0" w:line="240" w:lineRule="auto"/>
              <w:rPr>
                <w:rFonts w:ascii="黑体" w:hAnsi="黑体" w:eastAsia="黑体" w:cs="宋体"/>
                <w:snapToGrid w:val="0"/>
                <w:color w:val="000000"/>
                <w:spacing w:val="-6"/>
                <w:kern w:val="21"/>
                <w:sz w:val="21"/>
                <w:szCs w:val="21"/>
              </w:rPr>
            </w:pPr>
            <w:r>
              <w:rPr>
                <w:rFonts w:hint="eastAsia" w:ascii="黑体" w:hAnsi="黑体" w:eastAsia="黑体" w:cs="宋体"/>
                <w:snapToGrid w:val="0"/>
                <w:color w:val="000000"/>
                <w:spacing w:val="-6"/>
                <w:kern w:val="21"/>
                <w:sz w:val="21"/>
                <w:szCs w:val="21"/>
              </w:rPr>
              <w:t>污染物名称</w:t>
            </w:r>
          </w:p>
        </w:tc>
        <w:tc>
          <w:tcPr>
            <w:tcW w:w="1382" w:type="dxa"/>
            <w:tcMar>
              <w:left w:w="28" w:type="dxa"/>
              <w:right w:w="28" w:type="dxa"/>
            </w:tcMar>
            <w:vAlign w:val="center"/>
          </w:tcPr>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w:t>
            </w:r>
          </w:p>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1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①</w:t>
            </w:r>
            <w:r>
              <w:rPr>
                <w:rFonts w:ascii="黑体" w:hAnsi="黑体" w:eastAsia="黑体"/>
                <w:snapToGrid w:val="0"/>
                <w:color w:val="000000"/>
                <w:spacing w:val="-6"/>
                <w:kern w:val="21"/>
                <w:sz w:val="21"/>
                <w:szCs w:val="21"/>
              </w:rPr>
              <w:fldChar w:fldCharType="end"/>
            </w:r>
          </w:p>
        </w:tc>
        <w:tc>
          <w:tcPr>
            <w:tcW w:w="1261" w:type="dxa"/>
            <w:tcMar>
              <w:left w:w="28" w:type="dxa"/>
              <w:right w:w="28" w:type="dxa"/>
            </w:tcMar>
            <w:vAlign w:val="center"/>
          </w:tcPr>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现有工程许可排放量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2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snapToGrid w:val="0"/>
                <w:color w:val="000000"/>
                <w:spacing w:val="-6"/>
                <w:kern w:val="21"/>
                <w:sz w:val="21"/>
                <w:szCs w:val="21"/>
              </w:rPr>
              <w:t>②</w:t>
            </w:r>
            <w:r>
              <w:rPr>
                <w:rFonts w:ascii="黑体" w:hAnsi="黑体" w:eastAsia="黑体"/>
                <w:snapToGrid w:val="0"/>
                <w:color w:val="000000"/>
                <w:spacing w:val="-6"/>
                <w:kern w:val="21"/>
                <w:sz w:val="21"/>
                <w:szCs w:val="21"/>
              </w:rPr>
              <w:fldChar w:fldCharType="end"/>
            </w:r>
          </w:p>
        </w:tc>
        <w:tc>
          <w:tcPr>
            <w:tcW w:w="1382" w:type="dxa"/>
            <w:tcMar>
              <w:left w:w="28" w:type="dxa"/>
              <w:right w:w="28" w:type="dxa"/>
            </w:tcMar>
            <w:vAlign w:val="center"/>
          </w:tcPr>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在建工程</w:t>
            </w:r>
          </w:p>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3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③</w:t>
            </w:r>
            <w:r>
              <w:rPr>
                <w:rFonts w:ascii="黑体" w:hAnsi="黑体" w:eastAsia="黑体"/>
                <w:snapToGrid w:val="0"/>
                <w:color w:val="000000"/>
                <w:spacing w:val="-6"/>
                <w:kern w:val="21"/>
                <w:sz w:val="21"/>
                <w:szCs w:val="21"/>
              </w:rPr>
              <w:fldChar w:fldCharType="end"/>
            </w:r>
          </w:p>
        </w:tc>
        <w:tc>
          <w:tcPr>
            <w:tcW w:w="2074" w:type="dxa"/>
            <w:tcMar>
              <w:left w:w="28" w:type="dxa"/>
              <w:right w:w="28" w:type="dxa"/>
            </w:tcMar>
            <w:vAlign w:val="center"/>
          </w:tcPr>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本项目排放量（固</w:t>
            </w:r>
            <w:r>
              <w:rPr>
                <w:rFonts w:hint="eastAsia" w:ascii="黑体" w:hAnsi="黑体" w:eastAsia="黑体"/>
                <w:snapToGrid w:val="0"/>
                <w:color w:val="000000"/>
                <w:spacing w:val="-6"/>
                <w:kern w:val="21"/>
                <w:sz w:val="21"/>
                <w:szCs w:val="21"/>
              </w:rPr>
              <w:t>体</w:t>
            </w:r>
            <w:r>
              <w:rPr>
                <w:rFonts w:ascii="黑体" w:hAnsi="黑体" w:eastAsia="黑体"/>
                <w:snapToGrid w:val="0"/>
                <w:color w:val="000000"/>
                <w:spacing w:val="-6"/>
                <w:kern w:val="21"/>
                <w:sz w:val="21"/>
                <w:szCs w:val="21"/>
              </w:rPr>
              <w:t>废</w:t>
            </w:r>
            <w:r>
              <w:rPr>
                <w:rFonts w:hint="eastAsia" w:ascii="黑体" w:hAnsi="黑体" w:eastAsia="黑体"/>
                <w:snapToGrid w:val="0"/>
                <w:color w:val="000000"/>
                <w:spacing w:val="-6"/>
                <w:kern w:val="21"/>
                <w:sz w:val="21"/>
                <w:szCs w:val="21"/>
              </w:rPr>
              <w:t>物</w:t>
            </w:r>
            <w:r>
              <w:rPr>
                <w:rFonts w:ascii="黑体" w:hAnsi="黑体" w:eastAsia="黑体"/>
                <w:snapToGrid w:val="0"/>
                <w:color w:val="000000"/>
                <w:spacing w:val="-6"/>
                <w:kern w:val="21"/>
                <w:sz w:val="21"/>
                <w:szCs w:val="21"/>
              </w:rPr>
              <w:t>产生量）</w:t>
            </w: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4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④</w:t>
            </w:r>
            <w:r>
              <w:rPr>
                <w:rFonts w:ascii="黑体" w:hAnsi="黑体" w:eastAsia="黑体"/>
                <w:snapToGrid w:val="0"/>
                <w:color w:val="000000"/>
                <w:spacing w:val="-6"/>
                <w:kern w:val="21"/>
                <w:sz w:val="21"/>
                <w:szCs w:val="21"/>
              </w:rPr>
              <w:fldChar w:fldCharType="end"/>
            </w:r>
          </w:p>
        </w:tc>
        <w:tc>
          <w:tcPr>
            <w:tcW w:w="1644" w:type="dxa"/>
            <w:tcMar>
              <w:left w:w="28" w:type="dxa"/>
              <w:right w:w="28" w:type="dxa"/>
            </w:tcMar>
            <w:vAlign w:val="center"/>
          </w:tcPr>
          <w:p>
            <w:pPr>
              <w:pStyle w:val="37"/>
              <w:spacing w:beforeLines="0" w:afterLines="0" w:line="240" w:lineRule="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以新带老削减量（新建项目不填）</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5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⑤</w:t>
            </w:r>
            <w:r>
              <w:rPr>
                <w:rFonts w:ascii="黑体" w:hAnsi="黑体" w:eastAsia="黑体"/>
                <w:snapToGrid w:val="0"/>
                <w:color w:val="000000"/>
                <w:spacing w:val="-16"/>
                <w:kern w:val="21"/>
                <w:sz w:val="21"/>
                <w:szCs w:val="21"/>
              </w:rPr>
              <w:fldChar w:fldCharType="end"/>
            </w:r>
          </w:p>
        </w:tc>
        <w:tc>
          <w:tcPr>
            <w:tcW w:w="2079" w:type="dxa"/>
            <w:tcMar>
              <w:left w:w="28" w:type="dxa"/>
              <w:right w:w="28" w:type="dxa"/>
            </w:tcMar>
            <w:vAlign w:val="center"/>
          </w:tcPr>
          <w:p>
            <w:pPr>
              <w:pStyle w:val="37"/>
              <w:spacing w:beforeLines="0" w:afterLines="0" w:line="240" w:lineRule="auto"/>
              <w:rPr>
                <w:rFonts w:ascii="黑体" w:hAnsi="黑体" w:eastAsia="黑体"/>
                <w:snapToGrid w:val="0"/>
                <w:color w:val="000000"/>
                <w:spacing w:val="-16"/>
                <w:kern w:val="21"/>
                <w:sz w:val="21"/>
                <w:szCs w:val="21"/>
              </w:rPr>
            </w:pPr>
            <w:r>
              <w:rPr>
                <w:rFonts w:ascii="黑体" w:hAnsi="黑体" w:eastAsia="黑体"/>
                <w:snapToGrid w:val="0"/>
                <w:color w:val="000000"/>
                <w:spacing w:val="-16"/>
                <w:kern w:val="21"/>
                <w:sz w:val="21"/>
                <w:szCs w:val="21"/>
              </w:rPr>
              <w:t>本项目建成后</w:t>
            </w:r>
            <w:r>
              <w:rPr>
                <w:rFonts w:hint="eastAsia" w:ascii="黑体" w:hAnsi="黑体" w:eastAsia="黑体"/>
                <w:snapToGrid w:val="0"/>
                <w:color w:val="000000"/>
                <w:spacing w:val="-16"/>
                <w:kern w:val="21"/>
                <w:sz w:val="21"/>
                <w:szCs w:val="21"/>
              </w:rPr>
              <w:t>全厂</w:t>
            </w:r>
            <w:r>
              <w:rPr>
                <w:rFonts w:ascii="黑体" w:hAnsi="黑体" w:eastAsia="黑体"/>
                <w:snapToGrid w:val="0"/>
                <w:color w:val="000000"/>
                <w:spacing w:val="-16"/>
                <w:kern w:val="21"/>
                <w:sz w:val="21"/>
                <w:szCs w:val="21"/>
              </w:rPr>
              <w:t>排放量（固</w:t>
            </w:r>
            <w:r>
              <w:rPr>
                <w:rFonts w:hint="eastAsia" w:ascii="黑体" w:hAnsi="黑体" w:eastAsia="黑体"/>
                <w:snapToGrid w:val="0"/>
                <w:color w:val="000000"/>
                <w:spacing w:val="-16"/>
                <w:kern w:val="21"/>
                <w:sz w:val="21"/>
                <w:szCs w:val="21"/>
              </w:rPr>
              <w:t>体</w:t>
            </w:r>
            <w:r>
              <w:rPr>
                <w:rFonts w:ascii="黑体" w:hAnsi="黑体" w:eastAsia="黑体"/>
                <w:snapToGrid w:val="0"/>
                <w:color w:val="000000"/>
                <w:spacing w:val="-16"/>
                <w:kern w:val="21"/>
                <w:sz w:val="21"/>
                <w:szCs w:val="21"/>
              </w:rPr>
              <w:t>废</w:t>
            </w:r>
            <w:r>
              <w:rPr>
                <w:rFonts w:hint="eastAsia" w:ascii="黑体" w:hAnsi="黑体" w:eastAsia="黑体"/>
                <w:snapToGrid w:val="0"/>
                <w:color w:val="000000"/>
                <w:spacing w:val="-16"/>
                <w:kern w:val="21"/>
                <w:sz w:val="21"/>
                <w:szCs w:val="21"/>
              </w:rPr>
              <w:t>物</w:t>
            </w:r>
            <w:r>
              <w:rPr>
                <w:rFonts w:ascii="黑体" w:hAnsi="黑体" w:eastAsia="黑体"/>
                <w:snapToGrid w:val="0"/>
                <w:color w:val="000000"/>
                <w:spacing w:val="-16"/>
                <w:kern w:val="21"/>
                <w:sz w:val="21"/>
                <w:szCs w:val="21"/>
              </w:rPr>
              <w:t>产生量）</w:t>
            </w:r>
            <w:r>
              <w:rPr>
                <w:rFonts w:ascii="黑体" w:hAnsi="黑体" w:eastAsia="黑体"/>
                <w:snapToGrid w:val="0"/>
                <w:color w:val="000000"/>
                <w:spacing w:val="-16"/>
                <w:kern w:val="21"/>
                <w:sz w:val="21"/>
                <w:szCs w:val="21"/>
              </w:rPr>
              <w:fldChar w:fldCharType="begin"/>
            </w:r>
            <w:r>
              <w:rPr>
                <w:rFonts w:ascii="黑体" w:hAnsi="黑体" w:eastAsia="黑体"/>
                <w:snapToGrid w:val="0"/>
                <w:color w:val="000000"/>
                <w:spacing w:val="-16"/>
                <w:kern w:val="21"/>
                <w:sz w:val="21"/>
                <w:szCs w:val="21"/>
              </w:rPr>
              <w:instrText xml:space="preserve"> = 6 \* GB3 \* MERGEFORMAT </w:instrText>
            </w:r>
            <w:r>
              <w:rPr>
                <w:rFonts w:ascii="黑体" w:hAnsi="黑体" w:eastAsia="黑体"/>
                <w:snapToGrid w:val="0"/>
                <w:color w:val="000000"/>
                <w:spacing w:val="-16"/>
                <w:kern w:val="21"/>
                <w:sz w:val="21"/>
                <w:szCs w:val="21"/>
              </w:rPr>
              <w:fldChar w:fldCharType="separate"/>
            </w:r>
            <w:r>
              <w:rPr>
                <w:rFonts w:hint="eastAsia" w:ascii="黑体" w:hAnsi="黑体" w:eastAsia="黑体" w:cs="宋体"/>
                <w:kern w:val="2"/>
                <w:sz w:val="21"/>
                <w:szCs w:val="21"/>
              </w:rPr>
              <w:t>⑥</w:t>
            </w:r>
            <w:r>
              <w:rPr>
                <w:rFonts w:ascii="黑体" w:hAnsi="黑体" w:eastAsia="黑体"/>
                <w:snapToGrid w:val="0"/>
                <w:color w:val="000000"/>
                <w:spacing w:val="-16"/>
                <w:kern w:val="21"/>
                <w:sz w:val="21"/>
                <w:szCs w:val="21"/>
              </w:rPr>
              <w:fldChar w:fldCharType="end"/>
            </w:r>
          </w:p>
        </w:tc>
        <w:tc>
          <w:tcPr>
            <w:tcW w:w="1715" w:type="dxa"/>
            <w:tcMar>
              <w:left w:w="28" w:type="dxa"/>
              <w:right w:w="28" w:type="dxa"/>
            </w:tcMar>
            <w:vAlign w:val="center"/>
          </w:tcPr>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t>变化量</w:t>
            </w:r>
          </w:p>
          <w:p>
            <w:pPr>
              <w:pStyle w:val="37"/>
              <w:spacing w:beforeLines="0" w:afterLines="0" w:line="240" w:lineRule="auto"/>
              <w:rPr>
                <w:rFonts w:ascii="黑体" w:hAnsi="黑体" w:eastAsia="黑体"/>
                <w:snapToGrid w:val="0"/>
                <w:color w:val="000000"/>
                <w:spacing w:val="-6"/>
                <w:kern w:val="21"/>
                <w:sz w:val="21"/>
                <w:szCs w:val="21"/>
              </w:rPr>
            </w:pPr>
            <w:r>
              <w:rPr>
                <w:rFonts w:ascii="黑体" w:hAnsi="黑体" w:eastAsia="黑体"/>
                <w:snapToGrid w:val="0"/>
                <w:color w:val="000000"/>
                <w:spacing w:val="-6"/>
                <w:kern w:val="21"/>
                <w:sz w:val="21"/>
                <w:szCs w:val="21"/>
              </w:rPr>
              <w:fldChar w:fldCharType="begin"/>
            </w:r>
            <w:r>
              <w:rPr>
                <w:rFonts w:ascii="黑体" w:hAnsi="黑体" w:eastAsia="黑体"/>
                <w:snapToGrid w:val="0"/>
                <w:color w:val="000000"/>
                <w:spacing w:val="-6"/>
                <w:kern w:val="21"/>
                <w:sz w:val="21"/>
                <w:szCs w:val="21"/>
              </w:rPr>
              <w:instrText xml:space="preserve"> = 7 \* GB3 \* MERGEFORMAT </w:instrText>
            </w:r>
            <w:r>
              <w:rPr>
                <w:rFonts w:ascii="黑体" w:hAnsi="黑体" w:eastAsia="黑体"/>
                <w:snapToGrid w:val="0"/>
                <w:color w:val="000000"/>
                <w:spacing w:val="-6"/>
                <w:kern w:val="21"/>
                <w:sz w:val="21"/>
                <w:szCs w:val="21"/>
              </w:rPr>
              <w:fldChar w:fldCharType="separate"/>
            </w:r>
            <w:r>
              <w:rPr>
                <w:rFonts w:hint="eastAsia" w:ascii="黑体" w:hAnsi="黑体" w:eastAsia="黑体" w:cs="宋体"/>
                <w:kern w:val="2"/>
                <w:sz w:val="21"/>
                <w:szCs w:val="21"/>
              </w:rPr>
              <w:t>⑦</w:t>
            </w:r>
            <w:r>
              <w:rPr>
                <w:rFonts w:ascii="黑体" w:hAnsi="黑体" w:eastAsia="黑体"/>
                <w:snapToGrid w:val="0"/>
                <w:color w:val="000000"/>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vAlign w:val="center"/>
          </w:tcPr>
          <w:p>
            <w:pPr>
              <w:pStyle w:val="37"/>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有组织</w:t>
            </w:r>
            <w:r>
              <w:rPr>
                <w:rFonts w:hint="eastAsia" w:hAnsi="宋体" w:cs="宋体"/>
                <w:snapToGrid w:val="0"/>
                <w:color w:val="000000"/>
                <w:kern w:val="21"/>
                <w:sz w:val="21"/>
                <w:szCs w:val="21"/>
              </w:rPr>
              <w:t>废气</w:t>
            </w:r>
          </w:p>
        </w:tc>
        <w:tc>
          <w:tcPr>
            <w:tcW w:w="1175" w:type="dxa"/>
            <w:shd w:val="clear" w:color="auto" w:fill="auto"/>
            <w:vAlign w:val="center"/>
          </w:tcPr>
          <w:p>
            <w:pPr>
              <w:widowControl/>
              <w:jc w:val="center"/>
              <w:textAlignment w:val="center"/>
              <w:rPr>
                <w:rFonts w:hint="eastAsia" w:ascii="宋体" w:hAnsi="宋体" w:eastAsia="宋体" w:cs="宋体"/>
                <w:snapToGrid w:val="0"/>
                <w:color w:val="000000"/>
                <w:kern w:val="21"/>
                <w:sz w:val="21"/>
                <w:szCs w:val="21"/>
                <w:lang w:val="en-US" w:eastAsia="zh-CN" w:bidi="ar-SA"/>
              </w:rPr>
            </w:pPr>
            <w:r>
              <w:rPr>
                <w:rFonts w:hint="eastAsia" w:ascii="宋体" w:hAnsi="宋体" w:cs="宋体"/>
                <w:snapToGrid w:val="0"/>
                <w:color w:val="000000"/>
                <w:kern w:val="21"/>
                <w:sz w:val="21"/>
                <w:szCs w:val="21"/>
                <w:lang w:val="en-US" w:eastAsia="zh-CN"/>
              </w:rPr>
              <w:t>非甲烷总烃</w:t>
            </w:r>
          </w:p>
        </w:tc>
        <w:tc>
          <w:tcPr>
            <w:tcW w:w="1382" w:type="dxa"/>
            <w:shd w:val="clear" w:color="auto" w:fill="auto"/>
            <w:vAlign w:val="center"/>
          </w:tcPr>
          <w:p>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0</w:t>
            </w:r>
          </w:p>
        </w:tc>
        <w:tc>
          <w:tcPr>
            <w:tcW w:w="1261" w:type="dxa"/>
            <w:shd w:val="clear" w:color="auto" w:fill="auto"/>
            <w:vAlign w:val="center"/>
          </w:tcPr>
          <w:p>
            <w:pPr>
              <w:widowControl/>
              <w:jc w:val="center"/>
              <w:textAlignment w:val="center"/>
              <w:rPr>
                <w:rFonts w:hint="default"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0.005</w:t>
            </w:r>
          </w:p>
        </w:tc>
        <w:tc>
          <w:tcPr>
            <w:tcW w:w="1382" w:type="dxa"/>
            <w:shd w:val="clear" w:color="auto" w:fill="auto"/>
            <w:vAlign w:val="center"/>
          </w:tcPr>
          <w:p>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w:t>
            </w:r>
          </w:p>
        </w:tc>
        <w:tc>
          <w:tcPr>
            <w:tcW w:w="1644" w:type="dxa"/>
            <w:shd w:val="clear" w:color="auto" w:fill="auto"/>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0.005</w:t>
            </w:r>
          </w:p>
        </w:tc>
        <w:tc>
          <w:tcPr>
            <w:tcW w:w="2079" w:type="dxa"/>
            <w:shd w:val="clear" w:color="auto" w:fill="auto"/>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0</w:t>
            </w:r>
          </w:p>
        </w:tc>
        <w:tc>
          <w:tcPr>
            <w:tcW w:w="1715" w:type="dxa"/>
            <w:shd w:val="clear" w:color="auto" w:fill="auto"/>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vAlign w:val="center"/>
          </w:tcPr>
          <w:p>
            <w:pPr>
              <w:pStyle w:val="37"/>
              <w:spacing w:beforeLines="0" w:afterLines="0" w:line="240" w:lineRule="auto"/>
              <w:rPr>
                <w:rFonts w:hint="eastAsia" w:hAnsi="宋体" w:cs="宋体"/>
                <w:snapToGrid w:val="0"/>
                <w:color w:val="000000"/>
                <w:kern w:val="21"/>
                <w:sz w:val="21"/>
                <w:szCs w:val="21"/>
              </w:rPr>
            </w:pPr>
            <w:r>
              <w:rPr>
                <w:rFonts w:hint="eastAsia" w:hAnsi="宋体" w:cs="宋体"/>
                <w:snapToGrid w:val="0"/>
                <w:color w:val="000000"/>
                <w:kern w:val="21"/>
                <w:sz w:val="21"/>
                <w:szCs w:val="21"/>
                <w:lang w:val="en-US" w:eastAsia="zh-CN"/>
              </w:rPr>
              <w:t>无组织</w:t>
            </w:r>
            <w:r>
              <w:rPr>
                <w:rFonts w:hint="eastAsia" w:hAnsi="宋体" w:cs="宋体"/>
                <w:snapToGrid w:val="0"/>
                <w:color w:val="000000"/>
                <w:kern w:val="21"/>
                <w:sz w:val="21"/>
                <w:szCs w:val="21"/>
              </w:rPr>
              <w:t>废气</w:t>
            </w:r>
          </w:p>
        </w:tc>
        <w:tc>
          <w:tcPr>
            <w:tcW w:w="1175" w:type="dxa"/>
            <w:shd w:val="clear" w:color="auto" w:fill="auto"/>
            <w:vAlign w:val="center"/>
          </w:tcPr>
          <w:p>
            <w:pPr>
              <w:widowControl/>
              <w:jc w:val="center"/>
              <w:textAlignment w:val="center"/>
              <w:rPr>
                <w:rFonts w:hint="eastAsia" w:ascii="宋体" w:hAnsi="宋体" w:cs="宋体"/>
                <w:snapToGrid w:val="0"/>
                <w:color w:val="000000"/>
                <w:kern w:val="21"/>
                <w:sz w:val="21"/>
                <w:szCs w:val="21"/>
                <w:lang w:val="en-US" w:eastAsia="zh-CN"/>
              </w:rPr>
            </w:pPr>
            <w:r>
              <w:rPr>
                <w:rFonts w:hint="eastAsia" w:ascii="宋体" w:hAnsi="宋体" w:cs="宋体"/>
                <w:snapToGrid w:val="0"/>
                <w:color w:val="000000"/>
                <w:kern w:val="21"/>
                <w:sz w:val="21"/>
                <w:szCs w:val="21"/>
                <w:lang w:val="en-US" w:eastAsia="zh-CN"/>
              </w:rPr>
              <w:t>非甲烷总烃</w:t>
            </w:r>
          </w:p>
        </w:tc>
        <w:tc>
          <w:tcPr>
            <w:tcW w:w="1382" w:type="dxa"/>
            <w:shd w:val="clear" w:color="auto" w:fill="auto"/>
            <w:vAlign w:val="center"/>
          </w:tcPr>
          <w:p>
            <w:pPr>
              <w:widowControl/>
              <w:jc w:val="center"/>
              <w:textAlignment w:val="center"/>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w:t>
            </w:r>
          </w:p>
        </w:tc>
        <w:tc>
          <w:tcPr>
            <w:tcW w:w="1261" w:type="dxa"/>
            <w:shd w:val="clear" w:color="auto" w:fill="auto"/>
            <w:vAlign w:val="center"/>
          </w:tcPr>
          <w:p>
            <w:pPr>
              <w:widowControl/>
              <w:jc w:val="center"/>
              <w:textAlignment w:val="center"/>
              <w:rPr>
                <w:rFonts w:hint="default"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0.007</w:t>
            </w:r>
          </w:p>
        </w:tc>
        <w:tc>
          <w:tcPr>
            <w:tcW w:w="1382" w:type="dxa"/>
            <w:shd w:val="clear" w:color="auto" w:fill="auto"/>
            <w:vAlign w:val="center"/>
          </w:tcPr>
          <w:p>
            <w:pPr>
              <w:widowControl/>
              <w:jc w:val="center"/>
              <w:textAlignment w:val="center"/>
              <w:rPr>
                <w:rFonts w:hint="eastAsia" w:hAnsi="宋体" w:cs="宋体"/>
                <w:snapToGrid w:val="0"/>
                <w:color w:val="000000"/>
                <w:kern w:val="21"/>
                <w:sz w:val="21"/>
                <w:szCs w:val="21"/>
                <w:lang w:val="en-US" w:eastAsia="zh-CN"/>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widowControl/>
              <w:jc w:val="center"/>
              <w:textAlignment w:val="center"/>
              <w:rPr>
                <w:rFonts w:hint="default" w:cs="Times New Roman"/>
                <w:sz w:val="21"/>
                <w:szCs w:val="21"/>
                <w:lang w:val="en-US" w:eastAsia="zh-CN"/>
              </w:rPr>
            </w:pPr>
            <w:r>
              <w:rPr>
                <w:rFonts w:hint="eastAsia" w:cs="Times New Roman"/>
                <w:sz w:val="21"/>
                <w:szCs w:val="21"/>
                <w:lang w:val="en-US" w:eastAsia="zh-CN"/>
              </w:rPr>
              <w:t>0.003</w:t>
            </w:r>
          </w:p>
        </w:tc>
        <w:tc>
          <w:tcPr>
            <w:tcW w:w="1644" w:type="dxa"/>
            <w:shd w:val="clear" w:color="auto" w:fill="auto"/>
            <w:vAlign w:val="center"/>
          </w:tcPr>
          <w:p>
            <w:pPr>
              <w:widowControl/>
              <w:jc w:val="center"/>
              <w:rPr>
                <w:rFonts w:hint="default"/>
                <w:sz w:val="21"/>
                <w:szCs w:val="21"/>
                <w:lang w:val="en-US" w:eastAsia="zh-CN"/>
              </w:rPr>
            </w:pPr>
            <w:r>
              <w:rPr>
                <w:rFonts w:hint="eastAsia"/>
                <w:sz w:val="21"/>
                <w:szCs w:val="21"/>
                <w:lang w:val="en-US" w:eastAsia="zh-CN"/>
              </w:rPr>
              <w:t>0.007</w:t>
            </w:r>
          </w:p>
        </w:tc>
        <w:tc>
          <w:tcPr>
            <w:tcW w:w="2079" w:type="dxa"/>
            <w:shd w:val="clear" w:color="auto" w:fill="auto"/>
            <w:vAlign w:val="center"/>
          </w:tcPr>
          <w:p>
            <w:pPr>
              <w:widowControl/>
              <w:jc w:val="center"/>
              <w:textAlignment w:val="center"/>
              <w:rPr>
                <w:rFonts w:hint="default" w:cs="Times New Roman"/>
                <w:sz w:val="21"/>
                <w:szCs w:val="21"/>
                <w:lang w:val="en-US" w:eastAsia="zh-CN"/>
              </w:rPr>
            </w:pPr>
            <w:r>
              <w:rPr>
                <w:rFonts w:hint="eastAsia" w:cs="Times New Roman"/>
                <w:sz w:val="21"/>
                <w:szCs w:val="21"/>
                <w:lang w:val="en-US" w:eastAsia="zh-CN"/>
              </w:rPr>
              <w:t>0.003</w:t>
            </w:r>
          </w:p>
        </w:tc>
        <w:tc>
          <w:tcPr>
            <w:tcW w:w="1715" w:type="dxa"/>
            <w:shd w:val="clear" w:color="auto" w:fill="auto"/>
            <w:vAlign w:val="center"/>
          </w:tcPr>
          <w:p>
            <w:pPr>
              <w:widowControl/>
              <w:jc w:val="center"/>
              <w:textAlignment w:val="center"/>
              <w:rPr>
                <w:rFonts w:hint="default" w:cs="Times New Roman"/>
                <w:sz w:val="21"/>
                <w:szCs w:val="21"/>
                <w:lang w:val="en-US" w:eastAsia="zh-CN"/>
              </w:rPr>
            </w:pPr>
            <w:r>
              <w:rPr>
                <w:rFonts w:hint="eastAsia" w:cs="Times New Roman"/>
                <w:sz w:val="21"/>
                <w:szCs w:val="21"/>
                <w:lang w:val="en-US" w:eastAsia="zh-CN"/>
              </w:rPr>
              <w:t>-0.004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vMerge w:val="restart"/>
            <w:vAlign w:val="center"/>
          </w:tcPr>
          <w:p>
            <w:pPr>
              <w:pStyle w:val="37"/>
              <w:spacing w:beforeLines="0" w:afterLines="0" w:line="240" w:lineRule="auto"/>
              <w:rPr>
                <w:rFonts w:hAnsi="宋体" w:cs="宋体"/>
                <w:snapToGrid w:val="0"/>
                <w:color w:val="000000"/>
                <w:kern w:val="21"/>
                <w:sz w:val="21"/>
                <w:szCs w:val="21"/>
              </w:rPr>
            </w:pPr>
            <w:r>
              <w:rPr>
                <w:rFonts w:hint="eastAsia" w:hAnsi="宋体" w:cs="宋体"/>
                <w:snapToGrid w:val="0"/>
                <w:color w:val="000000"/>
                <w:kern w:val="21"/>
                <w:sz w:val="21"/>
                <w:szCs w:val="21"/>
              </w:rPr>
              <w:t>废水</w:t>
            </w:r>
          </w:p>
        </w:tc>
        <w:tc>
          <w:tcPr>
            <w:tcW w:w="1175" w:type="dxa"/>
            <w:vAlign w:val="center"/>
          </w:tcPr>
          <w:p>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废水量(万吨/年）</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widowControl/>
              <w:jc w:val="center"/>
              <w:textAlignment w:val="center"/>
              <w:rPr>
                <w:rFonts w:hint="default" w:ascii="Times New Roman" w:hAnsi="宋体" w:eastAsia="宋体" w:cs="宋体"/>
                <w:snapToGrid w:val="0"/>
                <w:color w:val="000000"/>
                <w:kern w:val="21"/>
                <w:sz w:val="21"/>
                <w:szCs w:val="21"/>
                <w:lang w:val="en-US" w:eastAsia="zh-CN" w:bidi="ar-SA"/>
              </w:rPr>
            </w:pPr>
            <w:r>
              <w:rPr>
                <w:rFonts w:hint="eastAsia" w:ascii="Times New Roman" w:hAnsi="Times New Roman" w:cs="Times New Roman"/>
                <w:sz w:val="21"/>
                <w:szCs w:val="21"/>
                <w:lang w:val="en-US" w:eastAsia="zh-CN"/>
              </w:rPr>
              <w:t>0.0</w:t>
            </w:r>
            <w:r>
              <w:rPr>
                <w:rFonts w:hint="eastAsia" w:cs="Times New Roman"/>
                <w:sz w:val="21"/>
                <w:szCs w:val="21"/>
                <w:lang w:val="en-US" w:eastAsia="zh-CN"/>
              </w:rPr>
              <w:t>24</w:t>
            </w:r>
          </w:p>
        </w:tc>
        <w:tc>
          <w:tcPr>
            <w:tcW w:w="1644" w:type="dxa"/>
            <w:shd w:val="clear" w:color="auto" w:fill="auto"/>
            <w:vAlign w:val="center"/>
          </w:tcPr>
          <w:p>
            <w:pPr>
              <w:widowControl/>
              <w:jc w:val="center"/>
              <w:textAlignment w:val="center"/>
              <w:rPr>
                <w:rFonts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ascii="Times New Roman" w:hAnsi="Times New Roman" w:cs="Times New Roman"/>
                <w:sz w:val="21"/>
                <w:szCs w:val="21"/>
                <w:lang w:val="en-US" w:eastAsia="zh-CN"/>
              </w:rPr>
              <w:t>0.0</w:t>
            </w:r>
            <w:r>
              <w:rPr>
                <w:rFonts w:hint="eastAsia" w:cs="Times New Roman"/>
                <w:sz w:val="21"/>
                <w:szCs w:val="21"/>
                <w:lang w:val="en-US" w:eastAsia="zh-CN"/>
              </w:rPr>
              <w:t>24</w:t>
            </w:r>
          </w:p>
        </w:tc>
        <w:tc>
          <w:tcPr>
            <w:tcW w:w="1715" w:type="dxa"/>
            <w:shd w:val="clear" w:color="auto" w:fill="auto"/>
            <w:vAlign w:val="center"/>
          </w:tcPr>
          <w:p>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ascii="Times New Roman" w:hAnsi="Times New Roman" w:cs="Times New Roman"/>
                <w:sz w:val="21"/>
                <w:szCs w:val="21"/>
                <w:lang w:val="en-US" w:eastAsia="zh-CN"/>
              </w:rPr>
              <w:t>+0.0</w:t>
            </w:r>
            <w:r>
              <w:rPr>
                <w:rFonts w:hint="eastAsia" w:cs="Times New Roman"/>
                <w:sz w:val="21"/>
                <w:szCs w:val="21"/>
                <w:lang w:val="en-US" w:eastAsia="zh-CN"/>
              </w:rPr>
              <w:t>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vMerge w:val="continue"/>
            <w:vAlign w:val="center"/>
          </w:tcPr>
          <w:p>
            <w:pPr>
              <w:pStyle w:val="37"/>
              <w:spacing w:beforeLines="0" w:afterLines="0" w:line="240" w:lineRule="auto"/>
              <w:rPr>
                <w:rFonts w:hAnsi="宋体" w:cs="宋体"/>
                <w:snapToGrid w:val="0"/>
                <w:color w:val="000000"/>
                <w:kern w:val="21"/>
                <w:sz w:val="21"/>
                <w:szCs w:val="21"/>
              </w:rPr>
            </w:pPr>
          </w:p>
        </w:tc>
        <w:tc>
          <w:tcPr>
            <w:tcW w:w="1175" w:type="dxa"/>
            <w:vAlign w:val="center"/>
          </w:tcPr>
          <w:p>
            <w:pPr>
              <w:widowControl/>
              <w:jc w:val="center"/>
              <w:textAlignment w:val="center"/>
              <w:rPr>
                <w:rFonts w:ascii="宋体" w:hAnsi="宋体" w:cs="宋体"/>
                <w:snapToGrid w:val="0"/>
                <w:color w:val="000000"/>
                <w:kern w:val="21"/>
                <w:sz w:val="21"/>
                <w:szCs w:val="21"/>
              </w:rPr>
            </w:pPr>
            <w:r>
              <w:rPr>
                <w:rFonts w:ascii="宋体" w:hAnsi="宋体" w:cs="宋体"/>
                <w:snapToGrid w:val="0"/>
                <w:color w:val="000000"/>
                <w:kern w:val="21"/>
                <w:sz w:val="21"/>
                <w:szCs w:val="21"/>
              </w:rPr>
              <w:t>COD</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0.049</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0.012</w:t>
            </w:r>
            <w:r>
              <w:rPr>
                <w:rFonts w:hint="eastAsia"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kern w:val="2"/>
                <w:sz w:val="21"/>
                <w:szCs w:val="21"/>
                <w:u w:val="none"/>
                <w:lang w:val="en-US" w:eastAsia="zh-CN" w:bidi="ar"/>
              </w:rPr>
              <w:t xml:space="preserve"> </w:t>
            </w:r>
          </w:p>
        </w:tc>
        <w:tc>
          <w:tcPr>
            <w:tcW w:w="1644" w:type="dxa"/>
            <w:shd w:val="clear" w:color="auto" w:fill="auto"/>
            <w:vAlign w:val="center"/>
          </w:tcPr>
          <w:p>
            <w:pPr>
              <w:widowControl/>
              <w:jc w:val="center"/>
              <w:textAlignment w:val="center"/>
              <w:rPr>
                <w:rFonts w:hint="default"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0.049</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0.012</w:t>
            </w:r>
            <w:r>
              <w:rPr>
                <w:rFonts w:hint="eastAsia"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kern w:val="2"/>
                <w:sz w:val="21"/>
                <w:szCs w:val="21"/>
                <w:u w:val="none"/>
                <w:lang w:val="en-US" w:eastAsia="zh-CN" w:bidi="ar"/>
              </w:rPr>
              <w:t xml:space="preserve"> </w:t>
            </w:r>
          </w:p>
        </w:tc>
        <w:tc>
          <w:tcPr>
            <w:tcW w:w="1715"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+0.049</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0.012</w:t>
            </w:r>
            <w:r>
              <w:rPr>
                <w:rFonts w:hint="eastAsia" w:ascii="Times New Roman" w:hAnsi="Times New Roman" w:eastAsia="宋体" w:cs="Times New Roman"/>
                <w:i w:val="0"/>
                <w:iCs w:val="0"/>
                <w:color w:val="000000"/>
                <w:kern w:val="0"/>
                <w:sz w:val="21"/>
                <w:szCs w:val="21"/>
                <w:u w:val="none"/>
                <w:lang w:val="en-US" w:eastAsia="zh-CN" w:bidi="ar"/>
              </w:rPr>
              <w:t>0</w:t>
            </w:r>
            <w:r>
              <w:rPr>
                <w:rFonts w:hint="eastAsia" w:cs="Times New Roman"/>
                <w:i w:val="0"/>
                <w:iCs w:val="0"/>
                <w:color w:val="000000"/>
                <w:kern w:val="0"/>
                <w:sz w:val="21"/>
                <w:szCs w:val="21"/>
                <w:u w:val="none"/>
                <w:lang w:val="en-US" w:eastAsia="zh-CN" w:bidi="ar"/>
              </w:rPr>
              <w:t>）</w:t>
            </w:r>
            <w:r>
              <w:rPr>
                <w:rFonts w:hint="eastAsia" w:ascii="Times New Roman" w:hAnsi="Times New Roman" w:eastAsia="宋体" w:cs="Times New Roman"/>
                <w:i w:val="0"/>
                <w:iCs w:val="0"/>
                <w:kern w:val="2"/>
                <w:sz w:val="21"/>
                <w:szCs w:val="21"/>
                <w:u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vMerge w:val="continue"/>
            <w:vAlign w:val="center"/>
          </w:tcPr>
          <w:p>
            <w:pPr>
              <w:pStyle w:val="37"/>
              <w:spacing w:beforeLines="0" w:afterLines="0" w:line="240" w:lineRule="auto"/>
              <w:rPr>
                <w:rFonts w:hAnsi="宋体" w:cs="宋体"/>
                <w:snapToGrid w:val="0"/>
                <w:color w:val="000000"/>
                <w:kern w:val="21"/>
                <w:sz w:val="21"/>
                <w:szCs w:val="21"/>
              </w:rPr>
            </w:pPr>
          </w:p>
        </w:tc>
        <w:tc>
          <w:tcPr>
            <w:tcW w:w="1175" w:type="dxa"/>
            <w:vAlign w:val="center"/>
          </w:tcPr>
          <w:p>
            <w:pPr>
              <w:widowControl/>
              <w:jc w:val="center"/>
              <w:textAlignment w:val="center"/>
              <w:rPr>
                <w:rFonts w:ascii="宋体" w:hAnsi="宋体" w:cs="宋体"/>
                <w:snapToGrid w:val="0"/>
                <w:color w:val="000000"/>
                <w:kern w:val="21"/>
                <w:sz w:val="21"/>
                <w:szCs w:val="21"/>
              </w:rPr>
            </w:pPr>
            <w:r>
              <w:rPr>
                <w:rFonts w:ascii="宋体" w:hAnsi="宋体" w:cs="宋体"/>
                <w:snapToGrid w:val="0"/>
                <w:color w:val="000000"/>
                <w:kern w:val="21"/>
                <w:sz w:val="21"/>
                <w:szCs w:val="21"/>
              </w:rPr>
              <w:t>SS</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0.014</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w:t>
            </w:r>
          </w:p>
        </w:tc>
        <w:tc>
          <w:tcPr>
            <w:tcW w:w="1644" w:type="dxa"/>
            <w:shd w:val="clear" w:color="auto" w:fill="auto"/>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0.014</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w:t>
            </w:r>
          </w:p>
        </w:tc>
        <w:tc>
          <w:tcPr>
            <w:tcW w:w="1715"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+0.014</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0.002</w:t>
            </w:r>
            <w:r>
              <w:rPr>
                <w:rFonts w:hint="eastAsia" w:ascii="Times New Roman" w:hAnsi="Times New Roman" w:eastAsia="宋体" w:cs="Times New Roman"/>
                <w:i w:val="0"/>
                <w:iCs w:val="0"/>
                <w:color w:val="000000"/>
                <w:kern w:val="0"/>
                <w:sz w:val="21"/>
                <w:szCs w:val="21"/>
                <w:u w:val="none"/>
                <w:lang w:val="en-US" w:eastAsia="zh-CN" w:bidi="ar"/>
              </w:rPr>
              <w:t>4</w:t>
            </w:r>
            <w:r>
              <w:rPr>
                <w:rFonts w:hint="eastAsia"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780" w:type="dxa"/>
            <w:vMerge w:val="continue"/>
            <w:vAlign w:val="center"/>
          </w:tcPr>
          <w:p>
            <w:pPr>
              <w:pStyle w:val="37"/>
              <w:spacing w:beforeLines="0" w:afterLines="0" w:line="240" w:lineRule="auto"/>
              <w:rPr>
                <w:rFonts w:hAnsi="宋体" w:cs="宋体"/>
                <w:snapToGrid w:val="0"/>
                <w:color w:val="000000"/>
                <w:kern w:val="21"/>
                <w:sz w:val="21"/>
                <w:szCs w:val="21"/>
              </w:rPr>
            </w:pPr>
          </w:p>
        </w:tc>
        <w:tc>
          <w:tcPr>
            <w:tcW w:w="1175" w:type="dxa"/>
            <w:vAlign w:val="center"/>
          </w:tcPr>
          <w:p>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氨氮</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0.007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0.001</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p>
        </w:tc>
        <w:tc>
          <w:tcPr>
            <w:tcW w:w="1644" w:type="dxa"/>
            <w:shd w:val="clear" w:color="auto" w:fill="auto"/>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0.007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0.001</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p>
        </w:tc>
        <w:tc>
          <w:tcPr>
            <w:tcW w:w="1715"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+0.007</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0.001</w:t>
            </w:r>
            <w:r>
              <w:rPr>
                <w:rFonts w:hint="eastAsia" w:ascii="Times New Roman" w:hAnsi="Times New Roman" w:eastAsia="宋体" w:cs="Times New Roman"/>
                <w:i w:val="0"/>
                <w:iCs w:val="0"/>
                <w:color w:val="000000"/>
                <w:kern w:val="0"/>
                <w:sz w:val="21"/>
                <w:szCs w:val="21"/>
                <w:u w:val="none"/>
                <w:lang w:val="en-US" w:eastAsia="zh-CN" w:bidi="ar"/>
              </w:rPr>
              <w:t>2</w:t>
            </w:r>
            <w:r>
              <w:rPr>
                <w:rFonts w:hint="eastAsia"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80" w:type="dxa"/>
            <w:vMerge w:val="continue"/>
            <w:vAlign w:val="center"/>
          </w:tcPr>
          <w:p>
            <w:pPr>
              <w:pStyle w:val="37"/>
              <w:spacing w:beforeLines="0" w:afterLines="0" w:line="240" w:lineRule="auto"/>
              <w:rPr>
                <w:rFonts w:hAnsi="宋体" w:cs="宋体"/>
                <w:snapToGrid w:val="0"/>
                <w:color w:val="000000"/>
                <w:kern w:val="21"/>
                <w:sz w:val="21"/>
                <w:szCs w:val="21"/>
              </w:rPr>
            </w:pPr>
          </w:p>
        </w:tc>
        <w:tc>
          <w:tcPr>
            <w:tcW w:w="1175" w:type="dxa"/>
            <w:vAlign w:val="center"/>
          </w:tcPr>
          <w:p>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总磷</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0.001</w:t>
            </w:r>
            <w:r>
              <w:rPr>
                <w:rFonts w:hint="eastAsia" w:cs="Times New Roman"/>
                <w:i w:val="0"/>
                <w:iCs w:val="0"/>
                <w:color w:val="000000"/>
                <w:kern w:val="0"/>
                <w:sz w:val="21"/>
                <w:szCs w:val="21"/>
                <w:u w:val="none"/>
                <w:lang w:val="en-US" w:eastAsia="zh-CN" w:bidi="ar"/>
              </w:rPr>
              <w:t>（0.0001）</w:t>
            </w:r>
          </w:p>
        </w:tc>
        <w:tc>
          <w:tcPr>
            <w:tcW w:w="1644" w:type="dxa"/>
            <w:shd w:val="clear" w:color="auto" w:fill="auto"/>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0.001</w:t>
            </w:r>
            <w:r>
              <w:rPr>
                <w:rFonts w:hint="eastAsia" w:cs="Times New Roman"/>
                <w:i w:val="0"/>
                <w:iCs w:val="0"/>
                <w:color w:val="000000"/>
                <w:kern w:val="0"/>
                <w:sz w:val="21"/>
                <w:szCs w:val="21"/>
                <w:u w:val="none"/>
                <w:lang w:val="en-US" w:eastAsia="zh-CN" w:bidi="ar"/>
              </w:rPr>
              <w:t>（0.0001）</w:t>
            </w:r>
          </w:p>
        </w:tc>
        <w:tc>
          <w:tcPr>
            <w:tcW w:w="1715"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+0.001</w:t>
            </w:r>
            <w:r>
              <w:rPr>
                <w:rFonts w:hint="eastAsia" w:cs="Times New Roman"/>
                <w:i w:val="0"/>
                <w:iCs w:val="0"/>
                <w:color w:val="000000"/>
                <w:kern w:val="0"/>
                <w:sz w:val="21"/>
                <w:szCs w:val="21"/>
                <w:u w:val="none"/>
                <w:lang w:val="en-US" w:eastAsia="zh-CN" w:bidi="ar"/>
              </w:rPr>
              <w:t>（0.0001）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trPr>
        <w:tc>
          <w:tcPr>
            <w:tcW w:w="780" w:type="dxa"/>
            <w:vMerge w:val="continue"/>
            <w:vAlign w:val="center"/>
          </w:tcPr>
          <w:p>
            <w:pPr>
              <w:pStyle w:val="37"/>
              <w:spacing w:beforeLines="0" w:afterLines="0" w:line="240" w:lineRule="auto"/>
              <w:rPr>
                <w:rFonts w:hAnsi="宋体" w:cs="宋体"/>
                <w:snapToGrid w:val="0"/>
                <w:color w:val="000000"/>
                <w:kern w:val="21"/>
                <w:sz w:val="21"/>
                <w:szCs w:val="21"/>
              </w:rPr>
            </w:pPr>
          </w:p>
        </w:tc>
        <w:tc>
          <w:tcPr>
            <w:tcW w:w="1175" w:type="dxa"/>
            <w:vAlign w:val="center"/>
          </w:tcPr>
          <w:p>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rPr>
              <w:t>总氮</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0</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0.010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w:t>
            </w:r>
          </w:p>
        </w:tc>
        <w:tc>
          <w:tcPr>
            <w:tcW w:w="1644" w:type="dxa"/>
            <w:shd w:val="clear" w:color="auto" w:fill="auto"/>
            <w:vAlign w:val="center"/>
          </w:tcPr>
          <w:p>
            <w:pPr>
              <w:widowControl/>
              <w:jc w:val="center"/>
              <w:textAlignment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0.010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w:t>
            </w:r>
          </w:p>
        </w:tc>
        <w:tc>
          <w:tcPr>
            <w:tcW w:w="1715" w:type="dxa"/>
            <w:shd w:val="clear" w:color="auto" w:fill="auto"/>
            <w:vAlign w:val="center"/>
          </w:tcPr>
          <w:p>
            <w:pPr>
              <w:keepNext w:val="0"/>
              <w:keepLines w:val="0"/>
              <w:widowControl/>
              <w:suppressLineNumbers w:val="0"/>
              <w:jc w:val="center"/>
              <w:textAlignment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i w:val="0"/>
                <w:iCs w:val="0"/>
                <w:kern w:val="2"/>
                <w:sz w:val="21"/>
                <w:szCs w:val="21"/>
                <w:u w:val="none"/>
                <w:lang w:val="en-US" w:eastAsia="zh-CN" w:bidi="ar"/>
              </w:rPr>
              <w:t>+0.010</w:t>
            </w:r>
            <w:r>
              <w:rPr>
                <w:rFonts w:hint="eastAsia"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0.00</w:t>
            </w:r>
            <w:r>
              <w:rPr>
                <w:rFonts w:hint="eastAsia" w:ascii="Times New Roman" w:hAnsi="Times New Roman" w:eastAsia="宋体" w:cs="Times New Roman"/>
                <w:i w:val="0"/>
                <w:iCs w:val="0"/>
                <w:color w:val="000000"/>
                <w:kern w:val="0"/>
                <w:sz w:val="21"/>
                <w:szCs w:val="21"/>
                <w:u w:val="none"/>
                <w:lang w:val="en-US" w:eastAsia="zh-CN" w:bidi="ar"/>
              </w:rPr>
              <w:t>36</w:t>
            </w:r>
            <w:r>
              <w:rPr>
                <w:rFonts w:hint="eastAsia" w:cs="Times New Roman"/>
                <w:i w:val="0"/>
                <w:iCs w:val="0"/>
                <w:color w:val="000000"/>
                <w:kern w:val="0"/>
                <w:sz w:val="21"/>
                <w:szCs w:val="21"/>
                <w:u w:val="none"/>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955" w:type="dxa"/>
            <w:gridSpan w:val="2"/>
            <w:vAlign w:val="center"/>
          </w:tcPr>
          <w:p>
            <w:pPr>
              <w:pStyle w:val="37"/>
              <w:spacing w:beforeLines="0" w:afterLines="0" w:line="240" w:lineRule="auto"/>
              <w:rPr>
                <w:rFonts w:hint="default"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rPr>
              <w:t>一般工业固体废物</w:t>
            </w:r>
          </w:p>
        </w:tc>
        <w:tc>
          <w:tcPr>
            <w:tcW w:w="1382" w:type="dxa"/>
            <w:shd w:val="clear" w:color="auto" w:fill="auto"/>
            <w:vAlign w:val="center"/>
          </w:tcPr>
          <w:p>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0</w:t>
            </w:r>
          </w:p>
        </w:tc>
        <w:tc>
          <w:tcPr>
            <w:tcW w:w="1261" w:type="dxa"/>
            <w:shd w:val="clear" w:color="auto" w:fill="auto"/>
            <w:vAlign w:val="center"/>
          </w:tcPr>
          <w:p>
            <w:pPr>
              <w:widowControl/>
              <w:jc w:val="center"/>
              <w:textAlignment w:val="center"/>
              <w:rPr>
                <w:rFonts w:hint="eastAsia"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0</w:t>
            </w:r>
          </w:p>
        </w:tc>
        <w:tc>
          <w:tcPr>
            <w:tcW w:w="1382" w:type="dxa"/>
            <w:shd w:val="clear" w:color="auto" w:fill="auto"/>
            <w:vAlign w:val="center"/>
          </w:tcPr>
          <w:p>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5.5</w:t>
            </w:r>
          </w:p>
        </w:tc>
        <w:tc>
          <w:tcPr>
            <w:tcW w:w="1644" w:type="dxa"/>
            <w:shd w:val="clear" w:color="auto" w:fill="auto"/>
            <w:vAlign w:val="center"/>
          </w:tcPr>
          <w:p>
            <w:pPr>
              <w:widowControl/>
              <w:jc w:val="center"/>
              <w:textAlignment w:val="center"/>
              <w:rPr>
                <w:rFonts w:ascii="Times New Roman" w:hAnsi="宋体" w:eastAsia="宋体" w:cs="宋体"/>
                <w:snapToGrid w:val="0"/>
                <w:color w:val="000000"/>
                <w:kern w:val="21"/>
                <w:sz w:val="21"/>
                <w:szCs w:val="21"/>
                <w:lang w:val="en-US" w:eastAsia="zh-CN" w:bidi="ar-SA"/>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5.5</w:t>
            </w:r>
          </w:p>
        </w:tc>
        <w:tc>
          <w:tcPr>
            <w:tcW w:w="1715"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955" w:type="dxa"/>
            <w:gridSpan w:val="2"/>
            <w:vAlign w:val="center"/>
          </w:tcPr>
          <w:p>
            <w:pPr>
              <w:autoSpaceDE w:val="0"/>
              <w:autoSpaceDN w:val="0"/>
              <w:adjustRightInd w:val="0"/>
              <w:snapToGrid w:val="0"/>
              <w:jc w:val="center"/>
              <w:rPr>
                <w:rFonts w:hint="eastAsia" w:ascii="Times New Roman" w:hAnsi="Times New Roman" w:eastAsia="宋体" w:cs="Times New Roman"/>
                <w:kern w:val="2"/>
                <w:sz w:val="21"/>
                <w:szCs w:val="21"/>
                <w:lang w:val="en-US" w:eastAsia="zh-CN" w:bidi="ar-SA"/>
              </w:rPr>
            </w:pPr>
            <w:r>
              <w:rPr>
                <w:rFonts w:hint="eastAsia" w:hAnsi="宋体" w:cs="宋体"/>
                <w:snapToGrid w:val="0"/>
                <w:color w:val="000000"/>
                <w:kern w:val="21"/>
                <w:sz w:val="21"/>
                <w:szCs w:val="21"/>
              </w:rPr>
              <w:t>危险废物</w:t>
            </w:r>
          </w:p>
        </w:tc>
        <w:tc>
          <w:tcPr>
            <w:tcW w:w="1382" w:type="dxa"/>
            <w:vAlign w:val="center"/>
          </w:tcPr>
          <w:p>
            <w:pPr>
              <w:widowControl/>
              <w:jc w:val="center"/>
              <w:textAlignment w:val="center"/>
              <w:rPr>
                <w:rFonts w:ascii="宋体" w:hAnsi="宋体" w:cs="宋体"/>
                <w:snapToGrid w:val="0"/>
                <w:color w:val="000000"/>
                <w:kern w:val="21"/>
                <w:sz w:val="21"/>
                <w:szCs w:val="21"/>
              </w:rPr>
            </w:pPr>
            <w:r>
              <w:rPr>
                <w:rFonts w:hint="eastAsia" w:ascii="宋体" w:hAnsi="宋体" w:cs="宋体"/>
                <w:snapToGrid w:val="0"/>
                <w:color w:val="000000"/>
                <w:kern w:val="21"/>
                <w:sz w:val="21"/>
                <w:szCs w:val="21"/>
                <w:lang w:val="en-US" w:eastAsia="zh-CN"/>
              </w:rPr>
              <w:t>/</w:t>
            </w:r>
          </w:p>
        </w:tc>
        <w:tc>
          <w:tcPr>
            <w:tcW w:w="1261"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1382"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4" w:type="dxa"/>
            <w:shd w:val="clear" w:color="auto" w:fill="auto"/>
            <w:vAlign w:val="center"/>
          </w:tcPr>
          <w:p>
            <w:pPr>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0.52</w:t>
            </w:r>
          </w:p>
        </w:tc>
        <w:tc>
          <w:tcPr>
            <w:tcW w:w="1644" w:type="dxa"/>
            <w:vAlign w:val="center"/>
          </w:tcPr>
          <w:p>
            <w:pPr>
              <w:widowControl/>
              <w:jc w:val="center"/>
              <w:textAlignment w:val="center"/>
              <w:rPr>
                <w:rFonts w:hAnsi="宋体" w:cs="宋体"/>
                <w:snapToGrid w:val="0"/>
                <w:color w:val="000000"/>
                <w:kern w:val="21"/>
                <w:sz w:val="21"/>
                <w:szCs w:val="21"/>
              </w:rPr>
            </w:pPr>
            <w:r>
              <w:rPr>
                <w:rFonts w:hint="eastAsia" w:hAnsi="宋体" w:cs="宋体"/>
                <w:snapToGrid w:val="0"/>
                <w:color w:val="000000"/>
                <w:kern w:val="21"/>
                <w:sz w:val="21"/>
                <w:szCs w:val="21"/>
                <w:lang w:val="en-US" w:eastAsia="zh-CN"/>
              </w:rPr>
              <w:t>/</w:t>
            </w:r>
          </w:p>
        </w:tc>
        <w:tc>
          <w:tcPr>
            <w:tcW w:w="2079"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0.52</w:t>
            </w:r>
          </w:p>
        </w:tc>
        <w:tc>
          <w:tcPr>
            <w:tcW w:w="1715" w:type="dxa"/>
            <w:shd w:val="clear" w:color="auto" w:fill="auto"/>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+0.52</w:t>
            </w:r>
          </w:p>
        </w:tc>
      </w:tr>
    </w:tbl>
    <w:p>
      <w:pPr>
        <w:pStyle w:val="37"/>
        <w:spacing w:before="192" w:beforeLines="80" w:after="24"/>
        <w:jc w:val="left"/>
        <w:rPr>
          <w:rFonts w:hAnsi="宋体"/>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p>
      <w:pPr>
        <w:rPr>
          <w:rFonts w:ascii="宋体" w:hAnsi="宋体" w:eastAsia="黑体"/>
        </w:rPr>
      </w:pPr>
    </w:p>
    <w:p>
      <w:pPr>
        <w:sectPr>
          <w:footerReference r:id="rId5" w:type="default"/>
          <w:pgSz w:w="16838" w:h="11906" w:orient="landscape"/>
          <w:pgMar w:top="1531" w:right="1701" w:bottom="1531" w:left="1701" w:header="851" w:footer="851" w:gutter="0"/>
          <w:pgNumType w:fmt="decimal"/>
          <w:cols w:space="720" w:num="1"/>
          <w:docGrid w:linePitch="312" w:charSpace="0"/>
        </w:sectPr>
      </w:pPr>
    </w:p>
    <w:p>
      <w:pPr>
        <w:widowControl/>
        <w:adjustRightInd/>
        <w:snapToGrid/>
        <w:spacing w:line="360" w:lineRule="auto"/>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附件</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附件一 备案证</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附件二 营业执照</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附件三 法人身份证</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附件四 租赁协议</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附件五 房屋性质证明</w:t>
      </w:r>
    </w:p>
    <w:p>
      <w:pPr>
        <w:widowControl/>
        <w:adjustRightInd/>
        <w:snapToGrid/>
        <w:spacing w:line="360" w:lineRule="auto"/>
        <w:jc w:val="left"/>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附件六 物料MSDS</w:t>
      </w:r>
      <w:r>
        <w:rPr>
          <w:rFonts w:hint="eastAsia" w:cs="Times New Roman"/>
          <w:color w:val="auto"/>
          <w:sz w:val="24"/>
          <w:szCs w:val="24"/>
          <w:lang w:val="en-US" w:eastAsia="zh-CN"/>
        </w:rPr>
        <w:t>及检测报告</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附件七 现有项目</w:t>
      </w:r>
      <w:r>
        <w:rPr>
          <w:rFonts w:hint="eastAsia" w:cs="Times New Roman"/>
          <w:color w:val="auto"/>
          <w:sz w:val="24"/>
          <w:szCs w:val="24"/>
          <w:lang w:val="en-US" w:eastAsia="zh-CN"/>
        </w:rPr>
        <w:t>环保手续</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附件八 全本公示截图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附件九 </w:t>
      </w:r>
      <w:r>
        <w:rPr>
          <w:rFonts w:hint="eastAsia" w:ascii="Times New Roman" w:hAnsi="Times New Roman" w:eastAsia="宋体" w:cs="Times New Roman"/>
          <w:color w:val="auto"/>
          <w:sz w:val="24"/>
          <w:szCs w:val="24"/>
          <w:lang w:val="en-US" w:eastAsia="zh-CN"/>
        </w:rPr>
        <w:t>委托书</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 xml:space="preserve">附件十 </w:t>
      </w:r>
      <w:r>
        <w:rPr>
          <w:rFonts w:hint="eastAsia" w:ascii="Times New Roman" w:hAnsi="Times New Roman" w:eastAsia="宋体" w:cs="Times New Roman"/>
          <w:color w:val="auto"/>
          <w:sz w:val="24"/>
          <w:szCs w:val="24"/>
          <w:lang w:val="en-US" w:eastAsia="zh-CN"/>
        </w:rPr>
        <w:t>确认声明</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w:t>
      </w:r>
      <w:r>
        <w:rPr>
          <w:rFonts w:hint="eastAsia" w:cs="Times New Roman"/>
          <w:color w:val="auto"/>
          <w:sz w:val="24"/>
          <w:szCs w:val="24"/>
          <w:lang w:val="en-US" w:eastAsia="zh-CN"/>
        </w:rPr>
        <w:t>十一</w:t>
      </w:r>
      <w:r>
        <w:rPr>
          <w:rFonts w:hint="eastAsia" w:ascii="Times New Roman" w:hAnsi="Times New Roman" w:eastAsia="宋体" w:cs="Times New Roman"/>
          <w:color w:val="auto"/>
          <w:sz w:val="24"/>
          <w:szCs w:val="24"/>
          <w:lang w:val="en-US" w:eastAsia="zh-CN"/>
        </w:rPr>
        <w:t xml:space="preserve"> 环评合同</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附件十</w:t>
      </w:r>
      <w:r>
        <w:rPr>
          <w:rFonts w:hint="eastAsia" w:cs="Times New Roman"/>
          <w:color w:val="auto"/>
          <w:sz w:val="24"/>
          <w:szCs w:val="24"/>
          <w:lang w:val="en-US" w:eastAsia="zh-CN"/>
        </w:rPr>
        <w:t>二</w:t>
      </w:r>
      <w:r>
        <w:rPr>
          <w:rFonts w:hint="eastAsia" w:ascii="Times New Roman" w:hAnsi="Times New Roman" w:eastAsia="宋体" w:cs="Times New Roman"/>
          <w:color w:val="auto"/>
          <w:sz w:val="24"/>
          <w:szCs w:val="24"/>
          <w:lang w:val="en-US" w:eastAsia="zh-CN"/>
        </w:rPr>
        <w:t xml:space="preserve"> “三线一单”综合查询报告书</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附件十</w:t>
      </w:r>
      <w:r>
        <w:rPr>
          <w:rFonts w:hint="eastAsia" w:cs="Times New Roman"/>
          <w:color w:val="auto"/>
          <w:sz w:val="24"/>
          <w:szCs w:val="24"/>
          <w:lang w:val="en-US" w:eastAsia="zh-CN"/>
        </w:rPr>
        <w:t>三</w:t>
      </w:r>
      <w:r>
        <w:rPr>
          <w:rFonts w:hint="eastAsia" w:ascii="Times New Roman" w:hAnsi="Times New Roman" w:eastAsia="宋体" w:cs="Times New Roman"/>
          <w:color w:val="auto"/>
          <w:sz w:val="24"/>
          <w:szCs w:val="24"/>
          <w:lang w:val="en-US" w:eastAsia="zh-CN"/>
        </w:rPr>
        <w:t xml:space="preserve">  编制主持人现场踏勘照片</w:t>
      </w:r>
    </w:p>
    <w:p>
      <w:pPr>
        <w:autoSpaceDE w:val="0"/>
        <w:autoSpaceDN w:val="0"/>
        <w:adjustRightInd w:val="0"/>
        <w:snapToGrid w:val="0"/>
        <w:spacing w:line="360" w:lineRule="auto"/>
        <w:rPr>
          <w:sz w:val="24"/>
          <w:szCs w:val="32"/>
        </w:rPr>
      </w:pPr>
    </w:p>
    <w:p>
      <w:pPr>
        <w:widowControl/>
        <w:adjustRightInd/>
        <w:snapToGrid/>
        <w:spacing w:line="360" w:lineRule="auto"/>
        <w:jc w:val="left"/>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附图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附图1 </w:t>
      </w:r>
      <w:r>
        <w:rPr>
          <w:rFonts w:hint="eastAsia" w:cs="Times New Roman"/>
          <w:color w:val="auto"/>
          <w:sz w:val="24"/>
          <w:szCs w:val="24"/>
          <w:lang w:val="en-US" w:eastAsia="zh-CN"/>
        </w:rPr>
        <w:t>迁建后</w:t>
      </w:r>
      <w:r>
        <w:rPr>
          <w:rFonts w:hint="eastAsia" w:ascii="Times New Roman" w:hAnsi="Times New Roman" w:eastAsia="宋体" w:cs="Times New Roman"/>
          <w:color w:val="auto"/>
          <w:sz w:val="24"/>
          <w:szCs w:val="24"/>
          <w:lang w:val="en-US" w:eastAsia="zh-CN"/>
        </w:rPr>
        <w:t>建设项目地理位置图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附图2 建设项目周边500m概况图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附图3 如皋市三区三线划定图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附图4 江苏省生态环境管控单元图</w:t>
      </w:r>
    </w:p>
    <w:p>
      <w:pPr>
        <w:widowControl/>
        <w:adjustRightInd/>
        <w:snapToGrid/>
        <w:spacing w:line="360" w:lineRule="auto"/>
        <w:jc w:val="left"/>
        <w:rPr>
          <w:rFonts w:hint="eastAsia"/>
          <w:lang w:val="en-US" w:eastAsia="zh-CN"/>
        </w:rPr>
      </w:pPr>
      <w:r>
        <w:rPr>
          <w:rFonts w:hint="eastAsia" w:ascii="Times New Roman" w:hAnsi="Times New Roman" w:eastAsia="宋体" w:cs="Times New Roman"/>
          <w:color w:val="auto"/>
          <w:sz w:val="24"/>
          <w:szCs w:val="24"/>
          <w:lang w:val="en-US" w:eastAsia="zh-CN"/>
        </w:rPr>
        <w:t>附图5 如皋市</w:t>
      </w:r>
      <w:r>
        <w:rPr>
          <w:rFonts w:hint="eastAsia" w:cs="Times New Roman"/>
          <w:color w:val="auto"/>
          <w:sz w:val="24"/>
          <w:szCs w:val="24"/>
          <w:lang w:val="en-US" w:eastAsia="zh-CN"/>
        </w:rPr>
        <w:t>经济技术开发区</w:t>
      </w:r>
      <w:r>
        <w:rPr>
          <w:rFonts w:hint="eastAsia" w:ascii="Times New Roman" w:hAnsi="Times New Roman" w:eastAsia="宋体" w:cs="Times New Roman"/>
          <w:color w:val="auto"/>
          <w:sz w:val="24"/>
          <w:szCs w:val="24"/>
          <w:lang w:val="en-US" w:eastAsia="zh-CN"/>
        </w:rPr>
        <w:t>土地利用规划图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 xml:space="preserve"> 如皋市声环境功能区位置关系图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7</w:t>
      </w:r>
      <w:r>
        <w:rPr>
          <w:rFonts w:hint="eastAsia" w:ascii="Times New Roman" w:hAnsi="Times New Roman" w:eastAsia="宋体" w:cs="Times New Roman"/>
          <w:color w:val="auto"/>
          <w:sz w:val="24"/>
          <w:szCs w:val="24"/>
          <w:lang w:val="en-US" w:eastAsia="zh-CN"/>
        </w:rPr>
        <w:t xml:space="preserve"> 如皋市水系位置关系图</w:t>
      </w:r>
    </w:p>
    <w:p>
      <w:pPr>
        <w:pStyle w:val="13"/>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8</w:t>
      </w:r>
      <w:r>
        <w:rPr>
          <w:rFonts w:hint="eastAsia" w:ascii="Times New Roman" w:hAnsi="Times New Roman" w:eastAsia="宋体" w:cs="Times New Roman"/>
          <w:color w:val="auto"/>
          <w:sz w:val="24"/>
          <w:szCs w:val="24"/>
          <w:lang w:val="en-US" w:eastAsia="zh-CN"/>
        </w:rPr>
        <w:t xml:space="preserve"> 建设项目厂区平面布置及雨污管网图</w:t>
      </w:r>
    </w:p>
    <w:p>
      <w:pPr>
        <w:pStyle w:val="13"/>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9</w:t>
      </w:r>
      <w:r>
        <w:rPr>
          <w:rFonts w:hint="eastAsia" w:ascii="Times New Roman" w:hAnsi="Times New Roman" w:eastAsia="宋体" w:cs="Times New Roman"/>
          <w:color w:val="auto"/>
          <w:sz w:val="24"/>
          <w:szCs w:val="24"/>
          <w:lang w:val="en-US" w:eastAsia="zh-CN"/>
        </w:rPr>
        <w:t xml:space="preserve"> 建设项目厂区分区防渗图</w:t>
      </w:r>
    </w:p>
    <w:p>
      <w:pPr>
        <w:widowControl/>
        <w:adjustRightInd/>
        <w:snapToGrid/>
        <w:spacing w:line="360" w:lineRule="auto"/>
        <w:jc w:val="left"/>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附图</w:t>
      </w:r>
      <w:r>
        <w:rPr>
          <w:rFonts w:hint="eastAsia" w:cs="Times New Roman"/>
          <w:color w:val="auto"/>
          <w:sz w:val="24"/>
          <w:szCs w:val="24"/>
          <w:lang w:val="en-US" w:eastAsia="zh-CN"/>
        </w:rPr>
        <w:t>10</w:t>
      </w:r>
      <w:r>
        <w:rPr>
          <w:rFonts w:hint="eastAsia" w:ascii="Times New Roman" w:hAnsi="Times New Roman" w:eastAsia="宋体" w:cs="Times New Roman"/>
          <w:color w:val="auto"/>
          <w:sz w:val="24"/>
          <w:szCs w:val="24"/>
          <w:lang w:val="en-US" w:eastAsia="zh-CN"/>
        </w:rPr>
        <w:t xml:space="preserve"> 本项目与租赁厂区位置关系图（含雨污管线）</w:t>
      </w:r>
    </w:p>
    <w:p/>
    <w:p/>
    <w:p/>
    <w:p/>
    <w:p/>
    <w:sectPr>
      <w:pgSz w:w="11906" w:h="16838"/>
      <w:pgMar w:top="1701" w:right="1531" w:bottom="1701" w:left="153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Arial Black">
    <w:panose1 w:val="020B0A04020102020204"/>
    <w:charset w:val="00"/>
    <w:family w:val="swiss"/>
    <w:pitch w:val="default"/>
    <w:sig w:usb0="00000287" w:usb1="00000000" w:usb2="00000000" w:usb3="00000000" w:csb0="2000009F" w:csb1="DFD7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Segoe UI Emoji">
    <w:altName w:val="Segoe UI"/>
    <w:panose1 w:val="020B0502040204020203"/>
    <w:charset w:val="00"/>
    <w:family w:val="swiss"/>
    <w:pitch w:val="default"/>
    <w:sig w:usb0="00000000" w:usb1="00000000" w:usb2="08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FangSong_GB2312-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t xml:space="preserve">— </w:t>
                          </w:r>
                          <w:r>
                            <w:fldChar w:fldCharType="begin"/>
                          </w:r>
                          <w:r>
                            <w:instrText xml:space="preserve"> PAGE  \* MERGEFORMAT </w:instrText>
                          </w:r>
                          <w:r>
                            <w:fldChar w:fldCharType="separate"/>
                          </w:r>
                          <w:r>
                            <w:t>59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20"/>
                    </w:pPr>
                    <w:r>
                      <w:t xml:space="preserve">— </w:t>
                    </w:r>
                    <w:r>
                      <w:fldChar w:fldCharType="begin"/>
                    </w:r>
                    <w:r>
                      <w:instrText xml:space="preserve"> PAGE  \* MERGEFORMAT </w:instrText>
                    </w:r>
                    <w:r>
                      <w:fldChar w:fldCharType="separate"/>
                    </w:r>
                    <w:r>
                      <w:t>59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54FFEB"/>
    <w:multiLevelType w:val="singleLevel"/>
    <w:tmpl w:val="D454FFEB"/>
    <w:lvl w:ilvl="0" w:tentative="0">
      <w:start w:val="1"/>
      <w:numFmt w:val="decimal"/>
      <w:suff w:val="nothing"/>
      <w:lvlText w:val="（%1）"/>
      <w:lvlJc w:val="left"/>
    </w:lvl>
  </w:abstractNum>
  <w:abstractNum w:abstractNumId="1">
    <w:nsid w:val="0B975512"/>
    <w:multiLevelType w:val="singleLevel"/>
    <w:tmpl w:val="0B975512"/>
    <w:lvl w:ilvl="0" w:tentative="0">
      <w:start w:val="1"/>
      <w:numFmt w:val="decimal"/>
      <w:suff w:val="nothing"/>
      <w:lvlText w:val="%1、"/>
      <w:lvlJc w:val="left"/>
    </w:lvl>
  </w:abstractNum>
  <w:abstractNum w:abstractNumId="2">
    <w:nsid w:val="1BF995DA"/>
    <w:multiLevelType w:val="singleLevel"/>
    <w:tmpl w:val="1BF995DA"/>
    <w:lvl w:ilvl="0" w:tentative="0">
      <w:start w:val="1"/>
      <w:numFmt w:val="decimal"/>
      <w:suff w:val="nothing"/>
      <w:lvlText w:val="%1、"/>
      <w:lvlJc w:val="left"/>
    </w:lvl>
  </w:abstractNum>
  <w:abstractNum w:abstractNumId="3">
    <w:nsid w:val="2B0AAD01"/>
    <w:multiLevelType w:val="singleLevel"/>
    <w:tmpl w:val="2B0AAD01"/>
    <w:lvl w:ilvl="0" w:tentative="0">
      <w:start w:val="5"/>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228E"/>
    <w:rsid w:val="00004C91"/>
    <w:rsid w:val="000060B3"/>
    <w:rsid w:val="000219D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D6D2C"/>
    <w:rsid w:val="000E3ED2"/>
    <w:rsid w:val="00104A4A"/>
    <w:rsid w:val="00107DA5"/>
    <w:rsid w:val="001118F7"/>
    <w:rsid w:val="00127742"/>
    <w:rsid w:val="00131F42"/>
    <w:rsid w:val="001357F1"/>
    <w:rsid w:val="00140FA8"/>
    <w:rsid w:val="00142FEB"/>
    <w:rsid w:val="00143A2D"/>
    <w:rsid w:val="00145A41"/>
    <w:rsid w:val="00151675"/>
    <w:rsid w:val="00157435"/>
    <w:rsid w:val="0017504D"/>
    <w:rsid w:val="0017671A"/>
    <w:rsid w:val="00177422"/>
    <w:rsid w:val="00180A79"/>
    <w:rsid w:val="00184590"/>
    <w:rsid w:val="001870D1"/>
    <w:rsid w:val="0018781E"/>
    <w:rsid w:val="0019262D"/>
    <w:rsid w:val="001A1B35"/>
    <w:rsid w:val="001A48A2"/>
    <w:rsid w:val="001A5D85"/>
    <w:rsid w:val="001A6F61"/>
    <w:rsid w:val="001B72B8"/>
    <w:rsid w:val="001C69B3"/>
    <w:rsid w:val="001D5595"/>
    <w:rsid w:val="001D7874"/>
    <w:rsid w:val="001D7F22"/>
    <w:rsid w:val="001E4637"/>
    <w:rsid w:val="001F0F17"/>
    <w:rsid w:val="001F3347"/>
    <w:rsid w:val="001F69E4"/>
    <w:rsid w:val="002125B4"/>
    <w:rsid w:val="002137B8"/>
    <w:rsid w:val="002155B8"/>
    <w:rsid w:val="002223BF"/>
    <w:rsid w:val="0022323D"/>
    <w:rsid w:val="00224839"/>
    <w:rsid w:val="002249B2"/>
    <w:rsid w:val="00226574"/>
    <w:rsid w:val="002278EC"/>
    <w:rsid w:val="0023280E"/>
    <w:rsid w:val="00235498"/>
    <w:rsid w:val="002377D1"/>
    <w:rsid w:val="002506BC"/>
    <w:rsid w:val="00251C5C"/>
    <w:rsid w:val="00254345"/>
    <w:rsid w:val="002574ED"/>
    <w:rsid w:val="00264557"/>
    <w:rsid w:val="002805AB"/>
    <w:rsid w:val="00282EFC"/>
    <w:rsid w:val="00284204"/>
    <w:rsid w:val="00291773"/>
    <w:rsid w:val="002A168C"/>
    <w:rsid w:val="002A3DC7"/>
    <w:rsid w:val="002B49E2"/>
    <w:rsid w:val="002B7B00"/>
    <w:rsid w:val="002B7C44"/>
    <w:rsid w:val="002B7C5A"/>
    <w:rsid w:val="002C2B17"/>
    <w:rsid w:val="002D3DD0"/>
    <w:rsid w:val="002E1F3A"/>
    <w:rsid w:val="002E298A"/>
    <w:rsid w:val="00301978"/>
    <w:rsid w:val="0030332C"/>
    <w:rsid w:val="003051C2"/>
    <w:rsid w:val="00312296"/>
    <w:rsid w:val="00314F0E"/>
    <w:rsid w:val="003214BE"/>
    <w:rsid w:val="00321D8E"/>
    <w:rsid w:val="00325928"/>
    <w:rsid w:val="00332863"/>
    <w:rsid w:val="0033684D"/>
    <w:rsid w:val="00337B42"/>
    <w:rsid w:val="00341B42"/>
    <w:rsid w:val="0034348F"/>
    <w:rsid w:val="00354985"/>
    <w:rsid w:val="00356653"/>
    <w:rsid w:val="003573CA"/>
    <w:rsid w:val="0035743F"/>
    <w:rsid w:val="00357BE2"/>
    <w:rsid w:val="0036170C"/>
    <w:rsid w:val="00364736"/>
    <w:rsid w:val="00366E0F"/>
    <w:rsid w:val="00381A72"/>
    <w:rsid w:val="00384676"/>
    <w:rsid w:val="00390857"/>
    <w:rsid w:val="003A4BF3"/>
    <w:rsid w:val="003B420D"/>
    <w:rsid w:val="003C6C16"/>
    <w:rsid w:val="003D794D"/>
    <w:rsid w:val="003E3058"/>
    <w:rsid w:val="003E76A9"/>
    <w:rsid w:val="003F0809"/>
    <w:rsid w:val="003F0FE6"/>
    <w:rsid w:val="003F6A8C"/>
    <w:rsid w:val="003F755C"/>
    <w:rsid w:val="00406F01"/>
    <w:rsid w:val="00416D50"/>
    <w:rsid w:val="00416FD5"/>
    <w:rsid w:val="00417772"/>
    <w:rsid w:val="00420E6A"/>
    <w:rsid w:val="00425A19"/>
    <w:rsid w:val="00425A9E"/>
    <w:rsid w:val="00426D6B"/>
    <w:rsid w:val="00431E6C"/>
    <w:rsid w:val="004323F8"/>
    <w:rsid w:val="00433CE7"/>
    <w:rsid w:val="00452738"/>
    <w:rsid w:val="00456091"/>
    <w:rsid w:val="00466321"/>
    <w:rsid w:val="00472491"/>
    <w:rsid w:val="00484B9B"/>
    <w:rsid w:val="004855F6"/>
    <w:rsid w:val="0048661E"/>
    <w:rsid w:val="00494670"/>
    <w:rsid w:val="004A3823"/>
    <w:rsid w:val="004E520E"/>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C75D6"/>
    <w:rsid w:val="005D36AB"/>
    <w:rsid w:val="005E2D78"/>
    <w:rsid w:val="00613C2D"/>
    <w:rsid w:val="00615B47"/>
    <w:rsid w:val="00617CC3"/>
    <w:rsid w:val="006377A6"/>
    <w:rsid w:val="00637A3D"/>
    <w:rsid w:val="006411EF"/>
    <w:rsid w:val="00662009"/>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3DC9"/>
    <w:rsid w:val="006E607E"/>
    <w:rsid w:val="006F16A9"/>
    <w:rsid w:val="006F617B"/>
    <w:rsid w:val="00704B6A"/>
    <w:rsid w:val="00706C5D"/>
    <w:rsid w:val="00715265"/>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D5CD7"/>
    <w:rsid w:val="007E49BB"/>
    <w:rsid w:val="007E4BD2"/>
    <w:rsid w:val="007F4FA4"/>
    <w:rsid w:val="00801393"/>
    <w:rsid w:val="00802F88"/>
    <w:rsid w:val="0081293E"/>
    <w:rsid w:val="00815465"/>
    <w:rsid w:val="00817E9A"/>
    <w:rsid w:val="00820AD5"/>
    <w:rsid w:val="008306BD"/>
    <w:rsid w:val="00831A80"/>
    <w:rsid w:val="00833743"/>
    <w:rsid w:val="008340A4"/>
    <w:rsid w:val="008340DC"/>
    <w:rsid w:val="0087135F"/>
    <w:rsid w:val="00872D94"/>
    <w:rsid w:val="00880364"/>
    <w:rsid w:val="00891592"/>
    <w:rsid w:val="00891E9E"/>
    <w:rsid w:val="00893637"/>
    <w:rsid w:val="00893A50"/>
    <w:rsid w:val="00894D4F"/>
    <w:rsid w:val="008A2F68"/>
    <w:rsid w:val="008A46A9"/>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152F"/>
    <w:rsid w:val="0091736D"/>
    <w:rsid w:val="0093037A"/>
    <w:rsid w:val="0094154D"/>
    <w:rsid w:val="0095155F"/>
    <w:rsid w:val="00952B07"/>
    <w:rsid w:val="00954429"/>
    <w:rsid w:val="009563CE"/>
    <w:rsid w:val="00976328"/>
    <w:rsid w:val="0097680D"/>
    <w:rsid w:val="00982438"/>
    <w:rsid w:val="0098404C"/>
    <w:rsid w:val="00985283"/>
    <w:rsid w:val="00995000"/>
    <w:rsid w:val="00995992"/>
    <w:rsid w:val="009A03E5"/>
    <w:rsid w:val="009A0F3B"/>
    <w:rsid w:val="009A1BB4"/>
    <w:rsid w:val="009A2628"/>
    <w:rsid w:val="009A3200"/>
    <w:rsid w:val="009B0897"/>
    <w:rsid w:val="009B7BD9"/>
    <w:rsid w:val="009C7DD5"/>
    <w:rsid w:val="009D0878"/>
    <w:rsid w:val="009E227D"/>
    <w:rsid w:val="009E5019"/>
    <w:rsid w:val="00A04F1B"/>
    <w:rsid w:val="00A0501B"/>
    <w:rsid w:val="00A14947"/>
    <w:rsid w:val="00A32A83"/>
    <w:rsid w:val="00A368DB"/>
    <w:rsid w:val="00A423AA"/>
    <w:rsid w:val="00A44B3D"/>
    <w:rsid w:val="00A53EC6"/>
    <w:rsid w:val="00A55C0F"/>
    <w:rsid w:val="00A8713F"/>
    <w:rsid w:val="00A874EA"/>
    <w:rsid w:val="00A90BA1"/>
    <w:rsid w:val="00A97A9A"/>
    <w:rsid w:val="00AA0671"/>
    <w:rsid w:val="00AA2531"/>
    <w:rsid w:val="00AB1E09"/>
    <w:rsid w:val="00AB5330"/>
    <w:rsid w:val="00AB7747"/>
    <w:rsid w:val="00AC14CE"/>
    <w:rsid w:val="00AC2A56"/>
    <w:rsid w:val="00AD055E"/>
    <w:rsid w:val="00AD47A7"/>
    <w:rsid w:val="00AE3B08"/>
    <w:rsid w:val="00AF0CBF"/>
    <w:rsid w:val="00AF257F"/>
    <w:rsid w:val="00AF33CF"/>
    <w:rsid w:val="00AF4D50"/>
    <w:rsid w:val="00AF6179"/>
    <w:rsid w:val="00B02B91"/>
    <w:rsid w:val="00B1295A"/>
    <w:rsid w:val="00B132E6"/>
    <w:rsid w:val="00B20A45"/>
    <w:rsid w:val="00B22C5C"/>
    <w:rsid w:val="00B24AAA"/>
    <w:rsid w:val="00B24F30"/>
    <w:rsid w:val="00B30532"/>
    <w:rsid w:val="00B31ABF"/>
    <w:rsid w:val="00B33BE3"/>
    <w:rsid w:val="00B53B5D"/>
    <w:rsid w:val="00B6055E"/>
    <w:rsid w:val="00B6317D"/>
    <w:rsid w:val="00B63EA0"/>
    <w:rsid w:val="00B7723F"/>
    <w:rsid w:val="00B80534"/>
    <w:rsid w:val="00B8433C"/>
    <w:rsid w:val="00B87491"/>
    <w:rsid w:val="00B9209D"/>
    <w:rsid w:val="00BA29E9"/>
    <w:rsid w:val="00BA7142"/>
    <w:rsid w:val="00BB237C"/>
    <w:rsid w:val="00BB41A3"/>
    <w:rsid w:val="00BC2714"/>
    <w:rsid w:val="00BC32DC"/>
    <w:rsid w:val="00BC35B6"/>
    <w:rsid w:val="00BD1B51"/>
    <w:rsid w:val="00BD4596"/>
    <w:rsid w:val="00BE1405"/>
    <w:rsid w:val="00BE312D"/>
    <w:rsid w:val="00BF1C20"/>
    <w:rsid w:val="00C040CB"/>
    <w:rsid w:val="00C06378"/>
    <w:rsid w:val="00C10578"/>
    <w:rsid w:val="00C135BC"/>
    <w:rsid w:val="00C15C95"/>
    <w:rsid w:val="00C2596A"/>
    <w:rsid w:val="00C27537"/>
    <w:rsid w:val="00C328FE"/>
    <w:rsid w:val="00C32E30"/>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B51CF"/>
    <w:rsid w:val="00CC489B"/>
    <w:rsid w:val="00CD01BF"/>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55992"/>
    <w:rsid w:val="00D94A7C"/>
    <w:rsid w:val="00D95896"/>
    <w:rsid w:val="00D97AA1"/>
    <w:rsid w:val="00DB2983"/>
    <w:rsid w:val="00DC1257"/>
    <w:rsid w:val="00DC3DC0"/>
    <w:rsid w:val="00DC5B2B"/>
    <w:rsid w:val="00DD318D"/>
    <w:rsid w:val="00DF2E12"/>
    <w:rsid w:val="00DF514A"/>
    <w:rsid w:val="00DF6690"/>
    <w:rsid w:val="00DF6804"/>
    <w:rsid w:val="00E0235C"/>
    <w:rsid w:val="00E0358D"/>
    <w:rsid w:val="00E04323"/>
    <w:rsid w:val="00E070A2"/>
    <w:rsid w:val="00E22500"/>
    <w:rsid w:val="00E2656A"/>
    <w:rsid w:val="00E412D0"/>
    <w:rsid w:val="00E523AD"/>
    <w:rsid w:val="00E56322"/>
    <w:rsid w:val="00E60982"/>
    <w:rsid w:val="00E62C62"/>
    <w:rsid w:val="00E654C1"/>
    <w:rsid w:val="00E65D97"/>
    <w:rsid w:val="00E72A5A"/>
    <w:rsid w:val="00E73354"/>
    <w:rsid w:val="00E86DE8"/>
    <w:rsid w:val="00E9242D"/>
    <w:rsid w:val="00E94415"/>
    <w:rsid w:val="00E97324"/>
    <w:rsid w:val="00EB5255"/>
    <w:rsid w:val="00EB5C47"/>
    <w:rsid w:val="00ED0639"/>
    <w:rsid w:val="00EF4203"/>
    <w:rsid w:val="00EF4755"/>
    <w:rsid w:val="00EF7135"/>
    <w:rsid w:val="00F027DB"/>
    <w:rsid w:val="00F07F29"/>
    <w:rsid w:val="00F14A7A"/>
    <w:rsid w:val="00F171FF"/>
    <w:rsid w:val="00F22985"/>
    <w:rsid w:val="00F26C0B"/>
    <w:rsid w:val="00F3383E"/>
    <w:rsid w:val="00F465A7"/>
    <w:rsid w:val="00F50B7C"/>
    <w:rsid w:val="00F550E6"/>
    <w:rsid w:val="00F74345"/>
    <w:rsid w:val="00F80A0A"/>
    <w:rsid w:val="00F82B19"/>
    <w:rsid w:val="00F9212D"/>
    <w:rsid w:val="00F965DA"/>
    <w:rsid w:val="00FA3D44"/>
    <w:rsid w:val="00FA406A"/>
    <w:rsid w:val="00FA5033"/>
    <w:rsid w:val="00FB503A"/>
    <w:rsid w:val="00FB516C"/>
    <w:rsid w:val="00FD0236"/>
    <w:rsid w:val="00FD18F4"/>
    <w:rsid w:val="00FD54DB"/>
    <w:rsid w:val="00FD619F"/>
    <w:rsid w:val="00FE091C"/>
    <w:rsid w:val="01290F7E"/>
    <w:rsid w:val="01436EC9"/>
    <w:rsid w:val="015D1E09"/>
    <w:rsid w:val="01760A7E"/>
    <w:rsid w:val="017F57D6"/>
    <w:rsid w:val="0189028F"/>
    <w:rsid w:val="01A14C27"/>
    <w:rsid w:val="01A81D77"/>
    <w:rsid w:val="01AE3B83"/>
    <w:rsid w:val="01CE3A0A"/>
    <w:rsid w:val="01D92A04"/>
    <w:rsid w:val="01E31AE2"/>
    <w:rsid w:val="01EE35F0"/>
    <w:rsid w:val="01F71D96"/>
    <w:rsid w:val="02040AC4"/>
    <w:rsid w:val="021C4516"/>
    <w:rsid w:val="02427F54"/>
    <w:rsid w:val="024C2BC2"/>
    <w:rsid w:val="02587777"/>
    <w:rsid w:val="02697903"/>
    <w:rsid w:val="02732227"/>
    <w:rsid w:val="027416AB"/>
    <w:rsid w:val="027C3493"/>
    <w:rsid w:val="02A4476B"/>
    <w:rsid w:val="02D2129A"/>
    <w:rsid w:val="02DA20BA"/>
    <w:rsid w:val="02F96569"/>
    <w:rsid w:val="03081E03"/>
    <w:rsid w:val="032468FD"/>
    <w:rsid w:val="032B6C3A"/>
    <w:rsid w:val="032E67A5"/>
    <w:rsid w:val="0366612B"/>
    <w:rsid w:val="03AF411A"/>
    <w:rsid w:val="03CD4348"/>
    <w:rsid w:val="03E90DD7"/>
    <w:rsid w:val="03EA7B21"/>
    <w:rsid w:val="03F85A2A"/>
    <w:rsid w:val="04034708"/>
    <w:rsid w:val="04041965"/>
    <w:rsid w:val="040E4D4F"/>
    <w:rsid w:val="042436E1"/>
    <w:rsid w:val="04246259"/>
    <w:rsid w:val="043564FE"/>
    <w:rsid w:val="04641123"/>
    <w:rsid w:val="047A3BD3"/>
    <w:rsid w:val="04845C58"/>
    <w:rsid w:val="04896509"/>
    <w:rsid w:val="04C86263"/>
    <w:rsid w:val="04CB4BC3"/>
    <w:rsid w:val="053A1E17"/>
    <w:rsid w:val="05604484"/>
    <w:rsid w:val="057251AF"/>
    <w:rsid w:val="05915D26"/>
    <w:rsid w:val="05944503"/>
    <w:rsid w:val="05AA30EC"/>
    <w:rsid w:val="05AE7749"/>
    <w:rsid w:val="05AF7ACA"/>
    <w:rsid w:val="05B71E14"/>
    <w:rsid w:val="05CA1A8A"/>
    <w:rsid w:val="05D3441A"/>
    <w:rsid w:val="05DA0F13"/>
    <w:rsid w:val="05E769B8"/>
    <w:rsid w:val="05F83EAE"/>
    <w:rsid w:val="06154B52"/>
    <w:rsid w:val="061E5BB5"/>
    <w:rsid w:val="063B7239"/>
    <w:rsid w:val="063E7D85"/>
    <w:rsid w:val="06677575"/>
    <w:rsid w:val="067515F0"/>
    <w:rsid w:val="067B40B2"/>
    <w:rsid w:val="067C6993"/>
    <w:rsid w:val="06A12683"/>
    <w:rsid w:val="06AE5290"/>
    <w:rsid w:val="06B9694A"/>
    <w:rsid w:val="06C2449F"/>
    <w:rsid w:val="06C25536"/>
    <w:rsid w:val="06C5493C"/>
    <w:rsid w:val="06F051C4"/>
    <w:rsid w:val="06FD71E6"/>
    <w:rsid w:val="06FE2E34"/>
    <w:rsid w:val="07246057"/>
    <w:rsid w:val="07293586"/>
    <w:rsid w:val="07295285"/>
    <w:rsid w:val="073D09B5"/>
    <w:rsid w:val="073E77CE"/>
    <w:rsid w:val="07617F92"/>
    <w:rsid w:val="07636392"/>
    <w:rsid w:val="07770C56"/>
    <w:rsid w:val="077F5E3A"/>
    <w:rsid w:val="07A811FA"/>
    <w:rsid w:val="07B34761"/>
    <w:rsid w:val="07C2441D"/>
    <w:rsid w:val="07DB7D79"/>
    <w:rsid w:val="07E560A1"/>
    <w:rsid w:val="082A5712"/>
    <w:rsid w:val="082E7DB6"/>
    <w:rsid w:val="0883733D"/>
    <w:rsid w:val="08A73581"/>
    <w:rsid w:val="08AB3FAF"/>
    <w:rsid w:val="08C103B7"/>
    <w:rsid w:val="08CE7FCE"/>
    <w:rsid w:val="08DC4C28"/>
    <w:rsid w:val="08F17FDE"/>
    <w:rsid w:val="090F7223"/>
    <w:rsid w:val="091C4DD6"/>
    <w:rsid w:val="092217DD"/>
    <w:rsid w:val="093A7294"/>
    <w:rsid w:val="093A7A0A"/>
    <w:rsid w:val="0956109F"/>
    <w:rsid w:val="095623B2"/>
    <w:rsid w:val="096B4234"/>
    <w:rsid w:val="097168CB"/>
    <w:rsid w:val="09A64A64"/>
    <w:rsid w:val="09E60ED7"/>
    <w:rsid w:val="0A0D0E9E"/>
    <w:rsid w:val="0A263993"/>
    <w:rsid w:val="0A2D3AC2"/>
    <w:rsid w:val="0A36779A"/>
    <w:rsid w:val="0A59008A"/>
    <w:rsid w:val="0A5E046D"/>
    <w:rsid w:val="0A797EA4"/>
    <w:rsid w:val="0A913826"/>
    <w:rsid w:val="0A9642EF"/>
    <w:rsid w:val="0A98262A"/>
    <w:rsid w:val="0AA755DF"/>
    <w:rsid w:val="0AB15C48"/>
    <w:rsid w:val="0AB3271F"/>
    <w:rsid w:val="0ADF2C70"/>
    <w:rsid w:val="0ADF6A20"/>
    <w:rsid w:val="0AE84EDE"/>
    <w:rsid w:val="0AF02C43"/>
    <w:rsid w:val="0B064CAC"/>
    <w:rsid w:val="0B0A2510"/>
    <w:rsid w:val="0B120D44"/>
    <w:rsid w:val="0B1B5DFB"/>
    <w:rsid w:val="0B296906"/>
    <w:rsid w:val="0B2D7687"/>
    <w:rsid w:val="0B372620"/>
    <w:rsid w:val="0B5F308E"/>
    <w:rsid w:val="0B776744"/>
    <w:rsid w:val="0B7D039E"/>
    <w:rsid w:val="0B99222E"/>
    <w:rsid w:val="0BA05224"/>
    <w:rsid w:val="0BB67A8D"/>
    <w:rsid w:val="0BC77332"/>
    <w:rsid w:val="0BD27BF6"/>
    <w:rsid w:val="0BEC05D5"/>
    <w:rsid w:val="0C1C606A"/>
    <w:rsid w:val="0C3B3C7D"/>
    <w:rsid w:val="0C471F00"/>
    <w:rsid w:val="0C517711"/>
    <w:rsid w:val="0C5A0A51"/>
    <w:rsid w:val="0C5A2BF8"/>
    <w:rsid w:val="0C711791"/>
    <w:rsid w:val="0C811679"/>
    <w:rsid w:val="0C9675EF"/>
    <w:rsid w:val="0C972755"/>
    <w:rsid w:val="0CAB2EAE"/>
    <w:rsid w:val="0CB97065"/>
    <w:rsid w:val="0D0E0D49"/>
    <w:rsid w:val="0D2F37D0"/>
    <w:rsid w:val="0D621C7D"/>
    <w:rsid w:val="0D803F29"/>
    <w:rsid w:val="0D953A39"/>
    <w:rsid w:val="0DB02006"/>
    <w:rsid w:val="0DD1677D"/>
    <w:rsid w:val="0DEF595D"/>
    <w:rsid w:val="0DFC57C7"/>
    <w:rsid w:val="0E03796A"/>
    <w:rsid w:val="0E2C0E59"/>
    <w:rsid w:val="0E534B9F"/>
    <w:rsid w:val="0E5D573D"/>
    <w:rsid w:val="0E73034D"/>
    <w:rsid w:val="0E790F14"/>
    <w:rsid w:val="0E887C06"/>
    <w:rsid w:val="0E89372E"/>
    <w:rsid w:val="0E987B10"/>
    <w:rsid w:val="0EBC4FDF"/>
    <w:rsid w:val="0EFD114F"/>
    <w:rsid w:val="0F13775A"/>
    <w:rsid w:val="0F433A03"/>
    <w:rsid w:val="0F4E5009"/>
    <w:rsid w:val="0F527801"/>
    <w:rsid w:val="0F5F45FE"/>
    <w:rsid w:val="0F7B4962"/>
    <w:rsid w:val="0F7F7940"/>
    <w:rsid w:val="0F8E2355"/>
    <w:rsid w:val="0F95037D"/>
    <w:rsid w:val="0F9A112B"/>
    <w:rsid w:val="0FAA6E78"/>
    <w:rsid w:val="0FAF2C1E"/>
    <w:rsid w:val="0FB30C37"/>
    <w:rsid w:val="0FCE1FBD"/>
    <w:rsid w:val="101322E9"/>
    <w:rsid w:val="101D3E1F"/>
    <w:rsid w:val="10663585"/>
    <w:rsid w:val="10666F9A"/>
    <w:rsid w:val="106D2F64"/>
    <w:rsid w:val="107263F9"/>
    <w:rsid w:val="109C6431"/>
    <w:rsid w:val="10B63710"/>
    <w:rsid w:val="10D726AD"/>
    <w:rsid w:val="10F10820"/>
    <w:rsid w:val="10F2647A"/>
    <w:rsid w:val="11036380"/>
    <w:rsid w:val="1104100B"/>
    <w:rsid w:val="11091C09"/>
    <w:rsid w:val="110966DE"/>
    <w:rsid w:val="11190EB6"/>
    <w:rsid w:val="111C2F7A"/>
    <w:rsid w:val="112B7CBC"/>
    <w:rsid w:val="1131278C"/>
    <w:rsid w:val="113C2A3F"/>
    <w:rsid w:val="113C4D82"/>
    <w:rsid w:val="114A68C5"/>
    <w:rsid w:val="11516492"/>
    <w:rsid w:val="11594856"/>
    <w:rsid w:val="115C500A"/>
    <w:rsid w:val="11665CA1"/>
    <w:rsid w:val="11853A84"/>
    <w:rsid w:val="11A75C48"/>
    <w:rsid w:val="11B6321F"/>
    <w:rsid w:val="11BC387F"/>
    <w:rsid w:val="11EE6E21"/>
    <w:rsid w:val="1204448D"/>
    <w:rsid w:val="120A5960"/>
    <w:rsid w:val="122C3782"/>
    <w:rsid w:val="123537A4"/>
    <w:rsid w:val="12590F63"/>
    <w:rsid w:val="12601282"/>
    <w:rsid w:val="126A32DB"/>
    <w:rsid w:val="129C5523"/>
    <w:rsid w:val="12C5223C"/>
    <w:rsid w:val="12C60A37"/>
    <w:rsid w:val="1338173D"/>
    <w:rsid w:val="137E39EC"/>
    <w:rsid w:val="13951726"/>
    <w:rsid w:val="13975299"/>
    <w:rsid w:val="13B94EAE"/>
    <w:rsid w:val="13CE1CF2"/>
    <w:rsid w:val="13D04AC6"/>
    <w:rsid w:val="13F36D8F"/>
    <w:rsid w:val="13FD5A4B"/>
    <w:rsid w:val="140106DF"/>
    <w:rsid w:val="14364A9C"/>
    <w:rsid w:val="14396509"/>
    <w:rsid w:val="148412D5"/>
    <w:rsid w:val="148526B8"/>
    <w:rsid w:val="14904ACF"/>
    <w:rsid w:val="14A81E98"/>
    <w:rsid w:val="14AF63BB"/>
    <w:rsid w:val="14C2077F"/>
    <w:rsid w:val="14D273DE"/>
    <w:rsid w:val="14DD2C3C"/>
    <w:rsid w:val="154B4591"/>
    <w:rsid w:val="156F4972"/>
    <w:rsid w:val="15910897"/>
    <w:rsid w:val="15984A7C"/>
    <w:rsid w:val="159B4B04"/>
    <w:rsid w:val="15A4378A"/>
    <w:rsid w:val="15BD1974"/>
    <w:rsid w:val="15D11F7F"/>
    <w:rsid w:val="15D12865"/>
    <w:rsid w:val="16087E1D"/>
    <w:rsid w:val="16331A9D"/>
    <w:rsid w:val="163E6769"/>
    <w:rsid w:val="165672E8"/>
    <w:rsid w:val="16730A62"/>
    <w:rsid w:val="16746323"/>
    <w:rsid w:val="1694148D"/>
    <w:rsid w:val="16A269C8"/>
    <w:rsid w:val="16AD2F40"/>
    <w:rsid w:val="16C76C2A"/>
    <w:rsid w:val="16D06CA3"/>
    <w:rsid w:val="16DD364C"/>
    <w:rsid w:val="16F2124E"/>
    <w:rsid w:val="17105023"/>
    <w:rsid w:val="172C07B6"/>
    <w:rsid w:val="172C180B"/>
    <w:rsid w:val="176D0C19"/>
    <w:rsid w:val="17701D14"/>
    <w:rsid w:val="17735226"/>
    <w:rsid w:val="17B044FF"/>
    <w:rsid w:val="17B40772"/>
    <w:rsid w:val="17BC1B42"/>
    <w:rsid w:val="17C016D3"/>
    <w:rsid w:val="17C4460F"/>
    <w:rsid w:val="17CD1C98"/>
    <w:rsid w:val="17D67494"/>
    <w:rsid w:val="17DE29D2"/>
    <w:rsid w:val="17F568FD"/>
    <w:rsid w:val="17F65640"/>
    <w:rsid w:val="180E295A"/>
    <w:rsid w:val="186B7ECC"/>
    <w:rsid w:val="1871109E"/>
    <w:rsid w:val="187A2032"/>
    <w:rsid w:val="187F7058"/>
    <w:rsid w:val="18907AD7"/>
    <w:rsid w:val="189F624C"/>
    <w:rsid w:val="18C064DA"/>
    <w:rsid w:val="18DC6EA4"/>
    <w:rsid w:val="18E67B62"/>
    <w:rsid w:val="18F87ADE"/>
    <w:rsid w:val="190869DD"/>
    <w:rsid w:val="190F0738"/>
    <w:rsid w:val="194D2F57"/>
    <w:rsid w:val="196F1194"/>
    <w:rsid w:val="198E66FF"/>
    <w:rsid w:val="199223C5"/>
    <w:rsid w:val="199C2678"/>
    <w:rsid w:val="19A84C27"/>
    <w:rsid w:val="19A917CE"/>
    <w:rsid w:val="19AC3644"/>
    <w:rsid w:val="19BB266E"/>
    <w:rsid w:val="19E761FB"/>
    <w:rsid w:val="19ED4999"/>
    <w:rsid w:val="1A1B0030"/>
    <w:rsid w:val="1A1C66C0"/>
    <w:rsid w:val="1A2920F9"/>
    <w:rsid w:val="1A372C41"/>
    <w:rsid w:val="1A42393B"/>
    <w:rsid w:val="1A5B04E4"/>
    <w:rsid w:val="1A5B127C"/>
    <w:rsid w:val="1A7B4EA6"/>
    <w:rsid w:val="1A7D5B75"/>
    <w:rsid w:val="1A7E7724"/>
    <w:rsid w:val="1A9B632C"/>
    <w:rsid w:val="1AAD45DE"/>
    <w:rsid w:val="1ABC64F8"/>
    <w:rsid w:val="1AF5570C"/>
    <w:rsid w:val="1AFA5CDF"/>
    <w:rsid w:val="1B046F80"/>
    <w:rsid w:val="1B3267B5"/>
    <w:rsid w:val="1B40161D"/>
    <w:rsid w:val="1B441859"/>
    <w:rsid w:val="1B4D57D1"/>
    <w:rsid w:val="1B6606B1"/>
    <w:rsid w:val="1B677E42"/>
    <w:rsid w:val="1B94128E"/>
    <w:rsid w:val="1B9C70D8"/>
    <w:rsid w:val="1BB471FA"/>
    <w:rsid w:val="1BD63446"/>
    <w:rsid w:val="1BE3605B"/>
    <w:rsid w:val="1BE42B85"/>
    <w:rsid w:val="1BEB0238"/>
    <w:rsid w:val="1BF1495C"/>
    <w:rsid w:val="1C034E8D"/>
    <w:rsid w:val="1C083503"/>
    <w:rsid w:val="1C251E47"/>
    <w:rsid w:val="1C33385D"/>
    <w:rsid w:val="1C5E7925"/>
    <w:rsid w:val="1C681957"/>
    <w:rsid w:val="1C737230"/>
    <w:rsid w:val="1C782763"/>
    <w:rsid w:val="1C942D99"/>
    <w:rsid w:val="1C9D1D69"/>
    <w:rsid w:val="1CB77F29"/>
    <w:rsid w:val="1CBD1242"/>
    <w:rsid w:val="1CC33574"/>
    <w:rsid w:val="1CC35F48"/>
    <w:rsid w:val="1CF00CE3"/>
    <w:rsid w:val="1CFD070F"/>
    <w:rsid w:val="1D0112E6"/>
    <w:rsid w:val="1D0600A4"/>
    <w:rsid w:val="1D424D3C"/>
    <w:rsid w:val="1D574E79"/>
    <w:rsid w:val="1D583730"/>
    <w:rsid w:val="1D591859"/>
    <w:rsid w:val="1D5F6196"/>
    <w:rsid w:val="1D6132A5"/>
    <w:rsid w:val="1D873794"/>
    <w:rsid w:val="1D8E56D5"/>
    <w:rsid w:val="1D9B26E2"/>
    <w:rsid w:val="1DA767F2"/>
    <w:rsid w:val="1DB63878"/>
    <w:rsid w:val="1DD96785"/>
    <w:rsid w:val="1DFA0457"/>
    <w:rsid w:val="1E0965F3"/>
    <w:rsid w:val="1E2B0BC0"/>
    <w:rsid w:val="1E570A31"/>
    <w:rsid w:val="1E5F5E6D"/>
    <w:rsid w:val="1E7A43DA"/>
    <w:rsid w:val="1EA37641"/>
    <w:rsid w:val="1EAE6CAA"/>
    <w:rsid w:val="1EB938EE"/>
    <w:rsid w:val="1EBD268B"/>
    <w:rsid w:val="1EDC6DC5"/>
    <w:rsid w:val="1EE405A8"/>
    <w:rsid w:val="1FA44868"/>
    <w:rsid w:val="1FA74345"/>
    <w:rsid w:val="1FC33368"/>
    <w:rsid w:val="1FDE5DE1"/>
    <w:rsid w:val="1FE7539E"/>
    <w:rsid w:val="1FF351F1"/>
    <w:rsid w:val="2016454C"/>
    <w:rsid w:val="20584933"/>
    <w:rsid w:val="20671BE0"/>
    <w:rsid w:val="20963CB8"/>
    <w:rsid w:val="20A81A1B"/>
    <w:rsid w:val="20A93DC0"/>
    <w:rsid w:val="20B07FB6"/>
    <w:rsid w:val="20B646FB"/>
    <w:rsid w:val="20C3394B"/>
    <w:rsid w:val="20DE57F7"/>
    <w:rsid w:val="20EA531A"/>
    <w:rsid w:val="20FE52A4"/>
    <w:rsid w:val="211F2337"/>
    <w:rsid w:val="213276BA"/>
    <w:rsid w:val="213B74B1"/>
    <w:rsid w:val="215A2310"/>
    <w:rsid w:val="21970523"/>
    <w:rsid w:val="21D14571"/>
    <w:rsid w:val="21D73DBD"/>
    <w:rsid w:val="21DA64CD"/>
    <w:rsid w:val="21DE318A"/>
    <w:rsid w:val="21EF5B80"/>
    <w:rsid w:val="22462048"/>
    <w:rsid w:val="22576990"/>
    <w:rsid w:val="227D5429"/>
    <w:rsid w:val="22A659E4"/>
    <w:rsid w:val="22C80762"/>
    <w:rsid w:val="22F47480"/>
    <w:rsid w:val="23316B4D"/>
    <w:rsid w:val="23432210"/>
    <w:rsid w:val="235A7478"/>
    <w:rsid w:val="23670458"/>
    <w:rsid w:val="2377429C"/>
    <w:rsid w:val="237F3F19"/>
    <w:rsid w:val="23A013E0"/>
    <w:rsid w:val="23B57E84"/>
    <w:rsid w:val="23C16AF7"/>
    <w:rsid w:val="23D94C5F"/>
    <w:rsid w:val="23DA46DC"/>
    <w:rsid w:val="23DD3661"/>
    <w:rsid w:val="23DE1C48"/>
    <w:rsid w:val="23E14E67"/>
    <w:rsid w:val="23FA76EC"/>
    <w:rsid w:val="23FF584D"/>
    <w:rsid w:val="240210CD"/>
    <w:rsid w:val="247A308D"/>
    <w:rsid w:val="2487607F"/>
    <w:rsid w:val="24A74EC1"/>
    <w:rsid w:val="24BF09F7"/>
    <w:rsid w:val="252D53FE"/>
    <w:rsid w:val="25336D9F"/>
    <w:rsid w:val="254973BC"/>
    <w:rsid w:val="2577255D"/>
    <w:rsid w:val="25C767E3"/>
    <w:rsid w:val="25E35D53"/>
    <w:rsid w:val="25EC2D81"/>
    <w:rsid w:val="260D4251"/>
    <w:rsid w:val="26121868"/>
    <w:rsid w:val="262268AE"/>
    <w:rsid w:val="263D2519"/>
    <w:rsid w:val="264226C9"/>
    <w:rsid w:val="264A64F5"/>
    <w:rsid w:val="26602EED"/>
    <w:rsid w:val="26720558"/>
    <w:rsid w:val="26864086"/>
    <w:rsid w:val="269E7D56"/>
    <w:rsid w:val="26A32CD4"/>
    <w:rsid w:val="26AA45A4"/>
    <w:rsid w:val="26AF29A4"/>
    <w:rsid w:val="26D004FF"/>
    <w:rsid w:val="26D330BA"/>
    <w:rsid w:val="26DE35EC"/>
    <w:rsid w:val="26E30C0B"/>
    <w:rsid w:val="26F91E43"/>
    <w:rsid w:val="26F92A28"/>
    <w:rsid w:val="26FC6C69"/>
    <w:rsid w:val="271526C0"/>
    <w:rsid w:val="27181F8E"/>
    <w:rsid w:val="27351743"/>
    <w:rsid w:val="277057A2"/>
    <w:rsid w:val="27A30154"/>
    <w:rsid w:val="27BA3B93"/>
    <w:rsid w:val="27CF4C81"/>
    <w:rsid w:val="27E315DF"/>
    <w:rsid w:val="27E320BE"/>
    <w:rsid w:val="27ED3A92"/>
    <w:rsid w:val="28072F22"/>
    <w:rsid w:val="28077FE0"/>
    <w:rsid w:val="282801C1"/>
    <w:rsid w:val="28910BE2"/>
    <w:rsid w:val="289B79C4"/>
    <w:rsid w:val="28A23B3B"/>
    <w:rsid w:val="28BE7156"/>
    <w:rsid w:val="28EF40E2"/>
    <w:rsid w:val="2910288B"/>
    <w:rsid w:val="291D021D"/>
    <w:rsid w:val="292024ED"/>
    <w:rsid w:val="29206EB8"/>
    <w:rsid w:val="29223D2D"/>
    <w:rsid w:val="29500C47"/>
    <w:rsid w:val="29595666"/>
    <w:rsid w:val="296B1BAE"/>
    <w:rsid w:val="29874881"/>
    <w:rsid w:val="29E325E0"/>
    <w:rsid w:val="2A02340D"/>
    <w:rsid w:val="2A2059A7"/>
    <w:rsid w:val="2A321881"/>
    <w:rsid w:val="2A33050E"/>
    <w:rsid w:val="2A403875"/>
    <w:rsid w:val="2A452503"/>
    <w:rsid w:val="2A5B019D"/>
    <w:rsid w:val="2AE412F9"/>
    <w:rsid w:val="2AF764AA"/>
    <w:rsid w:val="2AF8651A"/>
    <w:rsid w:val="2B1613F0"/>
    <w:rsid w:val="2B3631A5"/>
    <w:rsid w:val="2B407806"/>
    <w:rsid w:val="2B590415"/>
    <w:rsid w:val="2B5C30EA"/>
    <w:rsid w:val="2B6945D9"/>
    <w:rsid w:val="2B794042"/>
    <w:rsid w:val="2B7D46AF"/>
    <w:rsid w:val="2B7F5C68"/>
    <w:rsid w:val="2BA73846"/>
    <w:rsid w:val="2BA936A8"/>
    <w:rsid w:val="2BC83584"/>
    <w:rsid w:val="2BE51150"/>
    <w:rsid w:val="2BF25DCE"/>
    <w:rsid w:val="2BFE644D"/>
    <w:rsid w:val="2C0B2D87"/>
    <w:rsid w:val="2C1C6E11"/>
    <w:rsid w:val="2C315A5A"/>
    <w:rsid w:val="2C344B03"/>
    <w:rsid w:val="2C4B1C25"/>
    <w:rsid w:val="2C645E34"/>
    <w:rsid w:val="2C671614"/>
    <w:rsid w:val="2C680ABF"/>
    <w:rsid w:val="2C70611F"/>
    <w:rsid w:val="2C8F6502"/>
    <w:rsid w:val="2CD25AAD"/>
    <w:rsid w:val="2CFB0817"/>
    <w:rsid w:val="2D0077B0"/>
    <w:rsid w:val="2D0E0C58"/>
    <w:rsid w:val="2D1107B5"/>
    <w:rsid w:val="2D284D6F"/>
    <w:rsid w:val="2D3F6E6A"/>
    <w:rsid w:val="2D4677D4"/>
    <w:rsid w:val="2D485943"/>
    <w:rsid w:val="2D820D69"/>
    <w:rsid w:val="2D8A60B4"/>
    <w:rsid w:val="2D946B80"/>
    <w:rsid w:val="2D951CCB"/>
    <w:rsid w:val="2D9E56F5"/>
    <w:rsid w:val="2DA53CFD"/>
    <w:rsid w:val="2DAB766F"/>
    <w:rsid w:val="2DD6750F"/>
    <w:rsid w:val="2DFD0845"/>
    <w:rsid w:val="2E0F29C1"/>
    <w:rsid w:val="2E134A41"/>
    <w:rsid w:val="2E231AA7"/>
    <w:rsid w:val="2E2705FC"/>
    <w:rsid w:val="2E4211F7"/>
    <w:rsid w:val="2E5B74C6"/>
    <w:rsid w:val="2E667F96"/>
    <w:rsid w:val="2E817116"/>
    <w:rsid w:val="2E8226AB"/>
    <w:rsid w:val="2ECE7A0E"/>
    <w:rsid w:val="2F165756"/>
    <w:rsid w:val="2F2E7DCC"/>
    <w:rsid w:val="2F846D45"/>
    <w:rsid w:val="2F8475E9"/>
    <w:rsid w:val="2F995028"/>
    <w:rsid w:val="2F9E7071"/>
    <w:rsid w:val="2FBB7811"/>
    <w:rsid w:val="2FCA008C"/>
    <w:rsid w:val="2FCB4E7D"/>
    <w:rsid w:val="2FD065E6"/>
    <w:rsid w:val="2FD96870"/>
    <w:rsid w:val="2FDF5737"/>
    <w:rsid w:val="300D3197"/>
    <w:rsid w:val="30167854"/>
    <w:rsid w:val="303D5733"/>
    <w:rsid w:val="304D7489"/>
    <w:rsid w:val="30536D4B"/>
    <w:rsid w:val="30580BC9"/>
    <w:rsid w:val="30800440"/>
    <w:rsid w:val="30804519"/>
    <w:rsid w:val="30813ECF"/>
    <w:rsid w:val="30B30214"/>
    <w:rsid w:val="30D83A9F"/>
    <w:rsid w:val="30E348AF"/>
    <w:rsid w:val="31051541"/>
    <w:rsid w:val="310944F3"/>
    <w:rsid w:val="31163851"/>
    <w:rsid w:val="311E2ED7"/>
    <w:rsid w:val="31320450"/>
    <w:rsid w:val="314E26EE"/>
    <w:rsid w:val="315619EE"/>
    <w:rsid w:val="315C449C"/>
    <w:rsid w:val="318C727C"/>
    <w:rsid w:val="31B82709"/>
    <w:rsid w:val="31C2746B"/>
    <w:rsid w:val="31C33EB5"/>
    <w:rsid w:val="31C851B2"/>
    <w:rsid w:val="31D05482"/>
    <w:rsid w:val="31D461F9"/>
    <w:rsid w:val="31D764C5"/>
    <w:rsid w:val="31FF7EE0"/>
    <w:rsid w:val="32310A20"/>
    <w:rsid w:val="32400B34"/>
    <w:rsid w:val="32463B79"/>
    <w:rsid w:val="32722AA2"/>
    <w:rsid w:val="32732A91"/>
    <w:rsid w:val="32817AF6"/>
    <w:rsid w:val="329C1CE8"/>
    <w:rsid w:val="329E6876"/>
    <w:rsid w:val="32A46347"/>
    <w:rsid w:val="32E061DE"/>
    <w:rsid w:val="32E30AAC"/>
    <w:rsid w:val="32F831AE"/>
    <w:rsid w:val="32F846C7"/>
    <w:rsid w:val="330864CC"/>
    <w:rsid w:val="330D1407"/>
    <w:rsid w:val="332A6894"/>
    <w:rsid w:val="333015F2"/>
    <w:rsid w:val="333D584C"/>
    <w:rsid w:val="334B6320"/>
    <w:rsid w:val="33741EED"/>
    <w:rsid w:val="33800D9D"/>
    <w:rsid w:val="338F6BDD"/>
    <w:rsid w:val="33963007"/>
    <w:rsid w:val="33AE743D"/>
    <w:rsid w:val="33C16E8D"/>
    <w:rsid w:val="33C93145"/>
    <w:rsid w:val="33D934D4"/>
    <w:rsid w:val="33DF256F"/>
    <w:rsid w:val="33FE2F6A"/>
    <w:rsid w:val="33FE79BF"/>
    <w:rsid w:val="340E07E5"/>
    <w:rsid w:val="34235BF7"/>
    <w:rsid w:val="343237E2"/>
    <w:rsid w:val="343264A8"/>
    <w:rsid w:val="34397587"/>
    <w:rsid w:val="344F688A"/>
    <w:rsid w:val="345D6EFA"/>
    <w:rsid w:val="34632FF5"/>
    <w:rsid w:val="34794167"/>
    <w:rsid w:val="34807DB9"/>
    <w:rsid w:val="34920C12"/>
    <w:rsid w:val="34C00F40"/>
    <w:rsid w:val="34EF55B8"/>
    <w:rsid w:val="34F16589"/>
    <w:rsid w:val="3500065D"/>
    <w:rsid w:val="35002D77"/>
    <w:rsid w:val="350C0E20"/>
    <w:rsid w:val="35613E70"/>
    <w:rsid w:val="35646251"/>
    <w:rsid w:val="358C5FA8"/>
    <w:rsid w:val="35931830"/>
    <w:rsid w:val="35BB22BC"/>
    <w:rsid w:val="35C15DF1"/>
    <w:rsid w:val="36057B22"/>
    <w:rsid w:val="36074A7F"/>
    <w:rsid w:val="36120A36"/>
    <w:rsid w:val="36553574"/>
    <w:rsid w:val="365602CA"/>
    <w:rsid w:val="365624F6"/>
    <w:rsid w:val="367C45B2"/>
    <w:rsid w:val="368009EB"/>
    <w:rsid w:val="368D608A"/>
    <w:rsid w:val="36923549"/>
    <w:rsid w:val="369736C3"/>
    <w:rsid w:val="36997A4E"/>
    <w:rsid w:val="36A858D0"/>
    <w:rsid w:val="36B75FBF"/>
    <w:rsid w:val="36BD0C45"/>
    <w:rsid w:val="36BE2155"/>
    <w:rsid w:val="36C721FA"/>
    <w:rsid w:val="36D116B3"/>
    <w:rsid w:val="36D25244"/>
    <w:rsid w:val="36F16AC6"/>
    <w:rsid w:val="36F96342"/>
    <w:rsid w:val="370F27CB"/>
    <w:rsid w:val="3730572B"/>
    <w:rsid w:val="3732128A"/>
    <w:rsid w:val="373B22BD"/>
    <w:rsid w:val="37510B16"/>
    <w:rsid w:val="375B3411"/>
    <w:rsid w:val="37A14A2F"/>
    <w:rsid w:val="37A92AAC"/>
    <w:rsid w:val="37E00298"/>
    <w:rsid w:val="37E762DF"/>
    <w:rsid w:val="37F912C0"/>
    <w:rsid w:val="380A6DBE"/>
    <w:rsid w:val="381964AE"/>
    <w:rsid w:val="38325892"/>
    <w:rsid w:val="38342FC3"/>
    <w:rsid w:val="38397128"/>
    <w:rsid w:val="384F195C"/>
    <w:rsid w:val="385B6923"/>
    <w:rsid w:val="38AA644C"/>
    <w:rsid w:val="38AC0A19"/>
    <w:rsid w:val="38B302F9"/>
    <w:rsid w:val="38E93180"/>
    <w:rsid w:val="38F12CD3"/>
    <w:rsid w:val="38F46E41"/>
    <w:rsid w:val="38F94775"/>
    <w:rsid w:val="390830CA"/>
    <w:rsid w:val="391B6002"/>
    <w:rsid w:val="392971ED"/>
    <w:rsid w:val="39325651"/>
    <w:rsid w:val="393D2B24"/>
    <w:rsid w:val="3962620A"/>
    <w:rsid w:val="39672839"/>
    <w:rsid w:val="396F4112"/>
    <w:rsid w:val="398F60A4"/>
    <w:rsid w:val="39A0086D"/>
    <w:rsid w:val="39BA7B9D"/>
    <w:rsid w:val="39C64C1E"/>
    <w:rsid w:val="39EA4160"/>
    <w:rsid w:val="3A016BE6"/>
    <w:rsid w:val="3A240B2A"/>
    <w:rsid w:val="3A43428E"/>
    <w:rsid w:val="3A872856"/>
    <w:rsid w:val="3A8E3B13"/>
    <w:rsid w:val="3A9303CC"/>
    <w:rsid w:val="3AA46B90"/>
    <w:rsid w:val="3AAF21B9"/>
    <w:rsid w:val="3AB93BA4"/>
    <w:rsid w:val="3AC97A77"/>
    <w:rsid w:val="3ACC0D91"/>
    <w:rsid w:val="3ACC7DDF"/>
    <w:rsid w:val="3ACD5060"/>
    <w:rsid w:val="3ACE032E"/>
    <w:rsid w:val="3ACF4ACD"/>
    <w:rsid w:val="3ADF5580"/>
    <w:rsid w:val="3AE158A0"/>
    <w:rsid w:val="3B05393F"/>
    <w:rsid w:val="3B1B0D67"/>
    <w:rsid w:val="3B2C3596"/>
    <w:rsid w:val="3B345146"/>
    <w:rsid w:val="3B3763D1"/>
    <w:rsid w:val="3B3904EA"/>
    <w:rsid w:val="3B4D1C63"/>
    <w:rsid w:val="3B757229"/>
    <w:rsid w:val="3B8A2FD1"/>
    <w:rsid w:val="3B8F5B9A"/>
    <w:rsid w:val="3BBA2AA9"/>
    <w:rsid w:val="3BF52249"/>
    <w:rsid w:val="3C062540"/>
    <w:rsid w:val="3C29136D"/>
    <w:rsid w:val="3C2F6E1E"/>
    <w:rsid w:val="3C4A62C6"/>
    <w:rsid w:val="3C4F64BA"/>
    <w:rsid w:val="3C5C427E"/>
    <w:rsid w:val="3C840451"/>
    <w:rsid w:val="3C847DBD"/>
    <w:rsid w:val="3C9B2F47"/>
    <w:rsid w:val="3CBB635D"/>
    <w:rsid w:val="3CC0370F"/>
    <w:rsid w:val="3CDA245A"/>
    <w:rsid w:val="3CDD3E19"/>
    <w:rsid w:val="3CFE26EE"/>
    <w:rsid w:val="3D1E06B7"/>
    <w:rsid w:val="3D4A203C"/>
    <w:rsid w:val="3D69400B"/>
    <w:rsid w:val="3D8E104F"/>
    <w:rsid w:val="3DAB0CAC"/>
    <w:rsid w:val="3DCC29C6"/>
    <w:rsid w:val="3DDA0A65"/>
    <w:rsid w:val="3DE224E1"/>
    <w:rsid w:val="3DE418E4"/>
    <w:rsid w:val="3E270850"/>
    <w:rsid w:val="3E2814CF"/>
    <w:rsid w:val="3E3C1292"/>
    <w:rsid w:val="3E3E56C8"/>
    <w:rsid w:val="3E4454D3"/>
    <w:rsid w:val="3E4C62EA"/>
    <w:rsid w:val="3E5041D4"/>
    <w:rsid w:val="3E5520AC"/>
    <w:rsid w:val="3E873AB3"/>
    <w:rsid w:val="3E8A1D24"/>
    <w:rsid w:val="3E8D3D29"/>
    <w:rsid w:val="3E9C37B8"/>
    <w:rsid w:val="3E9C5CE2"/>
    <w:rsid w:val="3EB111CB"/>
    <w:rsid w:val="3EC23AED"/>
    <w:rsid w:val="3EC45E3D"/>
    <w:rsid w:val="3EC72686"/>
    <w:rsid w:val="3EDA0523"/>
    <w:rsid w:val="3EDC7B51"/>
    <w:rsid w:val="3EE206C7"/>
    <w:rsid w:val="3EFA6834"/>
    <w:rsid w:val="3F0F6A05"/>
    <w:rsid w:val="3F164194"/>
    <w:rsid w:val="3F1C64E1"/>
    <w:rsid w:val="3F2131F0"/>
    <w:rsid w:val="3F4939B1"/>
    <w:rsid w:val="3F4E0CDD"/>
    <w:rsid w:val="3F6615F1"/>
    <w:rsid w:val="3F8C3443"/>
    <w:rsid w:val="3FAD33E9"/>
    <w:rsid w:val="3FB11C9A"/>
    <w:rsid w:val="3FBC3894"/>
    <w:rsid w:val="3FC03C8B"/>
    <w:rsid w:val="3FD83364"/>
    <w:rsid w:val="3FFE6B5C"/>
    <w:rsid w:val="402C6A7A"/>
    <w:rsid w:val="402E645A"/>
    <w:rsid w:val="40512B35"/>
    <w:rsid w:val="40592EF3"/>
    <w:rsid w:val="407A6407"/>
    <w:rsid w:val="409D495A"/>
    <w:rsid w:val="40B0144A"/>
    <w:rsid w:val="40C270D9"/>
    <w:rsid w:val="40C930D1"/>
    <w:rsid w:val="412D1AF4"/>
    <w:rsid w:val="416B7C26"/>
    <w:rsid w:val="418D4436"/>
    <w:rsid w:val="41901AB8"/>
    <w:rsid w:val="41996907"/>
    <w:rsid w:val="41B16375"/>
    <w:rsid w:val="4200449D"/>
    <w:rsid w:val="42015AAE"/>
    <w:rsid w:val="42042AF1"/>
    <w:rsid w:val="420936C7"/>
    <w:rsid w:val="420D0B37"/>
    <w:rsid w:val="42111EEA"/>
    <w:rsid w:val="423A3BCC"/>
    <w:rsid w:val="424E57D2"/>
    <w:rsid w:val="428C5915"/>
    <w:rsid w:val="42AE0BF2"/>
    <w:rsid w:val="42B26C49"/>
    <w:rsid w:val="42C65A5C"/>
    <w:rsid w:val="42CC193F"/>
    <w:rsid w:val="42CE5C46"/>
    <w:rsid w:val="42D44230"/>
    <w:rsid w:val="430C6BBF"/>
    <w:rsid w:val="431668EB"/>
    <w:rsid w:val="432E15EA"/>
    <w:rsid w:val="43353902"/>
    <w:rsid w:val="433A6FE6"/>
    <w:rsid w:val="43480868"/>
    <w:rsid w:val="4350713C"/>
    <w:rsid w:val="436202FD"/>
    <w:rsid w:val="436653E0"/>
    <w:rsid w:val="43740181"/>
    <w:rsid w:val="43782F98"/>
    <w:rsid w:val="43852DD6"/>
    <w:rsid w:val="4399306A"/>
    <w:rsid w:val="43C4431A"/>
    <w:rsid w:val="43C85535"/>
    <w:rsid w:val="43DD2E53"/>
    <w:rsid w:val="43E15637"/>
    <w:rsid w:val="43EC4EFE"/>
    <w:rsid w:val="4432516A"/>
    <w:rsid w:val="448620EC"/>
    <w:rsid w:val="4496544D"/>
    <w:rsid w:val="44A06F96"/>
    <w:rsid w:val="44AC4DF8"/>
    <w:rsid w:val="44B951CC"/>
    <w:rsid w:val="44C40B6E"/>
    <w:rsid w:val="44CD14E0"/>
    <w:rsid w:val="44D14654"/>
    <w:rsid w:val="44DA134B"/>
    <w:rsid w:val="44ED504B"/>
    <w:rsid w:val="44F20B0B"/>
    <w:rsid w:val="452C33F0"/>
    <w:rsid w:val="452E5F4C"/>
    <w:rsid w:val="45386828"/>
    <w:rsid w:val="453B743F"/>
    <w:rsid w:val="45523DAF"/>
    <w:rsid w:val="45612018"/>
    <w:rsid w:val="45740AE4"/>
    <w:rsid w:val="45757C5C"/>
    <w:rsid w:val="457E749F"/>
    <w:rsid w:val="4580177B"/>
    <w:rsid w:val="458946E9"/>
    <w:rsid w:val="45A47C0E"/>
    <w:rsid w:val="45E5444B"/>
    <w:rsid w:val="45EA5145"/>
    <w:rsid w:val="45F66A5C"/>
    <w:rsid w:val="46006D8B"/>
    <w:rsid w:val="461103A8"/>
    <w:rsid w:val="46195C39"/>
    <w:rsid w:val="46342E5C"/>
    <w:rsid w:val="463E769E"/>
    <w:rsid w:val="46537FD2"/>
    <w:rsid w:val="46547006"/>
    <w:rsid w:val="465643DC"/>
    <w:rsid w:val="46577FD6"/>
    <w:rsid w:val="46651320"/>
    <w:rsid w:val="46786C5B"/>
    <w:rsid w:val="4683544C"/>
    <w:rsid w:val="4696414D"/>
    <w:rsid w:val="469E42DE"/>
    <w:rsid w:val="46D955A7"/>
    <w:rsid w:val="46DA01E4"/>
    <w:rsid w:val="46DF36C7"/>
    <w:rsid w:val="46F23332"/>
    <w:rsid w:val="46F84687"/>
    <w:rsid w:val="46FA30D4"/>
    <w:rsid w:val="47112EE9"/>
    <w:rsid w:val="47133957"/>
    <w:rsid w:val="474C7249"/>
    <w:rsid w:val="475938FD"/>
    <w:rsid w:val="47A07E0C"/>
    <w:rsid w:val="48060DB6"/>
    <w:rsid w:val="484D2F3F"/>
    <w:rsid w:val="4870272E"/>
    <w:rsid w:val="48735AC8"/>
    <w:rsid w:val="48797C28"/>
    <w:rsid w:val="489376C9"/>
    <w:rsid w:val="48AF1DDD"/>
    <w:rsid w:val="48D433F2"/>
    <w:rsid w:val="48E00CB4"/>
    <w:rsid w:val="48E3470B"/>
    <w:rsid w:val="48FD58FB"/>
    <w:rsid w:val="49021F22"/>
    <w:rsid w:val="49114C5F"/>
    <w:rsid w:val="49261A69"/>
    <w:rsid w:val="492C1A9B"/>
    <w:rsid w:val="49551FCE"/>
    <w:rsid w:val="495C400B"/>
    <w:rsid w:val="497B3EEA"/>
    <w:rsid w:val="499336B8"/>
    <w:rsid w:val="49AB02B8"/>
    <w:rsid w:val="49B325E0"/>
    <w:rsid w:val="49C33E22"/>
    <w:rsid w:val="49C42E28"/>
    <w:rsid w:val="49D216CD"/>
    <w:rsid w:val="49D50473"/>
    <w:rsid w:val="49DC7715"/>
    <w:rsid w:val="4A023139"/>
    <w:rsid w:val="4A467A01"/>
    <w:rsid w:val="4A7B576F"/>
    <w:rsid w:val="4AA563EE"/>
    <w:rsid w:val="4ABE6D84"/>
    <w:rsid w:val="4AD25A32"/>
    <w:rsid w:val="4AE8574B"/>
    <w:rsid w:val="4AF561A9"/>
    <w:rsid w:val="4AF61CB8"/>
    <w:rsid w:val="4B1B0FC4"/>
    <w:rsid w:val="4B1F6EBC"/>
    <w:rsid w:val="4B224DCC"/>
    <w:rsid w:val="4B2C26F3"/>
    <w:rsid w:val="4B3D1948"/>
    <w:rsid w:val="4B3D7786"/>
    <w:rsid w:val="4B5C51AF"/>
    <w:rsid w:val="4B6D30DE"/>
    <w:rsid w:val="4B7318B1"/>
    <w:rsid w:val="4B7E6094"/>
    <w:rsid w:val="4B8727A8"/>
    <w:rsid w:val="4BA143D4"/>
    <w:rsid w:val="4BBF0799"/>
    <w:rsid w:val="4BD243AF"/>
    <w:rsid w:val="4C18569C"/>
    <w:rsid w:val="4C365D5B"/>
    <w:rsid w:val="4C3E7B68"/>
    <w:rsid w:val="4C4A0649"/>
    <w:rsid w:val="4C4D6DD4"/>
    <w:rsid w:val="4C4E2FA9"/>
    <w:rsid w:val="4C5D274E"/>
    <w:rsid w:val="4C7E5ECA"/>
    <w:rsid w:val="4C876AA5"/>
    <w:rsid w:val="4CAC48C1"/>
    <w:rsid w:val="4CAE3AB8"/>
    <w:rsid w:val="4CE55F2E"/>
    <w:rsid w:val="4CF943ED"/>
    <w:rsid w:val="4D0E00FB"/>
    <w:rsid w:val="4D13438D"/>
    <w:rsid w:val="4D176606"/>
    <w:rsid w:val="4D1778B0"/>
    <w:rsid w:val="4D28039F"/>
    <w:rsid w:val="4D4A5F60"/>
    <w:rsid w:val="4D636DCA"/>
    <w:rsid w:val="4D724391"/>
    <w:rsid w:val="4D8269ED"/>
    <w:rsid w:val="4D9C1396"/>
    <w:rsid w:val="4DAF34CC"/>
    <w:rsid w:val="4DEC4FB0"/>
    <w:rsid w:val="4E075D8A"/>
    <w:rsid w:val="4E1775D9"/>
    <w:rsid w:val="4E2701B8"/>
    <w:rsid w:val="4E2925B1"/>
    <w:rsid w:val="4E343D7E"/>
    <w:rsid w:val="4E4A74B2"/>
    <w:rsid w:val="4E5C6E07"/>
    <w:rsid w:val="4E6A270E"/>
    <w:rsid w:val="4E774AB2"/>
    <w:rsid w:val="4EC00FAD"/>
    <w:rsid w:val="4EEA5B64"/>
    <w:rsid w:val="4F004FE0"/>
    <w:rsid w:val="4F0F2539"/>
    <w:rsid w:val="4F385EB7"/>
    <w:rsid w:val="4F3D590F"/>
    <w:rsid w:val="4F4046D4"/>
    <w:rsid w:val="4F5219E9"/>
    <w:rsid w:val="4F5C04C4"/>
    <w:rsid w:val="4F7B450C"/>
    <w:rsid w:val="4F9843DC"/>
    <w:rsid w:val="4FA029B5"/>
    <w:rsid w:val="4FAE450C"/>
    <w:rsid w:val="4FC52BA5"/>
    <w:rsid w:val="4FC62A8C"/>
    <w:rsid w:val="4FDC3E6B"/>
    <w:rsid w:val="4FE20F0D"/>
    <w:rsid w:val="4FE51552"/>
    <w:rsid w:val="500C0754"/>
    <w:rsid w:val="50504C4B"/>
    <w:rsid w:val="50584713"/>
    <w:rsid w:val="50607687"/>
    <w:rsid w:val="50774A04"/>
    <w:rsid w:val="508A7C40"/>
    <w:rsid w:val="509B43B9"/>
    <w:rsid w:val="509C6E7C"/>
    <w:rsid w:val="50A0668F"/>
    <w:rsid w:val="50A10540"/>
    <w:rsid w:val="50AA076B"/>
    <w:rsid w:val="50C25176"/>
    <w:rsid w:val="510D0137"/>
    <w:rsid w:val="512C3DBE"/>
    <w:rsid w:val="512E314A"/>
    <w:rsid w:val="513138D3"/>
    <w:rsid w:val="5162104E"/>
    <w:rsid w:val="51873CDB"/>
    <w:rsid w:val="51B81ADE"/>
    <w:rsid w:val="51D12017"/>
    <w:rsid w:val="51E75260"/>
    <w:rsid w:val="51FA1ADD"/>
    <w:rsid w:val="52181681"/>
    <w:rsid w:val="521B67F5"/>
    <w:rsid w:val="52344C73"/>
    <w:rsid w:val="523F1387"/>
    <w:rsid w:val="526616FB"/>
    <w:rsid w:val="52841BC0"/>
    <w:rsid w:val="529E063C"/>
    <w:rsid w:val="52BE0DAA"/>
    <w:rsid w:val="52D04592"/>
    <w:rsid w:val="53227612"/>
    <w:rsid w:val="532F6D06"/>
    <w:rsid w:val="53472E64"/>
    <w:rsid w:val="534F6302"/>
    <w:rsid w:val="5368663D"/>
    <w:rsid w:val="53701B3E"/>
    <w:rsid w:val="53836B78"/>
    <w:rsid w:val="53861911"/>
    <w:rsid w:val="53A039CC"/>
    <w:rsid w:val="53A1505A"/>
    <w:rsid w:val="53DC0CED"/>
    <w:rsid w:val="53F02FF0"/>
    <w:rsid w:val="53F213FA"/>
    <w:rsid w:val="54063E08"/>
    <w:rsid w:val="542831E1"/>
    <w:rsid w:val="543437E8"/>
    <w:rsid w:val="543E3205"/>
    <w:rsid w:val="54561C53"/>
    <w:rsid w:val="54644AF8"/>
    <w:rsid w:val="5472516A"/>
    <w:rsid w:val="54752981"/>
    <w:rsid w:val="54B21012"/>
    <w:rsid w:val="54C66DF3"/>
    <w:rsid w:val="54CD168A"/>
    <w:rsid w:val="54DD7595"/>
    <w:rsid w:val="54F73313"/>
    <w:rsid w:val="54F80955"/>
    <w:rsid w:val="552C3BDD"/>
    <w:rsid w:val="554A17EB"/>
    <w:rsid w:val="554B7717"/>
    <w:rsid w:val="555170A7"/>
    <w:rsid w:val="55787183"/>
    <w:rsid w:val="5587536D"/>
    <w:rsid w:val="559B174B"/>
    <w:rsid w:val="55CE0CF4"/>
    <w:rsid w:val="55DC5D7D"/>
    <w:rsid w:val="55EB0320"/>
    <w:rsid w:val="55FF50B5"/>
    <w:rsid w:val="56091A90"/>
    <w:rsid w:val="565B3421"/>
    <w:rsid w:val="567E40DF"/>
    <w:rsid w:val="56A160C1"/>
    <w:rsid w:val="56B22A9C"/>
    <w:rsid w:val="56C90818"/>
    <w:rsid w:val="57124B88"/>
    <w:rsid w:val="574907C1"/>
    <w:rsid w:val="57B72A76"/>
    <w:rsid w:val="57BD6B75"/>
    <w:rsid w:val="57C3426C"/>
    <w:rsid w:val="57CE1F93"/>
    <w:rsid w:val="57ED7C99"/>
    <w:rsid w:val="57F527C4"/>
    <w:rsid w:val="57FB1389"/>
    <w:rsid w:val="580B38A6"/>
    <w:rsid w:val="58404706"/>
    <w:rsid w:val="584C5B7C"/>
    <w:rsid w:val="585B1094"/>
    <w:rsid w:val="586F516E"/>
    <w:rsid w:val="58810BF6"/>
    <w:rsid w:val="588743D1"/>
    <w:rsid w:val="5887701A"/>
    <w:rsid w:val="58C54910"/>
    <w:rsid w:val="58E1545E"/>
    <w:rsid w:val="59222E58"/>
    <w:rsid w:val="592B4413"/>
    <w:rsid w:val="59394AD3"/>
    <w:rsid w:val="59A91BC3"/>
    <w:rsid w:val="59BE5DFE"/>
    <w:rsid w:val="59C0439F"/>
    <w:rsid w:val="59F45DC0"/>
    <w:rsid w:val="5A495418"/>
    <w:rsid w:val="5A586CFC"/>
    <w:rsid w:val="5A6C777B"/>
    <w:rsid w:val="5AA14011"/>
    <w:rsid w:val="5AA61A39"/>
    <w:rsid w:val="5ABE2233"/>
    <w:rsid w:val="5AC05420"/>
    <w:rsid w:val="5AFE1404"/>
    <w:rsid w:val="5B167803"/>
    <w:rsid w:val="5B2C7586"/>
    <w:rsid w:val="5B80058E"/>
    <w:rsid w:val="5BBE3B33"/>
    <w:rsid w:val="5BC62EA9"/>
    <w:rsid w:val="5BD61CBB"/>
    <w:rsid w:val="5BDF5D95"/>
    <w:rsid w:val="5BE01E2B"/>
    <w:rsid w:val="5BE03293"/>
    <w:rsid w:val="5BE31EEE"/>
    <w:rsid w:val="5BE4168B"/>
    <w:rsid w:val="5BE420D2"/>
    <w:rsid w:val="5BF562CC"/>
    <w:rsid w:val="5BFE7528"/>
    <w:rsid w:val="5C050962"/>
    <w:rsid w:val="5C1F24C7"/>
    <w:rsid w:val="5C34503D"/>
    <w:rsid w:val="5C5955B8"/>
    <w:rsid w:val="5C8B1941"/>
    <w:rsid w:val="5CBD39FD"/>
    <w:rsid w:val="5CC60B62"/>
    <w:rsid w:val="5CF45865"/>
    <w:rsid w:val="5D057BB9"/>
    <w:rsid w:val="5D064E9F"/>
    <w:rsid w:val="5D0A1A91"/>
    <w:rsid w:val="5D351D00"/>
    <w:rsid w:val="5D436D4B"/>
    <w:rsid w:val="5D5D3642"/>
    <w:rsid w:val="5D7E6343"/>
    <w:rsid w:val="5D9A4028"/>
    <w:rsid w:val="5DA219D7"/>
    <w:rsid w:val="5DAF57ED"/>
    <w:rsid w:val="5E1008DA"/>
    <w:rsid w:val="5E1924E6"/>
    <w:rsid w:val="5E2467F1"/>
    <w:rsid w:val="5E3215E4"/>
    <w:rsid w:val="5E391CA3"/>
    <w:rsid w:val="5E685FE6"/>
    <w:rsid w:val="5EB62D8C"/>
    <w:rsid w:val="5EB968DB"/>
    <w:rsid w:val="5ED54D8A"/>
    <w:rsid w:val="5ED66BCF"/>
    <w:rsid w:val="5EDA13BD"/>
    <w:rsid w:val="5EF46913"/>
    <w:rsid w:val="5F021D00"/>
    <w:rsid w:val="5F1A2B43"/>
    <w:rsid w:val="5F210CBE"/>
    <w:rsid w:val="5F401CE4"/>
    <w:rsid w:val="5F5C717F"/>
    <w:rsid w:val="5F8113E0"/>
    <w:rsid w:val="5FA32829"/>
    <w:rsid w:val="5FB837BB"/>
    <w:rsid w:val="5FBE3DAA"/>
    <w:rsid w:val="5FED75F7"/>
    <w:rsid w:val="5FFE0EC2"/>
    <w:rsid w:val="601F7B1D"/>
    <w:rsid w:val="60205349"/>
    <w:rsid w:val="60266700"/>
    <w:rsid w:val="602C7113"/>
    <w:rsid w:val="60571A49"/>
    <w:rsid w:val="607A2B70"/>
    <w:rsid w:val="607E3CBD"/>
    <w:rsid w:val="608F7615"/>
    <w:rsid w:val="609F7B79"/>
    <w:rsid w:val="60BD2228"/>
    <w:rsid w:val="60C13D80"/>
    <w:rsid w:val="60C4645C"/>
    <w:rsid w:val="60CC405A"/>
    <w:rsid w:val="60D54A76"/>
    <w:rsid w:val="60D91361"/>
    <w:rsid w:val="60E07891"/>
    <w:rsid w:val="60FA49B7"/>
    <w:rsid w:val="610240F8"/>
    <w:rsid w:val="61493322"/>
    <w:rsid w:val="614A419F"/>
    <w:rsid w:val="61C94537"/>
    <w:rsid w:val="61E215D8"/>
    <w:rsid w:val="61EB6287"/>
    <w:rsid w:val="61F74804"/>
    <w:rsid w:val="6211745A"/>
    <w:rsid w:val="62177B3B"/>
    <w:rsid w:val="62186E57"/>
    <w:rsid w:val="621B3775"/>
    <w:rsid w:val="622045EF"/>
    <w:rsid w:val="62296FC4"/>
    <w:rsid w:val="622A6285"/>
    <w:rsid w:val="622E2104"/>
    <w:rsid w:val="623049FD"/>
    <w:rsid w:val="62364782"/>
    <w:rsid w:val="625F66B5"/>
    <w:rsid w:val="626932DF"/>
    <w:rsid w:val="62BA3A1C"/>
    <w:rsid w:val="62E0626E"/>
    <w:rsid w:val="62E1365E"/>
    <w:rsid w:val="6305770E"/>
    <w:rsid w:val="63132AB1"/>
    <w:rsid w:val="632E0D88"/>
    <w:rsid w:val="633A1811"/>
    <w:rsid w:val="63455AF5"/>
    <w:rsid w:val="63752C25"/>
    <w:rsid w:val="6394356A"/>
    <w:rsid w:val="63962897"/>
    <w:rsid w:val="63B140A1"/>
    <w:rsid w:val="63C61B2C"/>
    <w:rsid w:val="63D40BE9"/>
    <w:rsid w:val="63DB7706"/>
    <w:rsid w:val="63F30EB6"/>
    <w:rsid w:val="63FC7C25"/>
    <w:rsid w:val="64002E9F"/>
    <w:rsid w:val="64036976"/>
    <w:rsid w:val="64102431"/>
    <w:rsid w:val="646D1D84"/>
    <w:rsid w:val="64A217B0"/>
    <w:rsid w:val="64A5243A"/>
    <w:rsid w:val="64C64C94"/>
    <w:rsid w:val="64E1752C"/>
    <w:rsid w:val="64F531DE"/>
    <w:rsid w:val="65096942"/>
    <w:rsid w:val="65373578"/>
    <w:rsid w:val="653861E4"/>
    <w:rsid w:val="65740F04"/>
    <w:rsid w:val="657E7717"/>
    <w:rsid w:val="658F3531"/>
    <w:rsid w:val="65D76C0D"/>
    <w:rsid w:val="662F7D73"/>
    <w:rsid w:val="663019FE"/>
    <w:rsid w:val="667B2536"/>
    <w:rsid w:val="66B335F7"/>
    <w:rsid w:val="66E1067B"/>
    <w:rsid w:val="66E31FB8"/>
    <w:rsid w:val="66E414EA"/>
    <w:rsid w:val="66EA3218"/>
    <w:rsid w:val="670348CF"/>
    <w:rsid w:val="671F124A"/>
    <w:rsid w:val="67430E39"/>
    <w:rsid w:val="677656D7"/>
    <w:rsid w:val="677A33C6"/>
    <w:rsid w:val="678429F0"/>
    <w:rsid w:val="67BA668B"/>
    <w:rsid w:val="67F13E89"/>
    <w:rsid w:val="681F6961"/>
    <w:rsid w:val="68302D0F"/>
    <w:rsid w:val="683B074B"/>
    <w:rsid w:val="684E1EB1"/>
    <w:rsid w:val="68610A2F"/>
    <w:rsid w:val="687D6570"/>
    <w:rsid w:val="68805514"/>
    <w:rsid w:val="68A815DC"/>
    <w:rsid w:val="68DA2592"/>
    <w:rsid w:val="69316E2F"/>
    <w:rsid w:val="69342E70"/>
    <w:rsid w:val="694E2071"/>
    <w:rsid w:val="6951757E"/>
    <w:rsid w:val="695A66DF"/>
    <w:rsid w:val="695F5C3A"/>
    <w:rsid w:val="69766163"/>
    <w:rsid w:val="697A3B33"/>
    <w:rsid w:val="69C17CAB"/>
    <w:rsid w:val="69C320D0"/>
    <w:rsid w:val="69D44760"/>
    <w:rsid w:val="6A12278E"/>
    <w:rsid w:val="6A25020E"/>
    <w:rsid w:val="6A520EC7"/>
    <w:rsid w:val="6A596AB2"/>
    <w:rsid w:val="6A754C09"/>
    <w:rsid w:val="6A89036B"/>
    <w:rsid w:val="6AA71EF8"/>
    <w:rsid w:val="6AE6019A"/>
    <w:rsid w:val="6AEE23DE"/>
    <w:rsid w:val="6AF87E20"/>
    <w:rsid w:val="6AFD273B"/>
    <w:rsid w:val="6B14024B"/>
    <w:rsid w:val="6B1C06EA"/>
    <w:rsid w:val="6B2A62D8"/>
    <w:rsid w:val="6B322639"/>
    <w:rsid w:val="6B475481"/>
    <w:rsid w:val="6B496ECC"/>
    <w:rsid w:val="6B4C5CB0"/>
    <w:rsid w:val="6B995827"/>
    <w:rsid w:val="6B9C13C2"/>
    <w:rsid w:val="6BBF3F97"/>
    <w:rsid w:val="6BDB6968"/>
    <w:rsid w:val="6C32314C"/>
    <w:rsid w:val="6C4048A2"/>
    <w:rsid w:val="6C421C6E"/>
    <w:rsid w:val="6C5D26DE"/>
    <w:rsid w:val="6C636C38"/>
    <w:rsid w:val="6CA06E64"/>
    <w:rsid w:val="6CAB7D78"/>
    <w:rsid w:val="6CAD4B8B"/>
    <w:rsid w:val="6CC563DC"/>
    <w:rsid w:val="6CCD169C"/>
    <w:rsid w:val="6CCE0EE6"/>
    <w:rsid w:val="6CCE3D22"/>
    <w:rsid w:val="6CE565AF"/>
    <w:rsid w:val="6CE61893"/>
    <w:rsid w:val="6CFF1394"/>
    <w:rsid w:val="6D1E7696"/>
    <w:rsid w:val="6D257DD6"/>
    <w:rsid w:val="6D350F65"/>
    <w:rsid w:val="6D4056B3"/>
    <w:rsid w:val="6D491DF2"/>
    <w:rsid w:val="6D532803"/>
    <w:rsid w:val="6D671CF6"/>
    <w:rsid w:val="6D6F1E75"/>
    <w:rsid w:val="6D9A3405"/>
    <w:rsid w:val="6DB12668"/>
    <w:rsid w:val="6DB34098"/>
    <w:rsid w:val="6DB545B6"/>
    <w:rsid w:val="6DCC13DB"/>
    <w:rsid w:val="6DCF47FE"/>
    <w:rsid w:val="6DE02FB4"/>
    <w:rsid w:val="6DF90EB0"/>
    <w:rsid w:val="6E186CB5"/>
    <w:rsid w:val="6E1D4ED0"/>
    <w:rsid w:val="6E32100D"/>
    <w:rsid w:val="6E42218C"/>
    <w:rsid w:val="6E514CED"/>
    <w:rsid w:val="6E524208"/>
    <w:rsid w:val="6E587FD5"/>
    <w:rsid w:val="6E95780D"/>
    <w:rsid w:val="6EB563D5"/>
    <w:rsid w:val="6EC949C1"/>
    <w:rsid w:val="6ED92677"/>
    <w:rsid w:val="6EEB4A19"/>
    <w:rsid w:val="6EFA2466"/>
    <w:rsid w:val="6F06234C"/>
    <w:rsid w:val="6F225983"/>
    <w:rsid w:val="6F257809"/>
    <w:rsid w:val="6FB51193"/>
    <w:rsid w:val="6FC33294"/>
    <w:rsid w:val="6FE42D50"/>
    <w:rsid w:val="6FFC5590"/>
    <w:rsid w:val="700A0403"/>
    <w:rsid w:val="7021302A"/>
    <w:rsid w:val="70292FF2"/>
    <w:rsid w:val="706D1DD0"/>
    <w:rsid w:val="70856B87"/>
    <w:rsid w:val="70885095"/>
    <w:rsid w:val="70933E0B"/>
    <w:rsid w:val="70AF2DD6"/>
    <w:rsid w:val="70BE394B"/>
    <w:rsid w:val="70CA1EA2"/>
    <w:rsid w:val="70CE221A"/>
    <w:rsid w:val="70D527EE"/>
    <w:rsid w:val="70E559CF"/>
    <w:rsid w:val="70F012B0"/>
    <w:rsid w:val="70FF02A0"/>
    <w:rsid w:val="7116628C"/>
    <w:rsid w:val="71381A8D"/>
    <w:rsid w:val="713A2FED"/>
    <w:rsid w:val="715A1BF2"/>
    <w:rsid w:val="715B5300"/>
    <w:rsid w:val="71662026"/>
    <w:rsid w:val="71D23226"/>
    <w:rsid w:val="71D27F8A"/>
    <w:rsid w:val="71D62D16"/>
    <w:rsid w:val="71DE0460"/>
    <w:rsid w:val="71E33685"/>
    <w:rsid w:val="72553024"/>
    <w:rsid w:val="726D222C"/>
    <w:rsid w:val="729E1E58"/>
    <w:rsid w:val="72A82F20"/>
    <w:rsid w:val="72D00206"/>
    <w:rsid w:val="73004EDE"/>
    <w:rsid w:val="73010491"/>
    <w:rsid w:val="73070803"/>
    <w:rsid w:val="730A6DA5"/>
    <w:rsid w:val="73122968"/>
    <w:rsid w:val="731F5D5E"/>
    <w:rsid w:val="73201EFC"/>
    <w:rsid w:val="732559CA"/>
    <w:rsid w:val="732C5F45"/>
    <w:rsid w:val="735E2157"/>
    <w:rsid w:val="73625A06"/>
    <w:rsid w:val="73C3127B"/>
    <w:rsid w:val="73C51AD5"/>
    <w:rsid w:val="73EF531B"/>
    <w:rsid w:val="741B7561"/>
    <w:rsid w:val="741E793C"/>
    <w:rsid w:val="742F5EBA"/>
    <w:rsid w:val="743D20DB"/>
    <w:rsid w:val="745E3944"/>
    <w:rsid w:val="747A1FA3"/>
    <w:rsid w:val="74862867"/>
    <w:rsid w:val="74AE7ECB"/>
    <w:rsid w:val="7501351C"/>
    <w:rsid w:val="7510749F"/>
    <w:rsid w:val="751138F6"/>
    <w:rsid w:val="752E2EA0"/>
    <w:rsid w:val="75380DFB"/>
    <w:rsid w:val="7559796B"/>
    <w:rsid w:val="75695A8B"/>
    <w:rsid w:val="75726D13"/>
    <w:rsid w:val="75727149"/>
    <w:rsid w:val="759E7D63"/>
    <w:rsid w:val="75A10570"/>
    <w:rsid w:val="75CA7317"/>
    <w:rsid w:val="75FF1C25"/>
    <w:rsid w:val="761C7166"/>
    <w:rsid w:val="76221B96"/>
    <w:rsid w:val="7635099D"/>
    <w:rsid w:val="763634F1"/>
    <w:rsid w:val="76464477"/>
    <w:rsid w:val="76A17A7F"/>
    <w:rsid w:val="76C247AF"/>
    <w:rsid w:val="770A43B5"/>
    <w:rsid w:val="770C2D36"/>
    <w:rsid w:val="77302F2E"/>
    <w:rsid w:val="775418D9"/>
    <w:rsid w:val="77762421"/>
    <w:rsid w:val="77B56B1F"/>
    <w:rsid w:val="77B706CD"/>
    <w:rsid w:val="77C94DEB"/>
    <w:rsid w:val="77CD1C7E"/>
    <w:rsid w:val="77EF479F"/>
    <w:rsid w:val="780F09F4"/>
    <w:rsid w:val="78190F4F"/>
    <w:rsid w:val="782F4F2E"/>
    <w:rsid w:val="784628D1"/>
    <w:rsid w:val="7854140D"/>
    <w:rsid w:val="785A05A1"/>
    <w:rsid w:val="788278EF"/>
    <w:rsid w:val="78A90480"/>
    <w:rsid w:val="78B123F6"/>
    <w:rsid w:val="78B8118C"/>
    <w:rsid w:val="78C56A22"/>
    <w:rsid w:val="7909281A"/>
    <w:rsid w:val="79102FB2"/>
    <w:rsid w:val="79114748"/>
    <w:rsid w:val="79255611"/>
    <w:rsid w:val="793D658E"/>
    <w:rsid w:val="796B55F0"/>
    <w:rsid w:val="796E6362"/>
    <w:rsid w:val="797E1455"/>
    <w:rsid w:val="79827694"/>
    <w:rsid w:val="798F27E2"/>
    <w:rsid w:val="79926FA3"/>
    <w:rsid w:val="79986B03"/>
    <w:rsid w:val="79A61DDD"/>
    <w:rsid w:val="79B17308"/>
    <w:rsid w:val="79CD033C"/>
    <w:rsid w:val="79D60C21"/>
    <w:rsid w:val="79EC36A2"/>
    <w:rsid w:val="79F17820"/>
    <w:rsid w:val="79F2754D"/>
    <w:rsid w:val="7A0234D6"/>
    <w:rsid w:val="7A041E63"/>
    <w:rsid w:val="7A166ECF"/>
    <w:rsid w:val="7A204D95"/>
    <w:rsid w:val="7A364017"/>
    <w:rsid w:val="7A48532E"/>
    <w:rsid w:val="7A4E4BA8"/>
    <w:rsid w:val="7A4F354C"/>
    <w:rsid w:val="7A4F7204"/>
    <w:rsid w:val="7A615B83"/>
    <w:rsid w:val="7A8265E1"/>
    <w:rsid w:val="7AA855D0"/>
    <w:rsid w:val="7ADB4A62"/>
    <w:rsid w:val="7AF93E0B"/>
    <w:rsid w:val="7AFF45CF"/>
    <w:rsid w:val="7B193C8F"/>
    <w:rsid w:val="7B242156"/>
    <w:rsid w:val="7B4E3F9A"/>
    <w:rsid w:val="7B5B4CB6"/>
    <w:rsid w:val="7B654C50"/>
    <w:rsid w:val="7B686D42"/>
    <w:rsid w:val="7B772444"/>
    <w:rsid w:val="7B841746"/>
    <w:rsid w:val="7B9C40EC"/>
    <w:rsid w:val="7BFE6BDF"/>
    <w:rsid w:val="7C09469E"/>
    <w:rsid w:val="7C2109AE"/>
    <w:rsid w:val="7C2F0AFA"/>
    <w:rsid w:val="7C536901"/>
    <w:rsid w:val="7C5A1FAE"/>
    <w:rsid w:val="7C5D7D0D"/>
    <w:rsid w:val="7C6B1866"/>
    <w:rsid w:val="7C6C5AC7"/>
    <w:rsid w:val="7C7B44C2"/>
    <w:rsid w:val="7CB31D56"/>
    <w:rsid w:val="7CB50A8C"/>
    <w:rsid w:val="7CC6544B"/>
    <w:rsid w:val="7CDA5AF4"/>
    <w:rsid w:val="7CDB3A95"/>
    <w:rsid w:val="7CE97DA8"/>
    <w:rsid w:val="7CEC1C2D"/>
    <w:rsid w:val="7D00105E"/>
    <w:rsid w:val="7D0239FF"/>
    <w:rsid w:val="7D025273"/>
    <w:rsid w:val="7D3704A9"/>
    <w:rsid w:val="7D5A317A"/>
    <w:rsid w:val="7D5E40CD"/>
    <w:rsid w:val="7D7914FB"/>
    <w:rsid w:val="7D7C5B52"/>
    <w:rsid w:val="7DCD56F2"/>
    <w:rsid w:val="7DFA2A1E"/>
    <w:rsid w:val="7E047DB2"/>
    <w:rsid w:val="7E6B25BB"/>
    <w:rsid w:val="7E6E3AE8"/>
    <w:rsid w:val="7E77300B"/>
    <w:rsid w:val="7EA6212A"/>
    <w:rsid w:val="7EC16C5D"/>
    <w:rsid w:val="7EF31E05"/>
    <w:rsid w:val="7F001CE7"/>
    <w:rsid w:val="7F083A52"/>
    <w:rsid w:val="7F305D3A"/>
    <w:rsid w:val="7F3351B5"/>
    <w:rsid w:val="7F51563F"/>
    <w:rsid w:val="7F6F3BE2"/>
    <w:rsid w:val="7F7649A0"/>
    <w:rsid w:val="7F9346CC"/>
    <w:rsid w:val="7FA27E72"/>
    <w:rsid w:val="7FB17AEB"/>
    <w:rsid w:val="7FB94699"/>
    <w:rsid w:val="7FC43CE9"/>
    <w:rsid w:val="7FD26E5E"/>
    <w:rsid w:val="7FE47E50"/>
    <w:rsid w:val="7FF708EC"/>
    <w:rsid w:val="7FF7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qFormat="1"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qFormat/>
    <w:locked/>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unhideWhenUsed/>
    <w:qFormat/>
    <w:locked/>
    <w:uiPriority w:val="0"/>
    <w:pPr>
      <w:spacing w:before="100" w:beforeAutospacing="1" w:after="100" w:afterAutospacing="1"/>
      <w:jc w:val="left"/>
      <w:outlineLvl w:val="2"/>
    </w:pPr>
    <w:rPr>
      <w:rFonts w:hint="eastAsia" w:ascii="宋体" w:hAnsi="宋体"/>
      <w:b/>
      <w:kern w:val="0"/>
      <w:sz w:val="27"/>
      <w:szCs w:val="27"/>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spacing w:after="200" w:line="276" w:lineRule="auto"/>
    </w:pPr>
    <w:rPr>
      <w:rFonts w:ascii="仿宋_GB2312" w:eastAsia="仿宋_GB2312"/>
      <w:color w:val="000000"/>
      <w:sz w:val="24"/>
      <w:szCs w:val="24"/>
      <w:lang w:val="en-US" w:eastAsia="zh-CN" w:bidi="ar-SA"/>
    </w:rPr>
  </w:style>
  <w:style w:type="paragraph" w:customStyle="1" w:styleId="3">
    <w:name w:val="标题 段落4级"/>
    <w:basedOn w:val="4"/>
    <w:qFormat/>
    <w:uiPriority w:val="0"/>
    <w:pPr>
      <w:spacing w:line="500" w:lineRule="exact"/>
      <w:outlineLvl w:val="3"/>
    </w:pPr>
    <w:rPr>
      <w:rFonts w:eastAsia="仿宋_GB2312" w:cs="Calibri"/>
      <w:b/>
      <w:kern w:val="2"/>
      <w:sz w:val="28"/>
      <w:szCs w:val="24"/>
      <w:lang w:val="en-US" w:eastAsia="zh-CN" w:bidi="ar-SA"/>
    </w:rPr>
  </w:style>
  <w:style w:type="paragraph" w:customStyle="1" w:styleId="4">
    <w:name w:val="正文 文本"/>
    <w:qFormat/>
    <w:uiPriority w:val="0"/>
    <w:pPr>
      <w:widowControl w:val="0"/>
      <w:snapToGrid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8">
    <w:name w:val="Normal Indent"/>
    <w:basedOn w:val="1"/>
    <w:unhideWhenUsed/>
    <w:qFormat/>
    <w:locked/>
    <w:uiPriority w:val="0"/>
    <w:pPr>
      <w:ind w:firstLine="200" w:firstLineChars="200"/>
    </w:pPr>
    <w:rPr>
      <w:rFonts w:eastAsia="Times New Roman"/>
      <w:sz w:val="28"/>
      <w:szCs w:val="28"/>
    </w:rPr>
  </w:style>
  <w:style w:type="paragraph" w:styleId="9">
    <w:name w:val="caption"/>
    <w:basedOn w:val="1"/>
    <w:next w:val="1"/>
    <w:qFormat/>
    <w:locked/>
    <w:uiPriority w:val="0"/>
    <w:rPr>
      <w:rFonts w:ascii="Arial" w:hAnsi="Arial" w:eastAsia="黑体" w:cs="Arial"/>
      <w:sz w:val="20"/>
    </w:rPr>
  </w:style>
  <w:style w:type="paragraph" w:styleId="10">
    <w:name w:val="toa heading"/>
    <w:basedOn w:val="1"/>
    <w:next w:val="1"/>
    <w:qFormat/>
    <w:locked/>
    <w:uiPriority w:val="0"/>
    <w:pPr>
      <w:spacing w:before="120"/>
    </w:pPr>
    <w:rPr>
      <w:rFonts w:ascii="Arial" w:hAnsi="Arial" w:cs="Arial"/>
      <w:sz w:val="24"/>
    </w:rPr>
  </w:style>
  <w:style w:type="paragraph" w:styleId="11">
    <w:name w:val="annotation text"/>
    <w:basedOn w:val="1"/>
    <w:link w:val="39"/>
    <w:semiHidden/>
    <w:qFormat/>
    <w:uiPriority w:val="0"/>
    <w:pPr>
      <w:jc w:val="left"/>
    </w:pPr>
    <w:rPr>
      <w:kern w:val="0"/>
      <w:sz w:val="24"/>
      <w:szCs w:val="20"/>
    </w:rPr>
  </w:style>
  <w:style w:type="paragraph" w:styleId="12">
    <w:name w:val="Salutation"/>
    <w:basedOn w:val="1"/>
    <w:next w:val="1"/>
    <w:qFormat/>
    <w:locked/>
    <w:uiPriority w:val="0"/>
    <w:pPr>
      <w:adjustRightInd w:val="0"/>
      <w:spacing w:line="360" w:lineRule="atLeast"/>
      <w:textAlignment w:val="baseline"/>
    </w:pPr>
    <w:rPr>
      <w:rFonts w:ascii="宋体" w:hAnsi="华文宋体" w:eastAsia="宋体" w:cs="Times New Roman"/>
      <w:sz w:val="28"/>
      <w:szCs w:val="24"/>
    </w:rPr>
  </w:style>
  <w:style w:type="paragraph" w:styleId="13">
    <w:name w:val="Body Text"/>
    <w:basedOn w:val="1"/>
    <w:next w:val="1"/>
    <w:link w:val="38"/>
    <w:qFormat/>
    <w:uiPriority w:val="0"/>
    <w:pPr>
      <w:widowControl/>
      <w:snapToGrid w:val="0"/>
      <w:spacing w:before="60" w:after="160" w:line="259" w:lineRule="auto"/>
      <w:ind w:right="113"/>
    </w:pPr>
    <w:rPr>
      <w:kern w:val="0"/>
      <w:sz w:val="18"/>
      <w:szCs w:val="20"/>
    </w:rPr>
  </w:style>
  <w:style w:type="paragraph" w:styleId="14">
    <w:name w:val="Body Text Indent"/>
    <w:basedOn w:val="1"/>
    <w:link w:val="40"/>
    <w:qFormat/>
    <w:uiPriority w:val="0"/>
    <w:pPr>
      <w:spacing w:after="120"/>
      <w:ind w:left="420" w:leftChars="200"/>
    </w:pPr>
    <w:rPr>
      <w:kern w:val="0"/>
      <w:sz w:val="24"/>
      <w:szCs w:val="20"/>
    </w:rPr>
  </w:style>
  <w:style w:type="paragraph" w:styleId="15">
    <w:name w:val="Plain Text"/>
    <w:basedOn w:val="1"/>
    <w:next w:val="16"/>
    <w:qFormat/>
    <w:locked/>
    <w:uiPriority w:val="0"/>
    <w:rPr>
      <w:rFonts w:ascii="宋体" w:hAnsi="Courier New"/>
      <w:sz w:val="20"/>
    </w:rPr>
  </w:style>
  <w:style w:type="paragraph" w:styleId="16">
    <w:name w:val="toc 1"/>
    <w:basedOn w:val="1"/>
    <w:next w:val="1"/>
    <w:qFormat/>
    <w:locked/>
    <w:uiPriority w:val="0"/>
    <w:pPr>
      <w:tabs>
        <w:tab w:val="left" w:pos="420"/>
        <w:tab w:val="right" w:leader="dot" w:pos="8303"/>
      </w:tabs>
    </w:pPr>
    <w:rPr>
      <w:rFonts w:ascii="仿宋_GB2312" w:hAnsi="Arial Black" w:eastAsia="仿宋_GB2312"/>
      <w:sz w:val="28"/>
    </w:rPr>
  </w:style>
  <w:style w:type="paragraph" w:styleId="17">
    <w:name w:val="Date"/>
    <w:basedOn w:val="1"/>
    <w:next w:val="1"/>
    <w:link w:val="41"/>
    <w:qFormat/>
    <w:uiPriority w:val="0"/>
    <w:pPr>
      <w:ind w:left="100" w:leftChars="2500"/>
    </w:pPr>
    <w:rPr>
      <w:kern w:val="0"/>
      <w:sz w:val="24"/>
      <w:szCs w:val="20"/>
    </w:rPr>
  </w:style>
  <w:style w:type="paragraph" w:styleId="18">
    <w:name w:val="Body Text Indent 2"/>
    <w:basedOn w:val="1"/>
    <w:qFormat/>
    <w:locked/>
    <w:uiPriority w:val="0"/>
    <w:pPr>
      <w:spacing w:line="360" w:lineRule="auto"/>
      <w:ind w:firstLine="480" w:firstLineChars="200"/>
    </w:pPr>
    <w:rPr>
      <w:rFonts w:ascii="宋体" w:hAnsi="宋体"/>
      <w:sz w:val="24"/>
    </w:rPr>
  </w:style>
  <w:style w:type="paragraph" w:styleId="19">
    <w:name w:val="Balloon Text"/>
    <w:basedOn w:val="1"/>
    <w:link w:val="42"/>
    <w:semiHidden/>
    <w:qFormat/>
    <w:uiPriority w:val="0"/>
    <w:rPr>
      <w:kern w:val="0"/>
      <w:sz w:val="18"/>
      <w:szCs w:val="20"/>
    </w:rPr>
  </w:style>
  <w:style w:type="paragraph" w:styleId="20">
    <w:name w:val="footer"/>
    <w:basedOn w:val="1"/>
    <w:link w:val="43"/>
    <w:qFormat/>
    <w:uiPriority w:val="99"/>
    <w:pPr>
      <w:tabs>
        <w:tab w:val="center" w:pos="4153"/>
        <w:tab w:val="right" w:pos="8306"/>
      </w:tabs>
      <w:snapToGrid w:val="0"/>
      <w:jc w:val="left"/>
    </w:pPr>
    <w:rPr>
      <w:kern w:val="0"/>
      <w:sz w:val="18"/>
      <w:szCs w:val="20"/>
    </w:rPr>
  </w:style>
  <w:style w:type="paragraph" w:styleId="21">
    <w:name w:val="header"/>
    <w:basedOn w:val="1"/>
    <w:link w:val="44"/>
    <w:qFormat/>
    <w:uiPriority w:val="0"/>
    <w:pPr>
      <w:pBdr>
        <w:bottom w:val="single" w:color="auto" w:sz="6" w:space="1"/>
      </w:pBdr>
      <w:tabs>
        <w:tab w:val="center" w:pos="4153"/>
        <w:tab w:val="right" w:pos="8306"/>
      </w:tabs>
      <w:snapToGrid w:val="0"/>
      <w:jc w:val="center"/>
    </w:pPr>
    <w:rPr>
      <w:kern w:val="0"/>
      <w:sz w:val="18"/>
      <w:szCs w:val="20"/>
    </w:rPr>
  </w:style>
  <w:style w:type="paragraph" w:styleId="22">
    <w:name w:val="List"/>
    <w:basedOn w:val="1"/>
    <w:qFormat/>
    <w:locked/>
    <w:uiPriority w:val="0"/>
    <w:pPr>
      <w:spacing w:line="360" w:lineRule="exact"/>
      <w:jc w:val="center"/>
    </w:pPr>
    <w:rPr>
      <w:rFonts w:ascii="仿宋_GB2312" w:eastAsia="仿宋_GB2312"/>
      <w:sz w:val="28"/>
    </w:rPr>
  </w:style>
  <w:style w:type="paragraph" w:styleId="23">
    <w:name w:val="Body Text Indent 3"/>
    <w:basedOn w:val="1"/>
    <w:qFormat/>
    <w:locked/>
    <w:uiPriority w:val="0"/>
    <w:pPr>
      <w:spacing w:after="120"/>
      <w:ind w:left="420" w:leftChars="200"/>
    </w:pPr>
    <w:rPr>
      <w:sz w:val="16"/>
      <w:szCs w:val="16"/>
    </w:rPr>
  </w:style>
  <w:style w:type="paragraph" w:styleId="24">
    <w:name w:val="table of figures"/>
    <w:basedOn w:val="1"/>
    <w:next w:val="1"/>
    <w:qFormat/>
    <w:locked/>
    <w:uiPriority w:val="0"/>
    <w:pPr>
      <w:ind w:left="200" w:leftChars="200" w:hanging="200" w:hangingChars="200"/>
    </w:pPr>
    <w:rPr>
      <w:rFonts w:ascii="Calibri" w:hAnsi="Calibri"/>
      <w:szCs w:val="22"/>
    </w:rPr>
  </w:style>
  <w:style w:type="paragraph" w:styleId="25">
    <w:name w:val="Body Text 2"/>
    <w:basedOn w:val="1"/>
    <w:qFormat/>
    <w:locked/>
    <w:uiPriority w:val="0"/>
    <w:pPr>
      <w:jc w:val="center"/>
    </w:pPr>
  </w:style>
  <w:style w:type="paragraph" w:styleId="26">
    <w:name w:val="Normal (Web)"/>
    <w:basedOn w:val="1"/>
    <w:link w:val="45"/>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11"/>
    <w:next w:val="11"/>
    <w:link w:val="47"/>
    <w:semiHidden/>
    <w:qFormat/>
    <w:uiPriority w:val="0"/>
    <w:rPr>
      <w:b/>
    </w:rPr>
  </w:style>
  <w:style w:type="paragraph" w:styleId="28">
    <w:name w:val="Body Text First Indent"/>
    <w:basedOn w:val="13"/>
    <w:next w:val="1"/>
    <w:unhideWhenUsed/>
    <w:qFormat/>
    <w:locked/>
    <w:uiPriority w:val="0"/>
    <w:pPr>
      <w:ind w:firstLine="420" w:firstLineChars="100"/>
    </w:pPr>
  </w:style>
  <w:style w:type="paragraph" w:styleId="29">
    <w:name w:val="Body Text First Indent 2"/>
    <w:basedOn w:val="14"/>
    <w:next w:val="1"/>
    <w:qFormat/>
    <w:locked/>
    <w:uiPriority w:val="0"/>
    <w:pPr>
      <w:ind w:firstLine="420" w:firstLineChars="200"/>
    </w:pPr>
    <w:rPr>
      <w:sz w:val="21"/>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Strong"/>
    <w:qFormat/>
    <w:locked/>
    <w:uiPriority w:val="0"/>
    <w:rPr>
      <w:b/>
      <w:bCs/>
    </w:rPr>
  </w:style>
  <w:style w:type="character" w:styleId="34">
    <w:name w:val="page number"/>
    <w:basedOn w:val="32"/>
    <w:qFormat/>
    <w:locked/>
    <w:uiPriority w:val="0"/>
  </w:style>
  <w:style w:type="character" w:styleId="35">
    <w:name w:val="Hyperlink"/>
    <w:basedOn w:val="32"/>
    <w:qFormat/>
    <w:locked/>
    <w:uiPriority w:val="0"/>
    <w:rPr>
      <w:color w:val="0000FF"/>
      <w:u w:val="single"/>
    </w:rPr>
  </w:style>
  <w:style w:type="character" w:styleId="36">
    <w:name w:val="annotation reference"/>
    <w:basedOn w:val="32"/>
    <w:semiHidden/>
    <w:qFormat/>
    <w:uiPriority w:val="0"/>
    <w:rPr>
      <w:sz w:val="21"/>
    </w:rPr>
  </w:style>
  <w:style w:type="paragraph" w:customStyle="1" w:styleId="37">
    <w:name w:val="表格"/>
    <w:basedOn w:val="1"/>
    <w:next w:val="1"/>
    <w:link w:val="46"/>
    <w:qFormat/>
    <w:uiPriority w:val="0"/>
    <w:pPr>
      <w:adjustRightInd w:val="0"/>
      <w:snapToGrid w:val="0"/>
      <w:spacing w:beforeLines="10" w:afterLines="10" w:line="259" w:lineRule="auto"/>
      <w:jc w:val="center"/>
    </w:pPr>
    <w:rPr>
      <w:rFonts w:ascii="宋体"/>
      <w:kern w:val="0"/>
      <w:szCs w:val="20"/>
    </w:rPr>
  </w:style>
  <w:style w:type="character" w:customStyle="1" w:styleId="38">
    <w:name w:val="正文文本 Char"/>
    <w:link w:val="13"/>
    <w:qFormat/>
    <w:locked/>
    <w:uiPriority w:val="0"/>
    <w:rPr>
      <w:sz w:val="18"/>
    </w:rPr>
  </w:style>
  <w:style w:type="character" w:customStyle="1" w:styleId="39">
    <w:name w:val="批注文字 Char"/>
    <w:link w:val="11"/>
    <w:qFormat/>
    <w:locked/>
    <w:uiPriority w:val="0"/>
    <w:rPr>
      <w:rFonts w:ascii="Times New Roman" w:hAnsi="Times New Roman" w:eastAsia="宋体"/>
      <w:sz w:val="24"/>
    </w:rPr>
  </w:style>
  <w:style w:type="character" w:customStyle="1" w:styleId="40">
    <w:name w:val="正文文本缩进 Char"/>
    <w:link w:val="14"/>
    <w:semiHidden/>
    <w:qFormat/>
    <w:locked/>
    <w:uiPriority w:val="0"/>
    <w:rPr>
      <w:rFonts w:ascii="Times New Roman" w:hAnsi="Times New Roman" w:eastAsia="宋体"/>
      <w:sz w:val="24"/>
    </w:rPr>
  </w:style>
  <w:style w:type="character" w:customStyle="1" w:styleId="41">
    <w:name w:val="日期 Char"/>
    <w:link w:val="17"/>
    <w:qFormat/>
    <w:locked/>
    <w:uiPriority w:val="0"/>
    <w:rPr>
      <w:rFonts w:ascii="Times New Roman" w:hAnsi="Times New Roman" w:eastAsia="宋体"/>
      <w:sz w:val="24"/>
    </w:rPr>
  </w:style>
  <w:style w:type="character" w:customStyle="1" w:styleId="42">
    <w:name w:val="批注框文本 Char"/>
    <w:link w:val="19"/>
    <w:semiHidden/>
    <w:qFormat/>
    <w:locked/>
    <w:uiPriority w:val="0"/>
    <w:rPr>
      <w:rFonts w:ascii="Times New Roman" w:hAnsi="Times New Roman" w:eastAsia="宋体"/>
      <w:sz w:val="18"/>
    </w:rPr>
  </w:style>
  <w:style w:type="character" w:customStyle="1" w:styleId="43">
    <w:name w:val="页脚 Char"/>
    <w:link w:val="20"/>
    <w:qFormat/>
    <w:locked/>
    <w:uiPriority w:val="99"/>
    <w:rPr>
      <w:sz w:val="18"/>
    </w:rPr>
  </w:style>
  <w:style w:type="character" w:customStyle="1" w:styleId="44">
    <w:name w:val="页眉 Char"/>
    <w:link w:val="21"/>
    <w:qFormat/>
    <w:locked/>
    <w:uiPriority w:val="0"/>
    <w:rPr>
      <w:sz w:val="18"/>
    </w:rPr>
  </w:style>
  <w:style w:type="character" w:customStyle="1" w:styleId="45">
    <w:name w:val="普通(网站) Char"/>
    <w:link w:val="26"/>
    <w:qFormat/>
    <w:locked/>
    <w:uiPriority w:val="0"/>
    <w:rPr>
      <w:rFonts w:ascii="宋体" w:hAnsi="宋体" w:eastAsia="宋体"/>
      <w:sz w:val="24"/>
    </w:rPr>
  </w:style>
  <w:style w:type="character" w:customStyle="1" w:styleId="46">
    <w:name w:val="表格 Char"/>
    <w:link w:val="37"/>
    <w:qFormat/>
    <w:locked/>
    <w:uiPriority w:val="0"/>
    <w:rPr>
      <w:rFonts w:ascii="宋体"/>
      <w:sz w:val="21"/>
    </w:rPr>
  </w:style>
  <w:style w:type="character" w:customStyle="1" w:styleId="47">
    <w:name w:val="批注主题 Char"/>
    <w:link w:val="27"/>
    <w:semiHidden/>
    <w:qFormat/>
    <w:locked/>
    <w:uiPriority w:val="0"/>
    <w:rPr>
      <w:rFonts w:ascii="Times New Roman" w:hAnsi="Times New Roman" w:eastAsia="宋体"/>
      <w:b/>
      <w:kern w:val="2"/>
      <w:sz w:val="24"/>
    </w:rPr>
  </w:style>
  <w:style w:type="character" w:customStyle="1" w:styleId="48">
    <w:name w:val="批注引用1"/>
    <w:qFormat/>
    <w:uiPriority w:val="0"/>
    <w:rPr>
      <w:sz w:val="21"/>
      <w:szCs w:val="21"/>
    </w:rPr>
  </w:style>
  <w:style w:type="character" w:customStyle="1" w:styleId="49">
    <w:name w:val="日期 字符"/>
    <w:semiHidden/>
    <w:qFormat/>
    <w:uiPriority w:val="0"/>
    <w:rPr>
      <w:rFonts w:ascii="Times New Roman" w:hAnsi="Times New Roman" w:eastAsia="宋体"/>
      <w:sz w:val="24"/>
    </w:rPr>
  </w:style>
  <w:style w:type="character" w:customStyle="1" w:styleId="50">
    <w:name w:val="页脚 字符"/>
    <w:basedOn w:val="32"/>
    <w:qFormat/>
    <w:uiPriority w:val="99"/>
  </w:style>
  <w:style w:type="character" w:customStyle="1" w:styleId="51">
    <w:name w:val="批注文字 字符1"/>
    <w:semiHidden/>
    <w:qFormat/>
    <w:uiPriority w:val="0"/>
    <w:rPr>
      <w:rFonts w:ascii="Times New Roman" w:hAnsi="Times New Roman" w:eastAsia="宋体"/>
      <w:sz w:val="24"/>
    </w:rPr>
  </w:style>
  <w:style w:type="character" w:customStyle="1" w:styleId="52">
    <w:name w:val="正文文本 字符1"/>
    <w:semiHidden/>
    <w:qFormat/>
    <w:uiPriority w:val="0"/>
    <w:rPr>
      <w:rFonts w:ascii="Times New Roman" w:hAnsi="Times New Roman" w:eastAsia="宋体"/>
      <w:sz w:val="24"/>
    </w:rPr>
  </w:style>
  <w:style w:type="paragraph" w:customStyle="1" w:styleId="5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p0"/>
    <w:basedOn w:val="1"/>
    <w:qFormat/>
    <w:uiPriority w:val="0"/>
    <w:pPr>
      <w:widowControl/>
    </w:pPr>
    <w:rPr>
      <w:kern w:val="0"/>
      <w:szCs w:val="21"/>
    </w:rPr>
  </w:style>
  <w:style w:type="paragraph" w:customStyle="1" w:styleId="55">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rPr>
  </w:style>
  <w:style w:type="paragraph" w:customStyle="1" w:styleId="5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7">
    <w:name w:val="表格内文字"/>
    <w:basedOn w:val="1"/>
    <w:qFormat/>
    <w:uiPriority w:val="0"/>
    <w:pPr>
      <w:tabs>
        <w:tab w:val="left" w:pos="0"/>
      </w:tabs>
      <w:adjustRightInd w:val="0"/>
      <w:snapToGrid w:val="0"/>
      <w:jc w:val="center"/>
    </w:pPr>
    <w:rPr>
      <w:rFonts w:ascii="Calibri" w:hAnsi="Calibri" w:eastAsia="仿宋_GB2312"/>
      <w:sz w:val="24"/>
    </w:rPr>
  </w:style>
  <w:style w:type="paragraph" w:customStyle="1" w:styleId="58">
    <w:name w:val="Table Paragraph"/>
    <w:basedOn w:val="1"/>
    <w:qFormat/>
    <w:uiPriority w:val="1"/>
    <w:pPr>
      <w:jc w:val="center"/>
    </w:pPr>
    <w:rPr>
      <w:rFonts w:eastAsia="Times New Roman"/>
      <w:lang w:val="zh-CN" w:bidi="zh-CN"/>
    </w:rPr>
  </w:style>
  <w:style w:type="paragraph" w:customStyle="1" w:styleId="59">
    <w:name w:val="表格文字"/>
    <w:basedOn w:val="1"/>
    <w:qFormat/>
    <w:uiPriority w:val="0"/>
    <w:pPr>
      <w:jc w:val="center"/>
    </w:pPr>
    <w:rPr>
      <w:rFonts w:ascii="仿宋_GB2312" w:hAnsi="Arial Black" w:eastAsia="仿宋_GB2312"/>
      <w:kern w:val="44"/>
      <w:sz w:val="24"/>
    </w:rPr>
  </w:style>
  <w:style w:type="paragraph" w:customStyle="1" w:styleId="60">
    <w:name w:val="谏壁正文chen"/>
    <w:basedOn w:val="1"/>
    <w:qFormat/>
    <w:uiPriority w:val="99"/>
    <w:pPr>
      <w:spacing w:line="360" w:lineRule="auto"/>
      <w:ind w:firstLine="200" w:firstLineChars="200"/>
    </w:pPr>
    <w:rPr>
      <w:sz w:val="24"/>
    </w:rPr>
  </w:style>
  <w:style w:type="paragraph" w:customStyle="1" w:styleId="61">
    <w:name w:val="2"/>
    <w:basedOn w:val="1"/>
    <w:next w:val="23"/>
    <w:qFormat/>
    <w:uiPriority w:val="0"/>
    <w:pPr>
      <w:tabs>
        <w:tab w:val="left" w:pos="604"/>
      </w:tabs>
      <w:spacing w:line="360" w:lineRule="auto"/>
      <w:ind w:firstLine="600"/>
    </w:pPr>
  </w:style>
  <w:style w:type="character" w:customStyle="1" w:styleId="62">
    <w:name w:val="font31"/>
    <w:basedOn w:val="32"/>
    <w:qFormat/>
    <w:uiPriority w:val="0"/>
    <w:rPr>
      <w:rFonts w:hint="eastAsia" w:ascii="宋体" w:hAnsi="宋体" w:eastAsia="宋体" w:cs="宋体"/>
      <w:b/>
      <w:bCs/>
      <w:color w:val="000000"/>
      <w:sz w:val="18"/>
      <w:szCs w:val="18"/>
      <w:u w:val="none"/>
    </w:rPr>
  </w:style>
  <w:style w:type="paragraph" w:customStyle="1" w:styleId="63">
    <w:name w:val="小四表文左齐"/>
    <w:basedOn w:val="1"/>
    <w:qFormat/>
    <w:uiPriority w:val="0"/>
    <w:pPr>
      <w:adjustRightInd w:val="0"/>
      <w:snapToGrid w:val="0"/>
      <w:jc w:val="center"/>
    </w:pPr>
    <w:rPr>
      <w:rFonts w:ascii="仿宋_GB2312" w:eastAsia="仿宋_GB2312"/>
      <w:szCs w:val="21"/>
    </w:rPr>
  </w:style>
  <w:style w:type="paragraph" w:customStyle="1" w:styleId="64">
    <w:name w:val="font0"/>
    <w:basedOn w:val="1"/>
    <w:qFormat/>
    <w:uiPriority w:val="0"/>
    <w:pPr>
      <w:widowControl/>
      <w:spacing w:before="100" w:beforeAutospacing="1" w:after="100" w:afterAutospacing="1" w:line="240" w:lineRule="atLeast"/>
    </w:pPr>
    <w:rPr>
      <w:rFonts w:hint="eastAsia" w:ascii="宋体" w:hAnsi="宋体"/>
      <w:bCs/>
    </w:rPr>
  </w:style>
  <w:style w:type="paragraph" w:customStyle="1" w:styleId="65">
    <w:name w:val="表格内容"/>
    <w:basedOn w:val="1"/>
    <w:qFormat/>
    <w:uiPriority w:val="0"/>
    <w:pPr>
      <w:adjustRightInd w:val="0"/>
      <w:snapToGrid w:val="0"/>
    </w:pPr>
    <w:rPr>
      <w:rFonts w:ascii="仿宋_GB2312" w:eastAsia="仿宋_GB2312"/>
      <w:kern w:val="0"/>
      <w:sz w:val="24"/>
    </w:rPr>
  </w:style>
  <w:style w:type="paragraph" w:customStyle="1" w:styleId="66">
    <w:name w:val="表格文字2"/>
    <w:basedOn w:val="1"/>
    <w:qFormat/>
    <w:uiPriority w:val="0"/>
    <w:pPr>
      <w:tabs>
        <w:tab w:val="left" w:pos="277"/>
        <w:tab w:val="left" w:pos="600"/>
        <w:tab w:val="left" w:pos="780"/>
        <w:tab w:val="left" w:pos="2517"/>
      </w:tabs>
      <w:adjustRightInd w:val="0"/>
      <w:snapToGrid w:val="0"/>
      <w:jc w:val="center"/>
      <w:textAlignment w:val="baseline"/>
    </w:pPr>
    <w:rPr>
      <w:rFonts w:asciiTheme="minorHAnsi" w:hAnsiTheme="minorHAnsi" w:eastAsiaTheme="minorEastAsia" w:cstheme="minorBidi"/>
      <w:szCs w:val="21"/>
    </w:rPr>
  </w:style>
  <w:style w:type="paragraph" w:customStyle="1" w:styleId="67">
    <w:name w:val="表头"/>
    <w:basedOn w:val="68"/>
    <w:next w:val="37"/>
    <w:qFormat/>
    <w:uiPriority w:val="0"/>
    <w:pPr>
      <w:ind w:firstLine="422" w:firstLineChars="200"/>
      <w:jc w:val="center"/>
    </w:pPr>
    <w:rPr>
      <w:b w:val="0"/>
      <w:szCs w:val="21"/>
    </w:rPr>
  </w:style>
  <w:style w:type="paragraph" w:customStyle="1" w:styleId="68">
    <w:name w:val="图、表"/>
    <w:basedOn w:val="1"/>
    <w:qFormat/>
    <w:uiPriority w:val="0"/>
    <w:pPr>
      <w:jc w:val="center"/>
    </w:pPr>
    <w:rPr>
      <w:b/>
    </w:rPr>
  </w:style>
  <w:style w:type="paragraph" w:customStyle="1" w:styleId="69">
    <w:name w:val="1表格文字"/>
    <w:basedOn w:val="1"/>
    <w:qFormat/>
    <w:uiPriority w:val="0"/>
    <w:pPr>
      <w:framePr w:wrap="around" w:vAnchor="text" w:hAnchor="text" w:y="1"/>
      <w:tabs>
        <w:tab w:val="left" w:pos="277"/>
        <w:tab w:val="left" w:pos="600"/>
        <w:tab w:val="left" w:pos="780"/>
        <w:tab w:val="left" w:pos="2517"/>
      </w:tabs>
      <w:adjustRightInd w:val="0"/>
      <w:snapToGrid w:val="0"/>
      <w:jc w:val="center"/>
      <w:textAlignment w:val="baseline"/>
    </w:pPr>
    <w:rPr>
      <w:kern w:val="0"/>
      <w:sz w:val="20"/>
      <w:szCs w:val="21"/>
    </w:rPr>
  </w:style>
  <w:style w:type="paragraph" w:styleId="70">
    <w:name w:val="List Paragraph"/>
    <w:basedOn w:val="1"/>
    <w:qFormat/>
    <w:uiPriority w:val="34"/>
    <w:pPr>
      <w:ind w:firstLine="420" w:firstLineChars="200"/>
    </w:pPr>
  </w:style>
  <w:style w:type="paragraph" w:customStyle="1" w:styleId="71">
    <w:name w:val="新表"/>
    <w:basedOn w:val="1"/>
    <w:qFormat/>
    <w:uiPriority w:val="0"/>
    <w:pPr>
      <w:spacing w:line="360" w:lineRule="exact"/>
    </w:pPr>
    <w:rPr>
      <w:rFonts w:eastAsia="仿宋_GB2312"/>
      <w:bCs/>
      <w:kern w:val="0"/>
    </w:rPr>
  </w:style>
  <w:style w:type="paragraph" w:customStyle="1" w:styleId="72">
    <w:name w:val="xl42"/>
    <w:basedOn w:val="1"/>
    <w:qFormat/>
    <w:uiPriority w:val="0"/>
    <w:pPr>
      <w:widowControl/>
      <w:pBdr>
        <w:bottom w:val="dotted" w:color="auto" w:sz="4" w:space="0"/>
        <w:right w:val="dotted" w:color="auto" w:sz="4" w:space="0"/>
      </w:pBdr>
      <w:adjustRightInd w:val="0"/>
      <w:snapToGrid w:val="0"/>
      <w:spacing w:before="100" w:beforeAutospacing="1" w:after="100" w:afterAutospacing="1"/>
      <w:jc w:val="center"/>
    </w:pPr>
    <w:rPr>
      <w:kern w:val="0"/>
      <w:szCs w:val="21"/>
      <w:lang w:eastAsia="en-US" w:bidi="en-US"/>
    </w:rPr>
  </w:style>
  <w:style w:type="paragraph" w:customStyle="1" w:styleId="73">
    <w:name w:val="正文中正文"/>
    <w:qFormat/>
    <w:uiPriority w:val="0"/>
    <w:pPr>
      <w:autoSpaceDE w:val="0"/>
      <w:autoSpaceDN w:val="0"/>
      <w:adjustRightInd w:val="0"/>
      <w:snapToGrid w:val="0"/>
      <w:spacing w:line="360" w:lineRule="auto"/>
      <w:ind w:firstLine="420" w:firstLineChars="200"/>
    </w:pPr>
    <w:rPr>
      <w:rFonts w:ascii="Times New Roman" w:hAnsi="Times New Roman" w:eastAsia="宋体" w:cs="Times New Roman"/>
      <w:sz w:val="21"/>
      <w:szCs w:val="21"/>
      <w:lang w:val="en-US" w:eastAsia="zh-CN" w:bidi="ar-SA"/>
    </w:rPr>
  </w:style>
  <w:style w:type="paragraph" w:customStyle="1" w:styleId="74">
    <w:name w:val="表格标题"/>
    <w:basedOn w:val="75"/>
    <w:next w:val="1"/>
    <w:qFormat/>
    <w:uiPriority w:val="0"/>
    <w:pPr>
      <w:adjustRightInd w:val="0"/>
      <w:snapToGrid w:val="0"/>
      <w:spacing w:before="10" w:beforeLines="10" w:after="10" w:afterLines="10"/>
      <w:jc w:val="center"/>
    </w:pPr>
    <w:rPr>
      <w:b/>
      <w:sz w:val="21"/>
      <w:szCs w:val="21"/>
      <w:lang w:val="en-US" w:eastAsia="zh-CN" w:bidi="ar-SA"/>
    </w:rPr>
  </w:style>
  <w:style w:type="paragraph" w:customStyle="1" w:styleId="75">
    <w:name w:val="应急正文"/>
    <w:basedOn w:val="1"/>
    <w:qFormat/>
    <w:uiPriority w:val="0"/>
    <w:pPr>
      <w:ind w:firstLine="560"/>
    </w:pPr>
  </w:style>
  <w:style w:type="paragraph" w:customStyle="1" w:styleId="76">
    <w:name w:val="表格内标题"/>
    <w:qFormat/>
    <w:uiPriority w:val="0"/>
    <w:pPr>
      <w:jc w:val="center"/>
    </w:pPr>
    <w:rPr>
      <w:rFonts w:ascii="Times New Roman" w:hAnsi="Times New Roman" w:eastAsia="宋体" w:cs="Times New Roman"/>
      <w:b/>
      <w:sz w:val="21"/>
      <w:szCs w:val="21"/>
      <w:lang w:val="en-US" w:eastAsia="zh-CN" w:bidi="ar-SA"/>
    </w:rPr>
  </w:style>
  <w:style w:type="paragraph" w:customStyle="1" w:styleId="77">
    <w:name w:val="0正文"/>
    <w:basedOn w:val="26"/>
    <w:qFormat/>
    <w:uiPriority w:val="0"/>
    <w:pPr>
      <w:spacing w:before="0" w:beforeAutospacing="0" w:after="0" w:afterAutospacing="0"/>
      <w:ind w:firstLine="482"/>
      <w:jc w:val="both"/>
    </w:pPr>
    <w:rPr>
      <w:rFonts w:ascii="Times New Roman" w:hAnsi="Times New Roman"/>
      <w:kern w:val="2"/>
    </w:rPr>
  </w:style>
  <w:style w:type="paragraph" w:customStyle="1" w:styleId="78">
    <w:name w:val="正文样式"/>
    <w:basedOn w:val="1"/>
    <w:qFormat/>
    <w:uiPriority w:val="0"/>
    <w:pPr>
      <w:keepNext w:val="0"/>
      <w:keepLines w:val="0"/>
      <w:widowControl w:val="0"/>
      <w:suppressLineNumbers w:val="0"/>
      <w:spacing w:before="0" w:beforeAutospacing="0" w:after="0" w:afterAutospacing="0"/>
      <w:ind w:left="0" w:right="170" w:firstLine="480"/>
      <w:jc w:val="both"/>
    </w:pPr>
    <w:rPr>
      <w:rFonts w:hint="default" w:ascii="Times New Roman" w:hAnsi="Times New Roman" w:eastAsia="宋体" w:cs="Times New Roman"/>
      <w:kern w:val="2"/>
      <w:sz w:val="21"/>
      <w:szCs w:val="24"/>
      <w:lang w:val="en-US" w:eastAsia="zh-CN" w:bidi="ar"/>
    </w:rPr>
  </w:style>
  <w:style w:type="paragraph" w:customStyle="1" w:styleId="79">
    <w:name w:val="1 正文"/>
    <w:basedOn w:val="1"/>
    <w:qFormat/>
    <w:uiPriority w:val="0"/>
    <w:pPr>
      <w:adjustRightInd w:val="0"/>
      <w:snapToGrid w:val="0"/>
      <w:jc w:val="center"/>
    </w:pPr>
    <w:rPr>
      <w:kern w:val="0"/>
      <w:szCs w:val="20"/>
    </w:rPr>
  </w:style>
  <w:style w:type="paragraph" w:customStyle="1" w:styleId="80">
    <w:name w:val="1正文"/>
    <w:qFormat/>
    <w:uiPriority w:val="0"/>
    <w:pPr>
      <w:spacing w:line="48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1">
    <w:name w:val="表格1"/>
    <w:basedOn w:val="1"/>
    <w:qFormat/>
    <w:uiPriority w:val="0"/>
    <w:pPr>
      <w:adjustRightInd w:val="0"/>
      <w:snapToGrid w:val="0"/>
      <w:spacing w:line="240" w:lineRule="auto"/>
      <w:ind w:firstLine="0" w:firstLineChars="0"/>
      <w:jc w:val="center"/>
    </w:pPr>
    <w:rPr>
      <w:sz w:val="21"/>
      <w:szCs w:val="21"/>
    </w:rPr>
  </w:style>
  <w:style w:type="table" w:customStyle="1" w:styleId="82">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B2884F-D7EF-424F-BB73-887F3B0B882E}">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79</Pages>
  <Words>2459</Words>
  <Characters>2647</Characters>
  <Lines>313</Lines>
  <Paragraphs>88</Paragraphs>
  <TotalTime>53</TotalTime>
  <ScaleCrop>false</ScaleCrop>
  <LinksUpToDate>false</LinksUpToDate>
  <CharactersWithSpaces>2722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2021-07-21T09:04:00Z</dcterms:created>
  <dc:creator>lhj</dc:creator>
  <cp:lastModifiedBy>Administrator</cp:lastModifiedBy>
  <cp:lastPrinted>2025-06-26T02:01:00Z</cp:lastPrinted>
  <dcterms:modified xsi:type="dcterms:W3CDTF">2025-12-04T08:16:44Z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678FEF9B5DC44840BF66D749C0F927C7_13</vt:lpwstr>
  </property>
  <property fmtid="{D5CDD505-2E9C-101B-9397-08002B2CF9AE}" pid="4" name="KSOTemplateDocerSaveRecord">
    <vt:lpwstr>eyJoZGlkIjoiMDY4NTYxMWI4ZTRmYTE3NWVjY2Y1ODA4ODk2ODg0OGYiLCJ1c2VySWQiOiI0NDA1MDYxNDQifQ==</vt:lpwstr>
  </property>
</Properties>
</file>